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628D0" w:rsidP="00F628D0">
      <w:pPr>
        <w:pStyle w:val="Title"/>
      </w:pPr>
      <w:r>
        <w:fldChar w:fldCharType="begin"/>
      </w:r>
      <w:r>
        <w:instrText xml:space="preserve"> TITLE   \* MERGEFORMAT </w:instrText>
      </w:r>
      <w:r>
        <w:fldChar w:fldCharType="separate"/>
      </w:r>
      <w:r>
        <w:t>PMAOPS522 Coordinate plant shutdown</w:t>
      </w:r>
      <w:r>
        <w:fldChar w:fldCharType="end"/>
      </w:r>
    </w:p>
    <w:p w:rsidR="00F628D0" w:rsidP="00F628D0">
      <w:pPr>
        <w:pStyle w:val="Version"/>
        <w:sectPr w:rsidSect="00D7098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7098D" w:rsidP="00D7098D">
      <w:pPr>
        <w:pStyle w:val="SuperHeading"/>
      </w:pPr>
      <w:r w:rsidRPr="00D7098D">
        <w:t>PMAOPS522 Coordinate plant shutdown</w:t>
      </w:r>
    </w:p>
    <w:p w:rsidR="00000000" w:rsidRPr="00D7098D" w:rsidP="00D7098D">
      <w:pPr>
        <w:pStyle w:val="Heading1"/>
      </w:pPr>
      <w:bookmarkStart w:id="1" w:name="O_908525"/>
      <w:bookmarkEnd w:id="1"/>
      <w:r w:rsidRPr="00D7098D">
        <w:t>Modification History</w:t>
      </w:r>
    </w:p>
    <w:p w:rsidR="00000000" w:rsidRPr="00D7098D" w:rsidP="00F628D0">
      <w:pPr>
        <w:pStyle w:val="BodyText"/>
      </w:pPr>
      <w:r w:rsidRPr="00D7098D">
        <w:t>Release 1. Supersedes and is equivalent to PMAOPS522A Coordinate plant shut down</w:t>
      </w:r>
    </w:p>
    <w:p w:rsidR="00000000" w:rsidRPr="00D7098D" w:rsidP="00D7098D">
      <w:pPr>
        <w:pStyle w:val="Heading1"/>
      </w:pPr>
      <w:bookmarkStart w:id="2" w:name="O_908533"/>
      <w:bookmarkEnd w:id="2"/>
      <w:r w:rsidRPr="00D7098D">
        <w:t>Application</w:t>
      </w:r>
    </w:p>
    <w:p w:rsidR="00000000" w:rsidRPr="00D7098D" w:rsidP="00F628D0">
      <w:pPr>
        <w:pStyle w:val="BodyText"/>
      </w:pPr>
      <w:r w:rsidRPr="00D7098D">
        <w:t xml:space="preserve">This unit of competency covers the skills and knowledge required to coordinate a planned, major shutdown. </w:t>
      </w:r>
    </w:p>
    <w:p w:rsidR="00000000" w:rsidRPr="00D7098D" w:rsidP="00F628D0">
      <w:pPr>
        <w:pStyle w:val="BodyText"/>
      </w:pPr>
      <w:r w:rsidRPr="00D7098D">
        <w:t xml:space="preserve">A planned, major </w:t>
      </w:r>
      <w:r w:rsidRPr="00D7098D">
        <w:t>shutdown may be for whole plant/system, one plant area or one plant in an integrated complex and will typically occur to enable:</w:t>
      </w:r>
    </w:p>
    <w:p w:rsidR="00000000" w:rsidRPr="00D7098D" w:rsidP="00D7098D">
      <w:pPr>
        <w:pStyle w:val="ListBullet"/>
      </w:pPr>
      <w:r w:rsidRPr="00D7098D">
        <w:t>regulatory vessel inspection (PVI)</w:t>
      </w:r>
    </w:p>
    <w:p w:rsidR="00000000" w:rsidRPr="00D7098D" w:rsidP="00D7098D">
      <w:pPr>
        <w:pStyle w:val="ListBullet"/>
      </w:pPr>
      <w:r w:rsidRPr="00D7098D">
        <w:t>major maintenance</w:t>
      </w:r>
    </w:p>
    <w:p w:rsidR="00000000" w:rsidRPr="00D7098D" w:rsidP="00D7098D">
      <w:pPr>
        <w:pStyle w:val="ListBullet"/>
      </w:pPr>
      <w:r w:rsidRPr="00D7098D">
        <w:t>upgrades or refits</w:t>
      </w:r>
    </w:p>
    <w:p w:rsidR="00000000" w:rsidRPr="00D7098D" w:rsidP="00D7098D">
      <w:pPr>
        <w:pStyle w:val="ListBullet"/>
      </w:pPr>
      <w:r w:rsidRPr="00D7098D">
        <w:t>catalyst and/or column repacking</w:t>
      </w:r>
    </w:p>
    <w:p w:rsidR="00000000" w:rsidRPr="00D7098D" w:rsidP="00D7098D">
      <w:pPr>
        <w:pStyle w:val="ListBullet"/>
      </w:pPr>
      <w:r w:rsidRPr="00D7098D">
        <w:t>other activities whic</w:t>
      </w:r>
      <w:r w:rsidRPr="00D7098D">
        <w:t>h are scheduled for the shutdown.</w:t>
      </w:r>
    </w:p>
    <w:p w:rsidR="00000000" w:rsidRPr="00D7098D" w:rsidP="00D7098D">
      <w:pPr>
        <w:pStyle w:val="BodyText"/>
      </w:pPr>
    </w:p>
    <w:p w:rsidR="00000000" w:rsidRPr="00D7098D" w:rsidP="00F628D0">
      <w:pPr>
        <w:pStyle w:val="BodyText"/>
      </w:pPr>
      <w:r w:rsidRPr="00D7098D">
        <w:t xml:space="preserve">This unit of competency applies to senior technicians or those in similar roles who are required to apply in-depth knowledge of process and plant operations and problem solving in order to coordinate shutdown sequence to </w:t>
      </w:r>
      <w:r w:rsidRPr="00D7098D">
        <w:t xml:space="preserve">ensure all process shutdown activities completed to schedule, coordinate the activities of a number of work groups, analyse/problem solve and develop contingency plans, and identify and coordinate resources and pre-shutdown requirements. </w:t>
      </w:r>
    </w:p>
    <w:p w:rsidR="00000000" w:rsidRPr="00D7098D" w:rsidP="00F628D0">
      <w:pPr>
        <w:pStyle w:val="BodyText"/>
      </w:pPr>
      <w:r w:rsidRPr="00D7098D">
        <w:t>This unit of com</w:t>
      </w:r>
      <w:r w:rsidRPr="00D7098D">
        <w:t>petency applies to a plant technician who is performing the plant shutdown coordinator role as their primary activity. This technician would be part of a team working with technical experts, maintenance experts, contractor representatives, process/producti</w:t>
      </w:r>
      <w:r w:rsidRPr="00D7098D">
        <w:t xml:space="preserve">on teams and management. </w:t>
      </w:r>
    </w:p>
    <w:p w:rsidR="00000000" w:rsidRPr="00D7098D" w:rsidP="00F628D0">
      <w:pPr>
        <w:pStyle w:val="BodyText"/>
      </w:pPr>
      <w:r w:rsidRPr="00D7098D">
        <w:t>No licensing, legislative or certification requirements apply to this unit at the time of publication.</w:t>
      </w:r>
    </w:p>
    <w:p w:rsidR="00000000" w:rsidRPr="00D7098D" w:rsidP="00D7098D">
      <w:pPr>
        <w:pStyle w:val="Heading1"/>
      </w:pPr>
      <w:bookmarkStart w:id="3" w:name="O_908532"/>
      <w:bookmarkEnd w:id="3"/>
      <w:r w:rsidRPr="00D7098D">
        <w:t>Pre-requisite Unit</w:t>
      </w:r>
    </w:p>
    <w:p w:rsidR="00000000" w:rsidRPr="00D7098D" w:rsidP="00F628D0">
      <w:pPr>
        <w:pStyle w:val="BodyText"/>
      </w:pPr>
      <w:r w:rsidRPr="00D7098D">
        <w:t>Nil</w:t>
      </w:r>
    </w:p>
    <w:p w:rsidR="00000000" w:rsidRPr="00D7098D" w:rsidP="00D7098D">
      <w:pPr>
        <w:pStyle w:val="Heading1"/>
      </w:pPr>
      <w:bookmarkStart w:id="4" w:name="O_908531"/>
      <w:bookmarkEnd w:id="4"/>
      <w:r w:rsidRPr="00D7098D">
        <w:t>Competency Field</w:t>
      </w:r>
    </w:p>
    <w:p w:rsidR="00000000" w:rsidRPr="00D7098D" w:rsidP="00F628D0">
      <w:pPr>
        <w:pStyle w:val="BodyText"/>
      </w:pPr>
      <w:r w:rsidRPr="00D7098D">
        <w:t>Operations</w:t>
      </w:r>
    </w:p>
    <w:p w:rsidR="00000000" w:rsidRPr="00D7098D" w:rsidP="00D7098D">
      <w:pPr>
        <w:pStyle w:val="Heading1"/>
      </w:pPr>
      <w:bookmarkStart w:id="5" w:name="O_908530"/>
      <w:bookmarkEnd w:id="5"/>
      <w:r w:rsidRPr="00D7098D">
        <w:t>Unit Sector</w:t>
      </w:r>
    </w:p>
    <w:p w:rsidR="00000000" w:rsidRPr="00D7098D" w:rsidP="00D7098D">
      <w:pPr>
        <w:pStyle w:val="Heading1"/>
      </w:pPr>
      <w:bookmarkStart w:id="6" w:name="O_908529"/>
      <w:bookmarkEnd w:id="6"/>
      <w:r w:rsidRPr="00D7098D">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D7098D">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D7098D">
            <w:pPr>
              <w:pStyle w:val="BodyText"/>
              <w:rPr>
                <w:lang w:val="en-NZ"/>
              </w:rPr>
            </w:pPr>
            <w:r w:rsidRPr="00D7098D">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D7098D">
            <w:pPr>
              <w:pStyle w:val="BodyText"/>
              <w:rPr>
                <w:lang w:val="en-NZ"/>
              </w:rPr>
            </w:pPr>
            <w:r w:rsidRPr="00D7098D">
              <w:t>Performance criteria describe the performance needed to demonstrate achievement of the element.</w:t>
            </w:r>
          </w:p>
        </w:tc>
      </w:tr>
      <w:tr w:rsidTr="00D7098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D7098D" w:rsidP="00D7098D">
            <w:pPr>
              <w:pStyle w:val="BodyText"/>
            </w:pPr>
            <w:r w:rsidRPr="00D7098D">
              <w:t>1</w:t>
            </w:r>
          </w:p>
        </w:tc>
        <w:tc>
          <w:tcPr>
            <w:tcW w:w="1962" w:type="dxa"/>
            <w:vMerge w:val="restart"/>
            <w:tcBorders>
              <w:top w:val="nil"/>
              <w:left w:val="nil"/>
              <w:bottom w:val="nil"/>
              <w:right w:val="nil"/>
            </w:tcBorders>
            <w:tcMar>
              <w:top w:w="0" w:type="dxa"/>
              <w:left w:w="62" w:type="dxa"/>
              <w:bottom w:w="0" w:type="dxa"/>
              <w:right w:w="62" w:type="dxa"/>
            </w:tcMar>
          </w:tcPr>
          <w:p w:rsidR="00000000" w:rsidP="00D7098D">
            <w:pPr>
              <w:pStyle w:val="BodyText"/>
              <w:rPr>
                <w:lang w:val="en-NZ"/>
              </w:rPr>
            </w:pPr>
            <w:r w:rsidRPr="00D7098D">
              <w:rPr>
                <w:rStyle w:val="SpecialBold"/>
              </w:rPr>
              <w:t>Identify shutdown work scope</w:t>
            </w:r>
          </w:p>
        </w:tc>
        <w:tc>
          <w:tcPr>
            <w:tcW w:w="770" w:type="dxa"/>
            <w:tcBorders>
              <w:top w:val="nil"/>
              <w:left w:val="nil"/>
              <w:bottom w:val="nil"/>
              <w:right w:val="nil"/>
            </w:tcBorders>
            <w:tcMar>
              <w:top w:w="0" w:type="dxa"/>
              <w:left w:w="62" w:type="dxa"/>
              <w:bottom w:w="0" w:type="dxa"/>
              <w:right w:w="62" w:type="dxa"/>
            </w:tcMar>
          </w:tcPr>
          <w:p w:rsidR="00000000" w:rsidP="00D7098D">
            <w:pPr>
              <w:pStyle w:val="BodyText"/>
              <w:rPr>
                <w:lang w:val="en-NZ"/>
              </w:rPr>
            </w:pPr>
            <w:r w:rsidRPr="00D7098D">
              <w:t>1.1</w:t>
            </w:r>
          </w:p>
        </w:tc>
        <w:tc>
          <w:tcPr>
            <w:tcW w:w="5610" w:type="dxa"/>
            <w:tcBorders>
              <w:top w:val="nil"/>
              <w:left w:val="nil"/>
              <w:bottom w:val="nil"/>
              <w:right w:val="nil"/>
            </w:tcBorders>
            <w:tcMar>
              <w:top w:w="0" w:type="dxa"/>
              <w:left w:w="62" w:type="dxa"/>
              <w:bottom w:w="0" w:type="dxa"/>
              <w:right w:w="62" w:type="dxa"/>
            </w:tcMar>
          </w:tcPr>
          <w:p w:rsidR="00000000" w:rsidP="00D7098D">
            <w:pPr>
              <w:pStyle w:val="BodyText"/>
              <w:rPr>
                <w:lang w:val="en-NZ"/>
              </w:rPr>
            </w:pPr>
            <w:r w:rsidRPr="00D7098D">
              <w:t>Analyse relevant information for activ</w:t>
            </w:r>
            <w:r w:rsidRPr="00D7098D">
              <w:t>ities intended for the shutdown</w:t>
            </w:r>
          </w:p>
        </w:tc>
      </w:tr>
      <w:tr w:rsidTr="00D7098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7098D">
            <w:pPr>
              <w:pStyle w:val="BodyText"/>
              <w:rPr>
                <w:lang w:val="en-NZ"/>
              </w:rPr>
            </w:pPr>
            <w:r w:rsidRPr="00D7098D">
              <w:t>1.2</w:t>
            </w:r>
          </w:p>
        </w:tc>
        <w:tc>
          <w:tcPr>
            <w:tcW w:w="5610" w:type="dxa"/>
            <w:tcBorders>
              <w:top w:val="nil"/>
              <w:left w:val="nil"/>
              <w:bottom w:val="nil"/>
              <w:right w:val="nil"/>
            </w:tcBorders>
            <w:tcMar>
              <w:top w:w="0" w:type="dxa"/>
              <w:left w:w="62" w:type="dxa"/>
              <w:bottom w:w="0" w:type="dxa"/>
              <w:right w:w="62" w:type="dxa"/>
            </w:tcMar>
          </w:tcPr>
          <w:p w:rsidR="00000000" w:rsidP="00D7098D">
            <w:pPr>
              <w:pStyle w:val="BodyText"/>
              <w:rPr>
                <w:lang w:val="en-NZ"/>
              </w:rPr>
            </w:pPr>
            <w:r w:rsidRPr="00D7098D">
              <w:t>Determine all activities intended for shutdown</w:t>
            </w:r>
          </w:p>
        </w:tc>
      </w:tr>
      <w:tr w:rsidTr="00D7098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7098D">
            <w:pPr>
              <w:pStyle w:val="BodyText"/>
              <w:rPr>
                <w:lang w:val="en-NZ"/>
              </w:rPr>
            </w:pPr>
            <w:r w:rsidRPr="00D7098D">
              <w:t>1.3</w:t>
            </w:r>
          </w:p>
        </w:tc>
        <w:tc>
          <w:tcPr>
            <w:tcW w:w="5610" w:type="dxa"/>
            <w:tcBorders>
              <w:top w:val="nil"/>
              <w:left w:val="nil"/>
              <w:bottom w:val="nil"/>
              <w:right w:val="nil"/>
            </w:tcBorders>
            <w:tcMar>
              <w:top w:w="0" w:type="dxa"/>
              <w:left w:w="62" w:type="dxa"/>
              <w:bottom w:w="0" w:type="dxa"/>
              <w:right w:w="62" w:type="dxa"/>
            </w:tcMar>
          </w:tcPr>
          <w:p w:rsidR="00000000" w:rsidP="00D7098D">
            <w:pPr>
              <w:pStyle w:val="BodyText"/>
              <w:rPr>
                <w:lang w:val="en-NZ"/>
              </w:rPr>
            </w:pPr>
            <w:r w:rsidRPr="00D7098D">
              <w:t>Confirm priorities and identify all essential work</w:t>
            </w:r>
          </w:p>
        </w:tc>
      </w:tr>
      <w:tr w:rsidTr="00D7098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7098D">
            <w:pPr>
              <w:pStyle w:val="BodyText"/>
              <w:rPr>
                <w:lang w:val="en-NZ"/>
              </w:rPr>
            </w:pPr>
            <w:r w:rsidRPr="00D7098D">
              <w:t>1.4</w:t>
            </w:r>
          </w:p>
        </w:tc>
        <w:tc>
          <w:tcPr>
            <w:tcW w:w="5610" w:type="dxa"/>
            <w:tcBorders>
              <w:top w:val="nil"/>
              <w:left w:val="nil"/>
              <w:bottom w:val="nil"/>
              <w:right w:val="nil"/>
            </w:tcBorders>
            <w:tcMar>
              <w:top w:w="0" w:type="dxa"/>
              <w:left w:w="62" w:type="dxa"/>
              <w:bottom w:w="0" w:type="dxa"/>
              <w:right w:w="62" w:type="dxa"/>
            </w:tcMar>
          </w:tcPr>
          <w:p w:rsidR="00000000" w:rsidP="00D7098D">
            <w:pPr>
              <w:pStyle w:val="BodyText"/>
              <w:rPr>
                <w:lang w:val="en-NZ"/>
              </w:rPr>
            </w:pPr>
            <w:r w:rsidRPr="00D7098D">
              <w:t>Resolve conflicts between proposed activities</w:t>
            </w:r>
          </w:p>
        </w:tc>
      </w:tr>
      <w:tr w:rsidTr="00D7098D">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D7098D">
            <w:pPr>
              <w:pStyle w:val="BodyText"/>
              <w:rPr>
                <w:lang w:val="en-NZ"/>
              </w:rPr>
            </w:pPr>
          </w:p>
        </w:tc>
      </w:tr>
      <w:tr w:rsidTr="00D7098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D7098D" w:rsidP="00D7098D">
            <w:pPr>
              <w:pStyle w:val="BodyText"/>
            </w:pPr>
            <w:r w:rsidRPr="00D7098D">
              <w:t>2</w:t>
            </w:r>
          </w:p>
        </w:tc>
        <w:tc>
          <w:tcPr>
            <w:tcW w:w="1962" w:type="dxa"/>
            <w:vMerge w:val="restart"/>
            <w:tcBorders>
              <w:top w:val="nil"/>
              <w:left w:val="nil"/>
              <w:bottom w:val="nil"/>
              <w:right w:val="nil"/>
            </w:tcBorders>
            <w:tcMar>
              <w:top w:w="0" w:type="dxa"/>
              <w:left w:w="62" w:type="dxa"/>
              <w:bottom w:w="0" w:type="dxa"/>
              <w:right w:w="62" w:type="dxa"/>
            </w:tcMar>
          </w:tcPr>
          <w:p w:rsidR="00000000" w:rsidP="00D7098D">
            <w:pPr>
              <w:pStyle w:val="BodyText"/>
              <w:rPr>
                <w:lang w:val="en-NZ"/>
              </w:rPr>
            </w:pPr>
            <w:r w:rsidRPr="00D7098D">
              <w:rPr>
                <w:rStyle w:val="SpecialBold"/>
              </w:rPr>
              <w:t>Plan and schedule resources</w:t>
            </w:r>
          </w:p>
        </w:tc>
        <w:tc>
          <w:tcPr>
            <w:tcW w:w="770" w:type="dxa"/>
            <w:tcBorders>
              <w:top w:val="nil"/>
              <w:left w:val="nil"/>
              <w:bottom w:val="nil"/>
              <w:right w:val="nil"/>
            </w:tcBorders>
            <w:tcMar>
              <w:top w:w="0" w:type="dxa"/>
              <w:left w:w="62" w:type="dxa"/>
              <w:bottom w:w="0" w:type="dxa"/>
              <w:right w:w="62" w:type="dxa"/>
            </w:tcMar>
          </w:tcPr>
          <w:p w:rsidR="00000000" w:rsidP="00D7098D">
            <w:pPr>
              <w:pStyle w:val="BodyText"/>
              <w:rPr>
                <w:lang w:val="en-NZ"/>
              </w:rPr>
            </w:pPr>
            <w:r w:rsidRPr="00D7098D">
              <w:t>2.1</w:t>
            </w:r>
          </w:p>
        </w:tc>
        <w:tc>
          <w:tcPr>
            <w:tcW w:w="5610" w:type="dxa"/>
            <w:tcBorders>
              <w:top w:val="nil"/>
              <w:left w:val="nil"/>
              <w:bottom w:val="nil"/>
              <w:right w:val="nil"/>
            </w:tcBorders>
            <w:tcMar>
              <w:top w:w="0" w:type="dxa"/>
              <w:left w:w="62" w:type="dxa"/>
              <w:bottom w:w="0" w:type="dxa"/>
              <w:right w:w="62" w:type="dxa"/>
            </w:tcMar>
          </w:tcPr>
          <w:p w:rsidR="00000000" w:rsidP="00D7098D">
            <w:pPr>
              <w:pStyle w:val="BodyText"/>
              <w:rPr>
                <w:lang w:val="en-NZ"/>
              </w:rPr>
            </w:pPr>
            <w:r w:rsidRPr="00D7098D">
              <w:t>Identify each individual task in the shutdown process</w:t>
            </w:r>
          </w:p>
        </w:tc>
      </w:tr>
      <w:tr w:rsidTr="00D7098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7098D">
            <w:pPr>
              <w:pStyle w:val="BodyText"/>
              <w:rPr>
                <w:lang w:val="en-NZ"/>
              </w:rPr>
            </w:pPr>
            <w:r w:rsidRPr="00D7098D">
              <w:t>2.2</w:t>
            </w:r>
          </w:p>
        </w:tc>
        <w:tc>
          <w:tcPr>
            <w:tcW w:w="5610" w:type="dxa"/>
            <w:tcBorders>
              <w:top w:val="nil"/>
              <w:left w:val="nil"/>
              <w:bottom w:val="nil"/>
              <w:right w:val="nil"/>
            </w:tcBorders>
            <w:tcMar>
              <w:top w:w="0" w:type="dxa"/>
              <w:left w:w="62" w:type="dxa"/>
              <w:bottom w:w="0" w:type="dxa"/>
              <w:right w:w="62" w:type="dxa"/>
            </w:tcMar>
          </w:tcPr>
          <w:p w:rsidR="00000000" w:rsidP="00D7098D">
            <w:pPr>
              <w:pStyle w:val="BodyText"/>
              <w:rPr>
                <w:lang w:val="en-NZ"/>
              </w:rPr>
            </w:pPr>
            <w:r w:rsidRPr="00D7098D">
              <w:t>Determine resources required for each task and assign appropriate owner</w:t>
            </w:r>
          </w:p>
        </w:tc>
      </w:tr>
      <w:tr w:rsidTr="00D7098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7098D">
            <w:pPr>
              <w:pStyle w:val="BodyText"/>
              <w:rPr>
                <w:lang w:val="en-NZ"/>
              </w:rPr>
            </w:pPr>
            <w:r w:rsidRPr="00D7098D">
              <w:t>2.3</w:t>
            </w:r>
          </w:p>
        </w:tc>
        <w:tc>
          <w:tcPr>
            <w:tcW w:w="5610" w:type="dxa"/>
            <w:tcBorders>
              <w:top w:val="nil"/>
              <w:left w:val="nil"/>
              <w:bottom w:val="nil"/>
              <w:right w:val="nil"/>
            </w:tcBorders>
            <w:tcMar>
              <w:top w:w="0" w:type="dxa"/>
              <w:left w:w="62" w:type="dxa"/>
              <w:bottom w:w="0" w:type="dxa"/>
              <w:right w:w="62" w:type="dxa"/>
            </w:tcMar>
          </w:tcPr>
          <w:p w:rsidR="00000000" w:rsidP="00D7098D">
            <w:pPr>
              <w:pStyle w:val="BodyText"/>
              <w:rPr>
                <w:lang w:val="en-NZ"/>
              </w:rPr>
            </w:pPr>
            <w:r w:rsidRPr="00D7098D">
              <w:t>Determine prerequisite tasks prior to shutting down process</w:t>
            </w:r>
          </w:p>
        </w:tc>
      </w:tr>
      <w:tr w:rsidTr="00D7098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7098D">
            <w:pPr>
              <w:pStyle w:val="BodyText"/>
              <w:rPr>
                <w:lang w:val="en-NZ"/>
              </w:rPr>
            </w:pPr>
            <w:r w:rsidRPr="00D7098D">
              <w:t>2.4</w:t>
            </w:r>
          </w:p>
        </w:tc>
        <w:tc>
          <w:tcPr>
            <w:tcW w:w="5610" w:type="dxa"/>
            <w:tcBorders>
              <w:top w:val="nil"/>
              <w:left w:val="nil"/>
              <w:bottom w:val="nil"/>
              <w:right w:val="nil"/>
            </w:tcBorders>
            <w:tcMar>
              <w:top w:w="0" w:type="dxa"/>
              <w:left w:w="62" w:type="dxa"/>
              <w:bottom w:w="0" w:type="dxa"/>
              <w:right w:w="62" w:type="dxa"/>
            </w:tcMar>
          </w:tcPr>
          <w:p w:rsidR="00000000" w:rsidP="00D7098D">
            <w:pPr>
              <w:pStyle w:val="BodyText"/>
              <w:rPr>
                <w:lang w:val="en-NZ"/>
              </w:rPr>
            </w:pPr>
            <w:r w:rsidRPr="00D7098D">
              <w:t xml:space="preserve">Ensure hazards are identified and controls </w:t>
            </w:r>
            <w:r w:rsidRPr="00D7098D">
              <w:t>are in place</w:t>
            </w:r>
          </w:p>
        </w:tc>
      </w:tr>
      <w:tr w:rsidTr="00D7098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7098D">
            <w:pPr>
              <w:pStyle w:val="BodyText"/>
              <w:rPr>
                <w:lang w:val="en-NZ"/>
              </w:rPr>
            </w:pPr>
            <w:r w:rsidRPr="00D7098D">
              <w:t>2.5</w:t>
            </w:r>
          </w:p>
        </w:tc>
        <w:tc>
          <w:tcPr>
            <w:tcW w:w="5610" w:type="dxa"/>
            <w:tcBorders>
              <w:top w:val="nil"/>
              <w:left w:val="nil"/>
              <w:bottom w:val="nil"/>
              <w:right w:val="nil"/>
            </w:tcBorders>
            <w:tcMar>
              <w:top w:w="0" w:type="dxa"/>
              <w:left w:w="62" w:type="dxa"/>
              <w:bottom w:w="0" w:type="dxa"/>
              <w:right w:w="62" w:type="dxa"/>
            </w:tcMar>
          </w:tcPr>
          <w:p w:rsidR="00000000" w:rsidP="00D7098D">
            <w:pPr>
              <w:pStyle w:val="BodyText"/>
              <w:rPr>
                <w:lang w:val="en-NZ"/>
              </w:rPr>
            </w:pPr>
            <w:r w:rsidRPr="00D7098D">
              <w:t>Ensure all safety and testing equipment is calibrated and on site prior to shutdown commencing</w:t>
            </w:r>
          </w:p>
        </w:tc>
      </w:tr>
      <w:tr w:rsidTr="00D7098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7098D">
            <w:pPr>
              <w:pStyle w:val="BodyText"/>
              <w:rPr>
                <w:lang w:val="en-NZ"/>
              </w:rPr>
            </w:pPr>
            <w:r w:rsidRPr="00D7098D">
              <w:t>2.6</w:t>
            </w:r>
          </w:p>
        </w:tc>
        <w:tc>
          <w:tcPr>
            <w:tcW w:w="5610" w:type="dxa"/>
            <w:tcBorders>
              <w:top w:val="nil"/>
              <w:left w:val="nil"/>
              <w:bottom w:val="nil"/>
              <w:right w:val="nil"/>
            </w:tcBorders>
            <w:tcMar>
              <w:top w:w="0" w:type="dxa"/>
              <w:left w:w="62" w:type="dxa"/>
              <w:bottom w:w="0" w:type="dxa"/>
              <w:right w:w="62" w:type="dxa"/>
            </w:tcMar>
          </w:tcPr>
          <w:p w:rsidR="00000000" w:rsidP="00D7098D">
            <w:pPr>
              <w:pStyle w:val="BodyText"/>
              <w:rPr>
                <w:lang w:val="en-NZ"/>
              </w:rPr>
            </w:pPr>
            <w:r w:rsidRPr="00D7098D">
              <w:t>Compile a schedule to track shutdown and equipment preparation sequence</w:t>
            </w:r>
          </w:p>
        </w:tc>
      </w:tr>
      <w:tr w:rsidTr="00D7098D">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D7098D">
            <w:pPr>
              <w:pStyle w:val="BodyText"/>
              <w:rPr>
                <w:lang w:val="en-NZ"/>
              </w:rPr>
            </w:pPr>
          </w:p>
        </w:tc>
      </w:tr>
      <w:tr w:rsidTr="00D7098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D7098D" w:rsidP="00D7098D">
            <w:pPr>
              <w:pStyle w:val="BodyText"/>
            </w:pPr>
            <w:r w:rsidRPr="00D7098D">
              <w:t>3</w:t>
            </w:r>
          </w:p>
        </w:tc>
        <w:tc>
          <w:tcPr>
            <w:tcW w:w="1962" w:type="dxa"/>
            <w:vMerge w:val="restart"/>
            <w:tcBorders>
              <w:top w:val="nil"/>
              <w:left w:val="nil"/>
              <w:bottom w:val="nil"/>
              <w:right w:val="nil"/>
            </w:tcBorders>
            <w:tcMar>
              <w:top w:w="0" w:type="dxa"/>
              <w:left w:w="62" w:type="dxa"/>
              <w:bottom w:w="0" w:type="dxa"/>
              <w:right w:w="62" w:type="dxa"/>
            </w:tcMar>
          </w:tcPr>
          <w:p w:rsidR="00000000" w:rsidP="00D7098D">
            <w:pPr>
              <w:pStyle w:val="BodyText"/>
              <w:rPr>
                <w:lang w:val="en-NZ"/>
              </w:rPr>
            </w:pPr>
            <w:r w:rsidRPr="00D7098D">
              <w:rPr>
                <w:rStyle w:val="SpecialBold"/>
              </w:rPr>
              <w:t>Coordinate plant/ equipment shutdown sequence</w:t>
            </w:r>
          </w:p>
        </w:tc>
        <w:tc>
          <w:tcPr>
            <w:tcW w:w="770" w:type="dxa"/>
            <w:tcBorders>
              <w:top w:val="nil"/>
              <w:left w:val="nil"/>
              <w:bottom w:val="nil"/>
              <w:right w:val="nil"/>
            </w:tcBorders>
            <w:tcMar>
              <w:top w:w="0" w:type="dxa"/>
              <w:left w:w="62" w:type="dxa"/>
              <w:bottom w:w="0" w:type="dxa"/>
              <w:right w:w="62" w:type="dxa"/>
            </w:tcMar>
          </w:tcPr>
          <w:p w:rsidR="00000000" w:rsidP="00D7098D">
            <w:pPr>
              <w:pStyle w:val="BodyText"/>
              <w:rPr>
                <w:lang w:val="en-NZ"/>
              </w:rPr>
            </w:pPr>
            <w:r w:rsidRPr="00D7098D">
              <w:t>3.1</w:t>
            </w:r>
          </w:p>
        </w:tc>
        <w:tc>
          <w:tcPr>
            <w:tcW w:w="5610" w:type="dxa"/>
            <w:tcBorders>
              <w:top w:val="nil"/>
              <w:left w:val="nil"/>
              <w:bottom w:val="nil"/>
              <w:right w:val="nil"/>
            </w:tcBorders>
            <w:tcMar>
              <w:top w:w="0" w:type="dxa"/>
              <w:left w:w="62" w:type="dxa"/>
              <w:bottom w:w="0" w:type="dxa"/>
              <w:right w:w="62" w:type="dxa"/>
            </w:tcMar>
          </w:tcPr>
          <w:p w:rsidR="00000000" w:rsidP="00D7098D">
            <w:pPr>
              <w:pStyle w:val="BodyText"/>
              <w:rPr>
                <w:lang w:val="en-NZ"/>
              </w:rPr>
            </w:pPr>
            <w:r w:rsidRPr="00D7098D">
              <w:t>Prepare/review shutdown documentation</w:t>
            </w:r>
          </w:p>
        </w:tc>
      </w:tr>
      <w:tr w:rsidTr="00D7098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7098D">
            <w:pPr>
              <w:pStyle w:val="BodyText"/>
              <w:rPr>
                <w:lang w:val="en-NZ"/>
              </w:rPr>
            </w:pPr>
            <w:r w:rsidRPr="00D7098D">
              <w:t>3.2</w:t>
            </w:r>
          </w:p>
        </w:tc>
        <w:tc>
          <w:tcPr>
            <w:tcW w:w="5610" w:type="dxa"/>
            <w:tcBorders>
              <w:top w:val="nil"/>
              <w:left w:val="nil"/>
              <w:bottom w:val="nil"/>
              <w:right w:val="nil"/>
            </w:tcBorders>
            <w:tcMar>
              <w:top w:w="0" w:type="dxa"/>
              <w:left w:w="62" w:type="dxa"/>
              <w:bottom w:w="0" w:type="dxa"/>
              <w:right w:w="62" w:type="dxa"/>
            </w:tcMar>
          </w:tcPr>
          <w:p w:rsidR="00000000" w:rsidP="00D7098D">
            <w:pPr>
              <w:pStyle w:val="BodyText"/>
              <w:rPr>
                <w:lang w:val="en-NZ"/>
              </w:rPr>
            </w:pPr>
            <w:r w:rsidRPr="00D7098D">
              <w:t>Coordinate plant shutdown according to procedures</w:t>
            </w:r>
          </w:p>
        </w:tc>
      </w:tr>
      <w:tr w:rsidTr="00D7098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7098D">
            <w:pPr>
              <w:pStyle w:val="BodyText"/>
              <w:rPr>
                <w:lang w:val="en-NZ"/>
              </w:rPr>
            </w:pPr>
            <w:r w:rsidRPr="00D7098D">
              <w:t>3.3</w:t>
            </w:r>
          </w:p>
        </w:tc>
        <w:tc>
          <w:tcPr>
            <w:tcW w:w="5610" w:type="dxa"/>
            <w:tcBorders>
              <w:top w:val="nil"/>
              <w:left w:val="nil"/>
              <w:bottom w:val="nil"/>
              <w:right w:val="nil"/>
            </w:tcBorders>
            <w:tcMar>
              <w:top w:w="0" w:type="dxa"/>
              <w:left w:w="62" w:type="dxa"/>
              <w:bottom w:w="0" w:type="dxa"/>
              <w:right w:w="62" w:type="dxa"/>
            </w:tcMar>
          </w:tcPr>
          <w:p w:rsidR="00000000" w:rsidP="00D7098D">
            <w:pPr>
              <w:pStyle w:val="BodyText"/>
              <w:rPr>
                <w:lang w:val="en-NZ"/>
              </w:rPr>
            </w:pPr>
            <w:r w:rsidRPr="00D7098D">
              <w:t>Track plant shutdown progress</w:t>
            </w:r>
          </w:p>
        </w:tc>
      </w:tr>
      <w:tr w:rsidTr="00D7098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7098D">
            <w:pPr>
              <w:pStyle w:val="BodyText"/>
              <w:rPr>
                <w:lang w:val="en-NZ"/>
              </w:rPr>
            </w:pPr>
            <w:r w:rsidRPr="00D7098D">
              <w:t>3.4</w:t>
            </w:r>
          </w:p>
        </w:tc>
        <w:tc>
          <w:tcPr>
            <w:tcW w:w="5610" w:type="dxa"/>
            <w:tcBorders>
              <w:top w:val="nil"/>
              <w:left w:val="nil"/>
              <w:bottom w:val="nil"/>
              <w:right w:val="nil"/>
            </w:tcBorders>
            <w:tcMar>
              <w:top w:w="0" w:type="dxa"/>
              <w:left w:w="62" w:type="dxa"/>
              <w:bottom w:w="0" w:type="dxa"/>
              <w:right w:w="62" w:type="dxa"/>
            </w:tcMar>
          </w:tcPr>
          <w:p w:rsidR="00000000" w:rsidP="00D7098D">
            <w:pPr>
              <w:pStyle w:val="BodyText"/>
              <w:rPr>
                <w:lang w:val="en-NZ"/>
              </w:rPr>
            </w:pPr>
            <w:r w:rsidRPr="00D7098D">
              <w:t>Coordinate execution of critical function test during shutdown phase</w:t>
            </w:r>
          </w:p>
        </w:tc>
      </w:tr>
      <w:tr w:rsidTr="00D7098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7098D">
            <w:pPr>
              <w:pStyle w:val="BodyText"/>
              <w:rPr>
                <w:lang w:val="en-NZ"/>
              </w:rPr>
            </w:pPr>
            <w:r w:rsidRPr="00D7098D">
              <w:t>3.5</w:t>
            </w:r>
          </w:p>
        </w:tc>
        <w:tc>
          <w:tcPr>
            <w:tcW w:w="5610" w:type="dxa"/>
            <w:tcBorders>
              <w:top w:val="nil"/>
              <w:left w:val="nil"/>
              <w:bottom w:val="nil"/>
              <w:right w:val="nil"/>
            </w:tcBorders>
            <w:tcMar>
              <w:top w:w="0" w:type="dxa"/>
              <w:left w:w="62" w:type="dxa"/>
              <w:bottom w:w="0" w:type="dxa"/>
              <w:right w:w="62" w:type="dxa"/>
            </w:tcMar>
          </w:tcPr>
          <w:p w:rsidR="00000000" w:rsidP="00D7098D">
            <w:pPr>
              <w:pStyle w:val="BodyText"/>
              <w:rPr>
                <w:lang w:val="en-NZ"/>
              </w:rPr>
            </w:pPr>
            <w:r w:rsidRPr="00D7098D">
              <w:t>Coordinate equipment preparation</w:t>
            </w:r>
          </w:p>
        </w:tc>
      </w:tr>
      <w:tr w:rsidTr="00D7098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7098D">
            <w:pPr>
              <w:pStyle w:val="BodyText"/>
              <w:rPr>
                <w:lang w:val="en-NZ"/>
              </w:rPr>
            </w:pPr>
            <w:r w:rsidRPr="00D7098D">
              <w:t>3.6</w:t>
            </w:r>
          </w:p>
        </w:tc>
        <w:tc>
          <w:tcPr>
            <w:tcW w:w="5610" w:type="dxa"/>
            <w:tcBorders>
              <w:top w:val="nil"/>
              <w:left w:val="nil"/>
              <w:bottom w:val="nil"/>
              <w:right w:val="nil"/>
            </w:tcBorders>
            <w:tcMar>
              <w:top w:w="0" w:type="dxa"/>
              <w:left w:w="62" w:type="dxa"/>
              <w:bottom w:w="0" w:type="dxa"/>
              <w:right w:w="62" w:type="dxa"/>
            </w:tcMar>
          </w:tcPr>
          <w:p w:rsidR="00000000" w:rsidP="00D7098D">
            <w:pPr>
              <w:pStyle w:val="BodyText"/>
              <w:rPr>
                <w:lang w:val="en-NZ"/>
              </w:rPr>
            </w:pPr>
            <w:r w:rsidRPr="00D7098D">
              <w:t xml:space="preserve">Validate equipment is safe to hand over to appropriate </w:t>
            </w:r>
            <w:r w:rsidRPr="00D7098D">
              <w:t>work party</w:t>
            </w:r>
          </w:p>
        </w:tc>
      </w:tr>
      <w:tr w:rsidTr="00D7098D">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D7098D">
            <w:pPr>
              <w:pStyle w:val="BodyText"/>
              <w:rPr>
                <w:lang w:val="en-NZ"/>
              </w:rPr>
            </w:pPr>
          </w:p>
        </w:tc>
      </w:tr>
      <w:tr w:rsidTr="00D7098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D7098D" w:rsidP="00D7098D">
            <w:pPr>
              <w:pStyle w:val="BodyText"/>
            </w:pPr>
            <w:r w:rsidRPr="00D7098D">
              <w:t>4</w:t>
            </w:r>
          </w:p>
        </w:tc>
        <w:tc>
          <w:tcPr>
            <w:tcW w:w="1962" w:type="dxa"/>
            <w:vMerge w:val="restart"/>
            <w:tcBorders>
              <w:top w:val="nil"/>
              <w:left w:val="nil"/>
              <w:bottom w:val="nil"/>
              <w:right w:val="nil"/>
            </w:tcBorders>
            <w:tcMar>
              <w:top w:w="0" w:type="dxa"/>
              <w:left w:w="62" w:type="dxa"/>
              <w:bottom w:w="0" w:type="dxa"/>
              <w:right w:w="62" w:type="dxa"/>
            </w:tcMar>
          </w:tcPr>
          <w:p w:rsidR="00000000" w:rsidP="00D7098D">
            <w:pPr>
              <w:pStyle w:val="BodyText"/>
              <w:rPr>
                <w:lang w:val="en-NZ"/>
              </w:rPr>
            </w:pPr>
            <w:r w:rsidRPr="00D7098D">
              <w:rPr>
                <w:rStyle w:val="SpecialBold"/>
              </w:rPr>
              <w:t>Hand over plant/ equipment to relevant work party</w:t>
            </w:r>
          </w:p>
        </w:tc>
        <w:tc>
          <w:tcPr>
            <w:tcW w:w="770" w:type="dxa"/>
            <w:tcBorders>
              <w:top w:val="nil"/>
              <w:left w:val="nil"/>
              <w:bottom w:val="nil"/>
              <w:right w:val="nil"/>
            </w:tcBorders>
            <w:tcMar>
              <w:top w:w="0" w:type="dxa"/>
              <w:left w:w="62" w:type="dxa"/>
              <w:bottom w:w="0" w:type="dxa"/>
              <w:right w:w="62" w:type="dxa"/>
            </w:tcMar>
          </w:tcPr>
          <w:p w:rsidR="00000000" w:rsidP="00D7098D">
            <w:pPr>
              <w:pStyle w:val="BodyText"/>
              <w:rPr>
                <w:lang w:val="en-NZ"/>
              </w:rPr>
            </w:pPr>
            <w:r w:rsidRPr="00D7098D">
              <w:t>4.1</w:t>
            </w:r>
          </w:p>
        </w:tc>
        <w:tc>
          <w:tcPr>
            <w:tcW w:w="5610" w:type="dxa"/>
            <w:tcBorders>
              <w:top w:val="nil"/>
              <w:left w:val="nil"/>
              <w:bottom w:val="nil"/>
              <w:right w:val="nil"/>
            </w:tcBorders>
            <w:tcMar>
              <w:top w:w="0" w:type="dxa"/>
              <w:left w:w="62" w:type="dxa"/>
              <w:bottom w:w="0" w:type="dxa"/>
              <w:right w:w="62" w:type="dxa"/>
            </w:tcMar>
          </w:tcPr>
          <w:p w:rsidR="00000000" w:rsidP="00D7098D">
            <w:pPr>
              <w:pStyle w:val="BodyText"/>
              <w:rPr>
                <w:lang w:val="en-NZ"/>
              </w:rPr>
            </w:pPr>
            <w:r w:rsidRPr="00D7098D">
              <w:t>Hand over plant and equipment to relevant work group according to site protocol</w:t>
            </w:r>
          </w:p>
        </w:tc>
      </w:tr>
      <w:tr w:rsidTr="00D7098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7098D">
            <w:pPr>
              <w:pStyle w:val="BodyText"/>
              <w:rPr>
                <w:lang w:val="en-NZ"/>
              </w:rPr>
            </w:pPr>
            <w:r w:rsidRPr="00D7098D">
              <w:t>4.2</w:t>
            </w:r>
          </w:p>
        </w:tc>
        <w:tc>
          <w:tcPr>
            <w:tcW w:w="5610" w:type="dxa"/>
            <w:tcBorders>
              <w:top w:val="nil"/>
              <w:left w:val="nil"/>
              <w:bottom w:val="nil"/>
              <w:right w:val="nil"/>
            </w:tcBorders>
            <w:tcMar>
              <w:top w:w="0" w:type="dxa"/>
              <w:left w:w="62" w:type="dxa"/>
              <w:bottom w:w="0" w:type="dxa"/>
              <w:right w:w="62" w:type="dxa"/>
            </w:tcMar>
          </w:tcPr>
          <w:p w:rsidR="00000000" w:rsidP="00D7098D">
            <w:pPr>
              <w:pStyle w:val="BodyText"/>
              <w:rPr>
                <w:lang w:val="en-NZ"/>
              </w:rPr>
            </w:pPr>
            <w:r w:rsidRPr="00D7098D">
              <w:t>Perform safety audits during shutdown work</w:t>
            </w:r>
          </w:p>
        </w:tc>
      </w:tr>
      <w:tr w:rsidTr="00D7098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7098D">
            <w:pPr>
              <w:pStyle w:val="BodyText"/>
              <w:rPr>
                <w:lang w:val="en-NZ"/>
              </w:rPr>
            </w:pPr>
            <w:r w:rsidRPr="00D7098D">
              <w:t>4.3</w:t>
            </w:r>
          </w:p>
        </w:tc>
        <w:tc>
          <w:tcPr>
            <w:tcW w:w="5610" w:type="dxa"/>
            <w:tcBorders>
              <w:top w:val="nil"/>
              <w:left w:val="nil"/>
              <w:bottom w:val="nil"/>
              <w:right w:val="nil"/>
            </w:tcBorders>
            <w:tcMar>
              <w:top w:w="0" w:type="dxa"/>
              <w:left w:w="62" w:type="dxa"/>
              <w:bottom w:w="0" w:type="dxa"/>
              <w:right w:w="62" w:type="dxa"/>
            </w:tcMar>
          </w:tcPr>
          <w:p w:rsidR="00000000" w:rsidP="00D7098D">
            <w:pPr>
              <w:pStyle w:val="BodyText"/>
              <w:rPr>
                <w:lang w:val="en-NZ"/>
              </w:rPr>
            </w:pPr>
            <w:r w:rsidRPr="00D7098D">
              <w:t>Record/report health, safety and environment (HSE) non-conformance</w:t>
            </w:r>
          </w:p>
        </w:tc>
      </w:tr>
      <w:tr w:rsidTr="00D7098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7098D">
            <w:pPr>
              <w:pStyle w:val="BodyText"/>
              <w:rPr>
                <w:lang w:val="en-NZ"/>
              </w:rPr>
            </w:pPr>
            <w:r w:rsidRPr="00D7098D">
              <w:t>4.4</w:t>
            </w:r>
          </w:p>
        </w:tc>
        <w:tc>
          <w:tcPr>
            <w:tcW w:w="5610" w:type="dxa"/>
            <w:tcBorders>
              <w:top w:val="nil"/>
              <w:left w:val="nil"/>
              <w:bottom w:val="nil"/>
              <w:right w:val="nil"/>
            </w:tcBorders>
            <w:tcMar>
              <w:top w:w="0" w:type="dxa"/>
              <w:left w:w="62" w:type="dxa"/>
              <w:bottom w:w="0" w:type="dxa"/>
              <w:right w:w="62" w:type="dxa"/>
            </w:tcMar>
          </w:tcPr>
          <w:p w:rsidR="00000000" w:rsidP="00D7098D">
            <w:pPr>
              <w:pStyle w:val="BodyText"/>
              <w:rPr>
                <w:lang w:val="en-NZ"/>
              </w:rPr>
            </w:pPr>
            <w:r w:rsidRPr="00D7098D">
              <w:t>Communicate as and when required</w:t>
            </w:r>
          </w:p>
        </w:tc>
      </w:tr>
      <w:tr w:rsidTr="00D7098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7098D">
            <w:pPr>
              <w:pStyle w:val="BodyText"/>
              <w:rPr>
                <w:lang w:val="en-NZ"/>
              </w:rPr>
            </w:pPr>
            <w:r w:rsidRPr="00D7098D">
              <w:t>4.5</w:t>
            </w:r>
          </w:p>
        </w:tc>
        <w:tc>
          <w:tcPr>
            <w:tcW w:w="5610" w:type="dxa"/>
            <w:tcBorders>
              <w:top w:val="nil"/>
              <w:left w:val="nil"/>
              <w:bottom w:val="nil"/>
              <w:right w:val="nil"/>
            </w:tcBorders>
            <w:tcMar>
              <w:top w:w="0" w:type="dxa"/>
              <w:left w:w="62" w:type="dxa"/>
              <w:bottom w:w="0" w:type="dxa"/>
              <w:right w:w="62" w:type="dxa"/>
            </w:tcMar>
          </w:tcPr>
          <w:p w:rsidR="00000000" w:rsidP="00D7098D">
            <w:pPr>
              <w:pStyle w:val="BodyText"/>
              <w:rPr>
                <w:lang w:val="en-NZ"/>
              </w:rPr>
            </w:pPr>
            <w:r w:rsidRPr="00D7098D">
              <w:t>Monitor shutdown work against critical path</w:t>
            </w:r>
          </w:p>
        </w:tc>
      </w:tr>
      <w:tr w:rsidTr="00D7098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7098D">
            <w:pPr>
              <w:pStyle w:val="BodyText"/>
              <w:rPr>
                <w:lang w:val="en-NZ"/>
              </w:rPr>
            </w:pPr>
            <w:r w:rsidRPr="00D7098D">
              <w:t>4.6</w:t>
            </w:r>
          </w:p>
        </w:tc>
        <w:tc>
          <w:tcPr>
            <w:tcW w:w="5610" w:type="dxa"/>
            <w:tcBorders>
              <w:top w:val="nil"/>
              <w:left w:val="nil"/>
              <w:bottom w:val="nil"/>
              <w:right w:val="nil"/>
            </w:tcBorders>
            <w:tcMar>
              <w:top w:w="0" w:type="dxa"/>
              <w:left w:w="62" w:type="dxa"/>
              <w:bottom w:w="0" w:type="dxa"/>
              <w:right w:w="62" w:type="dxa"/>
            </w:tcMar>
          </w:tcPr>
          <w:p w:rsidR="00000000" w:rsidP="00D7098D">
            <w:pPr>
              <w:pStyle w:val="BodyText"/>
              <w:rPr>
                <w:lang w:val="en-NZ"/>
              </w:rPr>
            </w:pPr>
            <w:r w:rsidRPr="00D7098D">
              <w:t>Monitor resource usage and take action</w:t>
            </w:r>
          </w:p>
        </w:tc>
      </w:tr>
      <w:tr w:rsidTr="00D7098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7098D">
            <w:pPr>
              <w:pStyle w:val="BodyText"/>
              <w:rPr>
                <w:lang w:val="en-NZ"/>
              </w:rPr>
            </w:pPr>
            <w:r w:rsidRPr="00D7098D">
              <w:t>4.7</w:t>
            </w:r>
          </w:p>
        </w:tc>
        <w:tc>
          <w:tcPr>
            <w:tcW w:w="5610" w:type="dxa"/>
            <w:tcBorders>
              <w:top w:val="nil"/>
              <w:left w:val="nil"/>
              <w:bottom w:val="nil"/>
              <w:right w:val="nil"/>
            </w:tcBorders>
            <w:tcMar>
              <w:top w:w="0" w:type="dxa"/>
              <w:left w:w="62" w:type="dxa"/>
              <w:bottom w:w="0" w:type="dxa"/>
              <w:right w:w="62" w:type="dxa"/>
            </w:tcMar>
          </w:tcPr>
          <w:p w:rsidR="00000000" w:rsidP="00D7098D">
            <w:pPr>
              <w:pStyle w:val="BodyText"/>
              <w:rPr>
                <w:lang w:val="en-NZ"/>
              </w:rPr>
            </w:pPr>
            <w:r w:rsidRPr="00D7098D">
              <w:t>Identify barriers to achieving shutdown critical path and negotiate solution</w:t>
            </w:r>
          </w:p>
        </w:tc>
      </w:tr>
      <w:tr w:rsidTr="00D7098D">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D7098D">
            <w:pPr>
              <w:pStyle w:val="BodyText"/>
              <w:rPr>
                <w:lang w:val="en-NZ"/>
              </w:rPr>
            </w:pPr>
          </w:p>
        </w:tc>
      </w:tr>
      <w:tr w:rsidTr="00D7098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D7098D" w:rsidP="00D7098D">
            <w:pPr>
              <w:pStyle w:val="BodyText"/>
            </w:pPr>
            <w:r w:rsidRPr="00D7098D">
              <w:t>5</w:t>
            </w:r>
          </w:p>
        </w:tc>
        <w:tc>
          <w:tcPr>
            <w:tcW w:w="1962" w:type="dxa"/>
            <w:vMerge w:val="restart"/>
            <w:tcBorders>
              <w:top w:val="nil"/>
              <w:left w:val="nil"/>
              <w:bottom w:val="nil"/>
              <w:right w:val="nil"/>
            </w:tcBorders>
            <w:tcMar>
              <w:top w:w="0" w:type="dxa"/>
              <w:left w:w="62" w:type="dxa"/>
              <w:bottom w:w="0" w:type="dxa"/>
              <w:right w:w="62" w:type="dxa"/>
            </w:tcMar>
          </w:tcPr>
          <w:p w:rsidR="00000000" w:rsidP="00D7098D">
            <w:pPr>
              <w:pStyle w:val="BodyText"/>
              <w:rPr>
                <w:lang w:val="en-NZ"/>
              </w:rPr>
            </w:pPr>
            <w:r w:rsidRPr="00D7098D">
              <w:rPr>
                <w:rStyle w:val="SpecialBold"/>
              </w:rPr>
              <w:t>Communicate with all relevant stakeholders</w:t>
            </w:r>
          </w:p>
        </w:tc>
        <w:tc>
          <w:tcPr>
            <w:tcW w:w="770" w:type="dxa"/>
            <w:tcBorders>
              <w:top w:val="nil"/>
              <w:left w:val="nil"/>
              <w:bottom w:val="nil"/>
              <w:right w:val="nil"/>
            </w:tcBorders>
            <w:tcMar>
              <w:top w:w="0" w:type="dxa"/>
              <w:left w:w="62" w:type="dxa"/>
              <w:bottom w:w="0" w:type="dxa"/>
              <w:right w:w="62" w:type="dxa"/>
            </w:tcMar>
          </w:tcPr>
          <w:p w:rsidR="00000000" w:rsidP="00D7098D">
            <w:pPr>
              <w:pStyle w:val="BodyText"/>
              <w:rPr>
                <w:lang w:val="en-NZ"/>
              </w:rPr>
            </w:pPr>
            <w:r w:rsidRPr="00D7098D">
              <w:t>5.1</w:t>
            </w:r>
          </w:p>
        </w:tc>
        <w:tc>
          <w:tcPr>
            <w:tcW w:w="5610" w:type="dxa"/>
            <w:tcBorders>
              <w:top w:val="nil"/>
              <w:left w:val="nil"/>
              <w:bottom w:val="nil"/>
              <w:right w:val="nil"/>
            </w:tcBorders>
            <w:tcMar>
              <w:top w:w="0" w:type="dxa"/>
              <w:left w:w="62" w:type="dxa"/>
              <w:bottom w:w="0" w:type="dxa"/>
              <w:right w:w="62" w:type="dxa"/>
            </w:tcMar>
          </w:tcPr>
          <w:p w:rsidR="00000000" w:rsidP="00D7098D">
            <w:pPr>
              <w:pStyle w:val="BodyText"/>
              <w:rPr>
                <w:lang w:val="en-NZ"/>
              </w:rPr>
            </w:pPr>
            <w:r w:rsidRPr="00D7098D">
              <w:t>Communicate shutdown plan/schedule to operations team</w:t>
            </w:r>
          </w:p>
        </w:tc>
      </w:tr>
      <w:tr w:rsidTr="00D7098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7098D">
            <w:pPr>
              <w:pStyle w:val="BodyText"/>
              <w:rPr>
                <w:lang w:val="en-NZ"/>
              </w:rPr>
            </w:pPr>
            <w:r w:rsidRPr="00D7098D">
              <w:t>5.2</w:t>
            </w:r>
          </w:p>
        </w:tc>
        <w:tc>
          <w:tcPr>
            <w:tcW w:w="5610" w:type="dxa"/>
            <w:tcBorders>
              <w:top w:val="nil"/>
              <w:left w:val="nil"/>
              <w:bottom w:val="nil"/>
              <w:right w:val="nil"/>
            </w:tcBorders>
            <w:tcMar>
              <w:top w:w="0" w:type="dxa"/>
              <w:left w:w="62" w:type="dxa"/>
              <w:bottom w:w="0" w:type="dxa"/>
              <w:right w:w="62" w:type="dxa"/>
            </w:tcMar>
          </w:tcPr>
          <w:p w:rsidR="00000000" w:rsidP="00D7098D">
            <w:pPr>
              <w:pStyle w:val="BodyText"/>
              <w:rPr>
                <w:lang w:val="en-NZ"/>
              </w:rPr>
            </w:pPr>
            <w:r w:rsidRPr="00D7098D">
              <w:t>Attend and contribute to regular shutdown progress meetings</w:t>
            </w:r>
          </w:p>
        </w:tc>
      </w:tr>
      <w:tr w:rsidTr="00D7098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7098D">
            <w:pPr>
              <w:pStyle w:val="BodyText"/>
              <w:rPr>
                <w:lang w:val="en-NZ"/>
              </w:rPr>
            </w:pPr>
            <w:r w:rsidRPr="00D7098D">
              <w:t>5.3</w:t>
            </w:r>
          </w:p>
        </w:tc>
        <w:tc>
          <w:tcPr>
            <w:tcW w:w="5610" w:type="dxa"/>
            <w:tcBorders>
              <w:top w:val="nil"/>
              <w:left w:val="nil"/>
              <w:bottom w:val="nil"/>
              <w:right w:val="nil"/>
            </w:tcBorders>
            <w:tcMar>
              <w:top w:w="0" w:type="dxa"/>
              <w:left w:w="62" w:type="dxa"/>
              <w:bottom w:w="0" w:type="dxa"/>
              <w:right w:w="62" w:type="dxa"/>
            </w:tcMar>
          </w:tcPr>
          <w:p w:rsidR="00000000" w:rsidP="00D7098D">
            <w:pPr>
              <w:pStyle w:val="BodyText"/>
              <w:rPr>
                <w:lang w:val="en-NZ"/>
              </w:rPr>
            </w:pPr>
            <w:r w:rsidRPr="00D7098D">
              <w:t>Record and report daily shutdown activities</w:t>
            </w:r>
          </w:p>
        </w:tc>
      </w:tr>
      <w:tr w:rsidTr="00D7098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7098D">
            <w:pPr>
              <w:pStyle w:val="BodyText"/>
              <w:rPr>
                <w:lang w:val="en-NZ"/>
              </w:rPr>
            </w:pPr>
            <w:r w:rsidRPr="00D7098D">
              <w:t>5.4</w:t>
            </w:r>
          </w:p>
        </w:tc>
        <w:tc>
          <w:tcPr>
            <w:tcW w:w="5610" w:type="dxa"/>
            <w:tcBorders>
              <w:top w:val="nil"/>
              <w:left w:val="nil"/>
              <w:bottom w:val="nil"/>
              <w:right w:val="nil"/>
            </w:tcBorders>
            <w:tcMar>
              <w:top w:w="0" w:type="dxa"/>
              <w:left w:w="62" w:type="dxa"/>
              <w:bottom w:w="0" w:type="dxa"/>
              <w:right w:w="62" w:type="dxa"/>
            </w:tcMar>
          </w:tcPr>
          <w:p w:rsidR="00000000" w:rsidP="00D7098D">
            <w:pPr>
              <w:pStyle w:val="BodyText"/>
              <w:rPr>
                <w:lang w:val="en-NZ"/>
              </w:rPr>
            </w:pPr>
            <w:r w:rsidRPr="00D7098D">
              <w:t>Ensure all authorisations required for tasks have been obtained</w:t>
            </w:r>
          </w:p>
        </w:tc>
      </w:tr>
      <w:tr w:rsidTr="00D7098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7098D">
            <w:pPr>
              <w:pStyle w:val="BodyText"/>
              <w:rPr>
                <w:lang w:val="en-NZ"/>
              </w:rPr>
            </w:pPr>
            <w:r w:rsidRPr="00D7098D">
              <w:t>5.5</w:t>
            </w:r>
          </w:p>
        </w:tc>
        <w:tc>
          <w:tcPr>
            <w:tcW w:w="5610" w:type="dxa"/>
            <w:tcBorders>
              <w:top w:val="nil"/>
              <w:left w:val="nil"/>
              <w:bottom w:val="nil"/>
              <w:right w:val="nil"/>
            </w:tcBorders>
            <w:tcMar>
              <w:top w:w="0" w:type="dxa"/>
              <w:left w:w="62" w:type="dxa"/>
              <w:bottom w:w="0" w:type="dxa"/>
              <w:right w:w="62" w:type="dxa"/>
            </w:tcMar>
          </w:tcPr>
          <w:p w:rsidR="00000000" w:rsidP="00D7098D">
            <w:pPr>
              <w:pStyle w:val="BodyText"/>
              <w:rPr>
                <w:lang w:val="en-NZ"/>
              </w:rPr>
            </w:pPr>
            <w:r w:rsidRPr="00D7098D">
              <w:t>Identify, communicate and mange HSE issues arising during execution of shutdown activities</w:t>
            </w:r>
          </w:p>
        </w:tc>
      </w:tr>
      <w:tr w:rsidTr="00D7098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7098D">
            <w:pPr>
              <w:pStyle w:val="BodyText"/>
              <w:rPr>
                <w:lang w:val="en-NZ"/>
              </w:rPr>
            </w:pPr>
            <w:r w:rsidRPr="00D7098D">
              <w:t>5.6</w:t>
            </w:r>
          </w:p>
        </w:tc>
        <w:tc>
          <w:tcPr>
            <w:tcW w:w="5610" w:type="dxa"/>
            <w:tcBorders>
              <w:top w:val="nil"/>
              <w:left w:val="nil"/>
              <w:bottom w:val="nil"/>
              <w:right w:val="nil"/>
            </w:tcBorders>
            <w:tcMar>
              <w:top w:w="0" w:type="dxa"/>
              <w:left w:w="62" w:type="dxa"/>
              <w:bottom w:w="0" w:type="dxa"/>
              <w:right w:w="62" w:type="dxa"/>
            </w:tcMar>
          </w:tcPr>
          <w:p w:rsidR="00000000" w:rsidP="00D7098D">
            <w:pPr>
              <w:pStyle w:val="BodyText"/>
              <w:rPr>
                <w:lang w:val="en-NZ"/>
              </w:rPr>
            </w:pPr>
            <w:r w:rsidRPr="00D7098D">
              <w:t>Contribute to post shutdown review</w:t>
            </w:r>
          </w:p>
        </w:tc>
      </w:tr>
      <w:tr w:rsidTr="00D7098D">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D7098D">
            <w:pPr>
              <w:pStyle w:val="BodyText"/>
              <w:rPr>
                <w:lang w:val="en-NZ"/>
              </w:rPr>
            </w:pPr>
          </w:p>
        </w:tc>
      </w:tr>
      <w:tr w:rsidTr="00D7098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D7098D" w:rsidP="00D7098D">
            <w:pPr>
              <w:pStyle w:val="BodyText"/>
            </w:pPr>
            <w:r w:rsidRPr="00D7098D">
              <w:t>6</w:t>
            </w:r>
          </w:p>
        </w:tc>
        <w:tc>
          <w:tcPr>
            <w:tcW w:w="1962" w:type="dxa"/>
            <w:vMerge w:val="restart"/>
            <w:tcBorders>
              <w:top w:val="nil"/>
              <w:left w:val="nil"/>
              <w:bottom w:val="nil"/>
              <w:right w:val="nil"/>
            </w:tcBorders>
            <w:tcMar>
              <w:top w:w="0" w:type="dxa"/>
              <w:left w:w="62" w:type="dxa"/>
              <w:bottom w:w="0" w:type="dxa"/>
              <w:right w:w="62" w:type="dxa"/>
            </w:tcMar>
          </w:tcPr>
          <w:p w:rsidR="00000000" w:rsidP="00D7098D">
            <w:pPr>
              <w:pStyle w:val="BodyText"/>
              <w:rPr>
                <w:lang w:val="en-NZ"/>
              </w:rPr>
            </w:pPr>
            <w:r w:rsidRPr="00D7098D">
              <w:rPr>
                <w:rStyle w:val="SpecialBold"/>
              </w:rPr>
              <w:t>Return plant to service</w:t>
            </w:r>
          </w:p>
        </w:tc>
        <w:tc>
          <w:tcPr>
            <w:tcW w:w="770" w:type="dxa"/>
            <w:tcBorders>
              <w:top w:val="nil"/>
              <w:left w:val="nil"/>
              <w:bottom w:val="nil"/>
              <w:right w:val="nil"/>
            </w:tcBorders>
            <w:tcMar>
              <w:top w:w="0" w:type="dxa"/>
              <w:left w:w="62" w:type="dxa"/>
              <w:bottom w:w="0" w:type="dxa"/>
              <w:right w:w="62" w:type="dxa"/>
            </w:tcMar>
          </w:tcPr>
          <w:p w:rsidR="00000000" w:rsidP="00D7098D">
            <w:pPr>
              <w:pStyle w:val="BodyText"/>
              <w:rPr>
                <w:lang w:val="en-NZ"/>
              </w:rPr>
            </w:pPr>
            <w:r w:rsidRPr="00D7098D">
              <w:t>6.1</w:t>
            </w:r>
          </w:p>
        </w:tc>
        <w:tc>
          <w:tcPr>
            <w:tcW w:w="5610" w:type="dxa"/>
            <w:tcBorders>
              <w:top w:val="nil"/>
              <w:left w:val="nil"/>
              <w:bottom w:val="nil"/>
              <w:right w:val="nil"/>
            </w:tcBorders>
            <w:tcMar>
              <w:top w:w="0" w:type="dxa"/>
              <w:left w:w="62" w:type="dxa"/>
              <w:bottom w:w="0" w:type="dxa"/>
              <w:right w:w="62" w:type="dxa"/>
            </w:tcMar>
          </w:tcPr>
          <w:p w:rsidR="00000000" w:rsidP="00D7098D">
            <w:pPr>
              <w:pStyle w:val="BodyText"/>
              <w:rPr>
                <w:lang w:val="en-NZ"/>
              </w:rPr>
            </w:pPr>
            <w:r w:rsidRPr="00D7098D">
              <w:t>Confirm that all scheduled work on equipment is complete before hand back is accepted</w:t>
            </w:r>
          </w:p>
        </w:tc>
      </w:tr>
      <w:tr w:rsidTr="00D7098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7098D">
            <w:pPr>
              <w:pStyle w:val="BodyText"/>
              <w:rPr>
                <w:lang w:val="en-NZ"/>
              </w:rPr>
            </w:pPr>
            <w:r w:rsidRPr="00D7098D">
              <w:t>6.2</w:t>
            </w:r>
          </w:p>
        </w:tc>
        <w:tc>
          <w:tcPr>
            <w:tcW w:w="5610" w:type="dxa"/>
            <w:tcBorders>
              <w:top w:val="nil"/>
              <w:left w:val="nil"/>
              <w:bottom w:val="nil"/>
              <w:right w:val="nil"/>
            </w:tcBorders>
            <w:tcMar>
              <w:top w:w="0" w:type="dxa"/>
              <w:left w:w="62" w:type="dxa"/>
              <w:bottom w:w="0" w:type="dxa"/>
              <w:right w:w="62" w:type="dxa"/>
            </w:tcMar>
          </w:tcPr>
          <w:p w:rsidR="00000000" w:rsidP="00D7098D">
            <w:pPr>
              <w:pStyle w:val="BodyText"/>
              <w:rPr>
                <w:lang w:val="en-NZ"/>
              </w:rPr>
            </w:pPr>
            <w:r w:rsidRPr="00D7098D">
              <w:t>Ensure equipment hand back documentation complete according to site protocol</w:t>
            </w:r>
          </w:p>
        </w:tc>
      </w:tr>
      <w:tr w:rsidTr="00D7098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7098D">
            <w:pPr>
              <w:pStyle w:val="BodyText"/>
              <w:rPr>
                <w:lang w:val="en-NZ"/>
              </w:rPr>
            </w:pPr>
            <w:r w:rsidRPr="00D7098D">
              <w:t>6.3</w:t>
            </w:r>
          </w:p>
        </w:tc>
        <w:tc>
          <w:tcPr>
            <w:tcW w:w="5610" w:type="dxa"/>
            <w:tcBorders>
              <w:top w:val="nil"/>
              <w:left w:val="nil"/>
              <w:bottom w:val="nil"/>
              <w:right w:val="nil"/>
            </w:tcBorders>
            <w:tcMar>
              <w:top w:w="0" w:type="dxa"/>
              <w:left w:w="62" w:type="dxa"/>
              <w:bottom w:w="0" w:type="dxa"/>
              <w:right w:w="62" w:type="dxa"/>
            </w:tcMar>
          </w:tcPr>
          <w:p w:rsidR="00000000" w:rsidP="00D7098D">
            <w:pPr>
              <w:pStyle w:val="BodyText"/>
              <w:rPr>
                <w:lang w:val="en-NZ"/>
              </w:rPr>
            </w:pPr>
            <w:r w:rsidRPr="00D7098D">
              <w:t>Coordinate pre-start equipment integrity checks</w:t>
            </w:r>
          </w:p>
        </w:tc>
      </w:tr>
      <w:tr w:rsidTr="00D7098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7098D">
            <w:pPr>
              <w:pStyle w:val="BodyText"/>
              <w:rPr>
                <w:lang w:val="en-NZ"/>
              </w:rPr>
            </w:pPr>
            <w:r w:rsidRPr="00D7098D">
              <w:t>6.4</w:t>
            </w:r>
          </w:p>
        </w:tc>
        <w:tc>
          <w:tcPr>
            <w:tcW w:w="5610" w:type="dxa"/>
            <w:tcBorders>
              <w:top w:val="nil"/>
              <w:left w:val="nil"/>
              <w:bottom w:val="nil"/>
              <w:right w:val="nil"/>
            </w:tcBorders>
            <w:tcMar>
              <w:top w:w="0" w:type="dxa"/>
              <w:left w:w="62" w:type="dxa"/>
              <w:bottom w:w="0" w:type="dxa"/>
              <w:right w:w="62" w:type="dxa"/>
            </w:tcMar>
          </w:tcPr>
          <w:p w:rsidR="00000000" w:rsidP="00D7098D">
            <w:pPr>
              <w:pStyle w:val="BodyText"/>
              <w:rPr>
                <w:lang w:val="en-NZ"/>
              </w:rPr>
            </w:pPr>
            <w:r w:rsidRPr="00D7098D">
              <w:t>Coordinate and validate plant de-isolation and preparation for service</w:t>
            </w:r>
          </w:p>
        </w:tc>
      </w:tr>
      <w:tr w:rsidTr="00D7098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7098D">
            <w:pPr>
              <w:pStyle w:val="BodyText"/>
              <w:rPr>
                <w:lang w:val="en-NZ"/>
              </w:rPr>
            </w:pPr>
            <w:r w:rsidRPr="00D7098D">
              <w:t>6.5</w:t>
            </w:r>
          </w:p>
        </w:tc>
        <w:tc>
          <w:tcPr>
            <w:tcW w:w="5610" w:type="dxa"/>
            <w:tcBorders>
              <w:top w:val="nil"/>
              <w:left w:val="nil"/>
              <w:bottom w:val="nil"/>
              <w:right w:val="nil"/>
            </w:tcBorders>
            <w:tcMar>
              <w:top w:w="0" w:type="dxa"/>
              <w:left w:w="62" w:type="dxa"/>
              <w:bottom w:w="0" w:type="dxa"/>
              <w:right w:w="62" w:type="dxa"/>
            </w:tcMar>
          </w:tcPr>
          <w:p w:rsidR="00000000" w:rsidP="00D7098D">
            <w:pPr>
              <w:pStyle w:val="BodyText"/>
              <w:rPr>
                <w:lang w:val="en-NZ"/>
              </w:rPr>
            </w:pPr>
            <w:r w:rsidRPr="00D7098D">
              <w:t>Ensure appropriate plant start-up authority is obtained</w:t>
            </w:r>
          </w:p>
        </w:tc>
      </w:tr>
      <w:tr w:rsidTr="00D7098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7098D">
            <w:pPr>
              <w:pStyle w:val="BodyText"/>
              <w:rPr>
                <w:lang w:val="en-NZ"/>
              </w:rPr>
            </w:pPr>
            <w:r w:rsidRPr="00D7098D">
              <w:t>6.6</w:t>
            </w:r>
          </w:p>
        </w:tc>
        <w:tc>
          <w:tcPr>
            <w:tcW w:w="5610" w:type="dxa"/>
            <w:tcBorders>
              <w:top w:val="nil"/>
              <w:left w:val="nil"/>
              <w:bottom w:val="nil"/>
              <w:right w:val="nil"/>
            </w:tcBorders>
            <w:tcMar>
              <w:top w:w="0" w:type="dxa"/>
              <w:left w:w="62" w:type="dxa"/>
              <w:bottom w:w="0" w:type="dxa"/>
              <w:right w:w="62" w:type="dxa"/>
            </w:tcMar>
          </w:tcPr>
          <w:p w:rsidR="00000000" w:rsidP="00D7098D">
            <w:pPr>
              <w:pStyle w:val="BodyText"/>
              <w:rPr>
                <w:lang w:val="en-NZ"/>
              </w:rPr>
            </w:pPr>
            <w:r w:rsidRPr="00D7098D">
              <w:t>Coordinate start-up critical function tests as required</w:t>
            </w:r>
          </w:p>
        </w:tc>
      </w:tr>
      <w:tr w:rsidTr="00D7098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7098D">
            <w:pPr>
              <w:pStyle w:val="BodyText"/>
              <w:rPr>
                <w:lang w:val="en-NZ"/>
              </w:rPr>
            </w:pPr>
            <w:r w:rsidRPr="00D7098D">
              <w:t>6.7</w:t>
            </w:r>
          </w:p>
        </w:tc>
        <w:tc>
          <w:tcPr>
            <w:tcW w:w="5610" w:type="dxa"/>
            <w:tcBorders>
              <w:top w:val="nil"/>
              <w:left w:val="nil"/>
              <w:bottom w:val="nil"/>
              <w:right w:val="nil"/>
            </w:tcBorders>
            <w:tcMar>
              <w:top w:w="0" w:type="dxa"/>
              <w:left w:w="62" w:type="dxa"/>
              <w:bottom w:w="0" w:type="dxa"/>
              <w:right w:w="62" w:type="dxa"/>
            </w:tcMar>
          </w:tcPr>
          <w:p w:rsidR="00000000" w:rsidRPr="00D7098D" w:rsidP="00D7098D">
            <w:pPr>
              <w:pStyle w:val="BodyText"/>
            </w:pPr>
            <w:r w:rsidRPr="00D7098D">
              <w:t>Coordinate and record plant start-up progress</w:t>
            </w:r>
          </w:p>
        </w:tc>
      </w:tr>
    </w:tbl>
    <w:p w:rsidR="00000000" w:rsidRPr="00D7098D" w:rsidP="00D7098D">
      <w:pPr>
        <w:pStyle w:val="BodyText"/>
      </w:pPr>
    </w:p>
    <w:p w:rsidR="00000000" w:rsidRPr="00D7098D" w:rsidP="00D7098D">
      <w:pPr>
        <w:pStyle w:val="AllowPageBreak"/>
      </w:pPr>
    </w:p>
    <w:p w:rsidR="00000000" w:rsidRPr="00D7098D" w:rsidP="00D7098D">
      <w:pPr>
        <w:pStyle w:val="Heading1"/>
      </w:pPr>
      <w:bookmarkStart w:id="7" w:name="O_908528"/>
      <w:bookmarkEnd w:id="7"/>
      <w:r w:rsidRPr="00D7098D">
        <w:t>Foundation Skills</w:t>
      </w:r>
    </w:p>
    <w:p w:rsidR="00000000" w:rsidRPr="00D7098D" w:rsidP="00F628D0">
      <w:pPr>
        <w:pStyle w:val="BodyText"/>
      </w:pPr>
      <w:r w:rsidRPr="00D7098D">
        <w:t>This section describes those language, literacy, numeracy and employment skills that are essential to performance.</w:t>
      </w:r>
    </w:p>
    <w:p w:rsidR="00000000" w:rsidRPr="00D7098D" w:rsidP="00F628D0">
      <w:pPr>
        <w:pStyle w:val="BodyText"/>
      </w:pPr>
      <w:r w:rsidRPr="00D7098D">
        <w:t>Foundation skills essential to performance are explicit in the performance criteria of this unit of competency.</w:t>
      </w:r>
    </w:p>
    <w:p w:rsidR="00000000" w:rsidRPr="00D7098D" w:rsidP="00D7098D">
      <w:pPr>
        <w:pStyle w:val="Heading1"/>
      </w:pPr>
      <w:bookmarkStart w:id="8" w:name="O_908527"/>
      <w:bookmarkEnd w:id="8"/>
      <w:r w:rsidRPr="00D7098D">
        <w:t>Range of Co</w:t>
      </w:r>
      <w:r w:rsidRPr="00D7098D">
        <w:t>nditions</w:t>
      </w:r>
    </w:p>
    <w:tbl>
      <w:tblPr>
        <w:tblW w:w="0" w:type="auto"/>
        <w:tblCellMar>
          <w:left w:w="62" w:type="dxa"/>
          <w:right w:w="62" w:type="dxa"/>
        </w:tblCellMar>
        <w:tblLook w:val="0000"/>
      </w:tblPr>
      <w:tblGrid>
        <w:gridCol w:w="2163"/>
        <w:gridCol w:w="7033"/>
      </w:tblGrid>
      <w:tr w:rsidTr="00F628D0">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D7098D">
            <w:pPr>
              <w:pStyle w:val="BodyText"/>
              <w:rPr>
                <w:lang w:val="en-NZ"/>
              </w:rPr>
            </w:pPr>
            <w:r w:rsidRPr="00D7098D">
              <w:t>This field allows for different work environments and conditions that may affect performance. Essential operating conditions that may be present (depending on the work situation, needs of the candidate, accessibility of the item, and local industr</w:t>
            </w:r>
            <w:r w:rsidRPr="00D7098D">
              <w:t>y and regional contexts) are included.</w:t>
            </w:r>
          </w:p>
        </w:tc>
      </w:tr>
      <w:tr w:rsidTr="00F628D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D7098D" w:rsidP="00D7098D">
            <w:pPr>
              <w:pStyle w:val="BodyText"/>
            </w:pPr>
            <w:r w:rsidRPr="00D7098D">
              <w:rPr>
                <w:rStyle w:val="SpecialBold"/>
              </w:rPr>
              <w:t xml:space="preserve">Regulatory framework </w:t>
            </w:r>
          </w:p>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D7098D" w:rsidP="00D7098D">
            <w:pPr>
              <w:pStyle w:val="BodyText"/>
            </w:pPr>
            <w:r w:rsidRPr="00D7098D">
              <w:t>The latest version of all legislation, regulations, industry codes of practice and Australian/international standards, or the version specified by the local regulatory authority, must be used,</w:t>
            </w:r>
            <w:r w:rsidRPr="00D7098D">
              <w:t xml:space="preserve"> and include one or more of the following:</w:t>
            </w:r>
          </w:p>
          <w:p w:rsidR="00000000" w:rsidRPr="00D7098D" w:rsidP="00D7098D">
            <w:pPr>
              <w:pStyle w:val="ListBullet"/>
            </w:pPr>
            <w:r w:rsidRPr="00D7098D">
              <w:t>legislative requirements, including work health and safety (WHS)</w:t>
            </w:r>
          </w:p>
          <w:p w:rsidR="00000000" w:rsidRPr="00D7098D" w:rsidP="00D7098D">
            <w:pPr>
              <w:pStyle w:val="ListBullet"/>
            </w:pPr>
            <w:r w:rsidRPr="00D7098D">
              <w:t>industry codes of practice and guidelines</w:t>
            </w:r>
          </w:p>
          <w:p w:rsidR="00000000" w:rsidRPr="00D7098D" w:rsidP="00D7098D">
            <w:pPr>
              <w:pStyle w:val="ListBullet"/>
            </w:pPr>
            <w:r w:rsidRPr="00D7098D">
              <w:t xml:space="preserve">environmental regulations and guidelines </w:t>
            </w:r>
          </w:p>
          <w:p w:rsidR="00000000" w:rsidRPr="00D7098D" w:rsidP="00D7098D">
            <w:pPr>
              <w:pStyle w:val="ListBullet"/>
            </w:pPr>
            <w:r w:rsidRPr="00D7098D">
              <w:t>Australian and other standards</w:t>
            </w:r>
          </w:p>
          <w:p w:rsidR="00000000" w:rsidRPr="00D7098D" w:rsidP="00D7098D">
            <w:pPr>
              <w:pStyle w:val="ListBullet"/>
            </w:pPr>
            <w:r w:rsidRPr="00D7098D">
              <w:t xml:space="preserve">licence and certification requirements </w:t>
            </w:r>
          </w:p>
          <w:p w:rsidR="00000000" w:rsidRPr="00D7098D" w:rsidP="00D7098D">
            <w:pPr>
              <w:pStyle w:val="BodyText"/>
            </w:pPr>
          </w:p>
          <w:p w:rsidR="00000000" w:rsidRPr="00D7098D" w:rsidP="00D7098D">
            <w:pPr>
              <w:pStyle w:val="BodyText"/>
            </w:pPr>
            <w:r w:rsidRPr="00D7098D">
              <w:t>All operations to which this unit applies are subject to stringent health, safety and environment (HSE) requirements, which may be imposed through state/territory or federal legislation, and these must not be compro</w:t>
            </w:r>
            <w:r w:rsidRPr="00D7098D">
              <w:t>mised at any time. Where there is an apparent conflict between performance criteria and HSE requirements, the HSE requirements take precedence.</w:t>
            </w:r>
          </w:p>
          <w:p w:rsidR="00000000" w:rsidP="00D7098D">
            <w:pPr>
              <w:pStyle w:val="BodyText"/>
              <w:rPr>
                <w:lang w:val="en-NZ"/>
              </w:rPr>
            </w:pPr>
          </w:p>
        </w:tc>
      </w:tr>
      <w:tr w:rsidTr="00F628D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7098D">
            <w:pPr>
              <w:pStyle w:val="BodyText"/>
              <w:rPr>
                <w:lang w:val="en-NZ"/>
              </w:rPr>
            </w:pPr>
            <w:r w:rsidRPr="00D7098D">
              <w:rPr>
                <w:rStyle w:val="SpecialBold"/>
              </w:rPr>
              <w:t>Procedures</w:t>
            </w:r>
          </w:p>
        </w:tc>
        <w:tc>
          <w:tcPr>
            <w:tcW w:w="0" w:type="auto"/>
            <w:tcBorders>
              <w:top w:val="nil"/>
              <w:left w:val="nil"/>
              <w:bottom w:val="nil"/>
              <w:right w:val="nil"/>
            </w:tcBorders>
            <w:tcMar>
              <w:top w:w="0" w:type="dxa"/>
              <w:left w:w="62" w:type="dxa"/>
              <w:bottom w:w="0" w:type="dxa"/>
              <w:right w:w="62" w:type="dxa"/>
            </w:tcMar>
          </w:tcPr>
          <w:p w:rsidR="00000000" w:rsidRPr="00D7098D" w:rsidP="00D7098D">
            <w:pPr>
              <w:pStyle w:val="BodyText"/>
            </w:pPr>
            <w:r w:rsidRPr="00D7098D">
              <w:t>All operations must be performed in accordance with relevant procedures.</w:t>
            </w:r>
          </w:p>
          <w:p w:rsidR="00000000" w:rsidRPr="00D7098D" w:rsidP="00D7098D">
            <w:pPr>
              <w:pStyle w:val="BodyText"/>
            </w:pPr>
          </w:p>
          <w:p w:rsidR="00000000" w:rsidRPr="00D7098D" w:rsidP="00D7098D">
            <w:pPr>
              <w:pStyle w:val="BodyText"/>
            </w:pPr>
            <w:r w:rsidRPr="00D7098D">
              <w:t>Procedures are written, v</w:t>
            </w:r>
            <w:r w:rsidRPr="00D7098D">
              <w:t>erbal, visual, computer-based or in some other form, include one or more of the following:</w:t>
            </w:r>
          </w:p>
          <w:p w:rsidR="00000000" w:rsidRPr="00D7098D" w:rsidP="00D7098D">
            <w:pPr>
              <w:pStyle w:val="ListBullet"/>
            </w:pPr>
            <w:r w:rsidRPr="00D7098D">
              <w:t>emergency procedures</w:t>
            </w:r>
          </w:p>
          <w:p w:rsidR="00000000" w:rsidRPr="00D7098D" w:rsidP="00D7098D">
            <w:pPr>
              <w:pStyle w:val="ListBullet"/>
            </w:pPr>
            <w:r w:rsidRPr="00D7098D">
              <w:t>work instructions</w:t>
            </w:r>
          </w:p>
          <w:p w:rsidR="00000000" w:rsidRPr="00D7098D" w:rsidP="00D7098D">
            <w:pPr>
              <w:pStyle w:val="ListBullet"/>
            </w:pPr>
            <w:r w:rsidRPr="00D7098D">
              <w:t>standard operating procedures (SOPs)</w:t>
            </w:r>
          </w:p>
          <w:p w:rsidR="00000000" w:rsidRPr="00D7098D" w:rsidP="00D7098D">
            <w:pPr>
              <w:pStyle w:val="ListBullet"/>
            </w:pPr>
            <w:r w:rsidRPr="00D7098D">
              <w:t>safe work method statements (SWMS)</w:t>
            </w:r>
          </w:p>
          <w:p w:rsidR="00000000" w:rsidRPr="00D7098D" w:rsidP="00D7098D">
            <w:pPr>
              <w:pStyle w:val="ListBullet"/>
            </w:pPr>
            <w:r w:rsidRPr="00D7098D">
              <w:t>formulas/recipes</w:t>
            </w:r>
          </w:p>
          <w:p w:rsidR="00000000" w:rsidRPr="00D7098D" w:rsidP="00D7098D">
            <w:pPr>
              <w:pStyle w:val="ListBullet"/>
            </w:pPr>
            <w:r w:rsidRPr="00D7098D">
              <w:t>batch sheets</w:t>
            </w:r>
          </w:p>
          <w:p w:rsidR="00000000" w:rsidRPr="00D7098D" w:rsidP="00D7098D">
            <w:pPr>
              <w:pStyle w:val="ListBullet"/>
            </w:pPr>
            <w:r w:rsidRPr="00D7098D">
              <w:t>temporary instructions</w:t>
            </w:r>
          </w:p>
          <w:p w:rsidR="00000000" w:rsidRPr="00D7098D" w:rsidP="00D7098D">
            <w:pPr>
              <w:pStyle w:val="ListBullet"/>
            </w:pPr>
            <w:r w:rsidRPr="00D7098D">
              <w:t xml:space="preserve">any similar instructions provided for the smooth running of the plant </w:t>
            </w:r>
          </w:p>
          <w:p w:rsidR="00000000" w:rsidP="00D7098D">
            <w:pPr>
              <w:pStyle w:val="BodyText"/>
              <w:rPr>
                <w:lang w:val="en-NZ"/>
              </w:rPr>
            </w:pPr>
          </w:p>
        </w:tc>
      </w:tr>
      <w:tr w:rsidTr="00F628D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7098D">
            <w:pPr>
              <w:pStyle w:val="BodyText"/>
              <w:rPr>
                <w:lang w:val="en-NZ"/>
              </w:rPr>
            </w:pPr>
            <w:r w:rsidRPr="00D7098D">
              <w:rPr>
                <w:rStyle w:val="SpecialBold"/>
              </w:rPr>
              <w:t xml:space="preserve">Scheduling </w:t>
            </w:r>
          </w:p>
        </w:tc>
        <w:tc>
          <w:tcPr>
            <w:tcW w:w="0" w:type="auto"/>
            <w:tcBorders>
              <w:top w:val="nil"/>
              <w:left w:val="nil"/>
              <w:bottom w:val="nil"/>
              <w:right w:val="nil"/>
            </w:tcBorders>
            <w:tcMar>
              <w:top w:w="0" w:type="dxa"/>
              <w:left w:w="62" w:type="dxa"/>
              <w:bottom w:w="0" w:type="dxa"/>
              <w:right w:w="62" w:type="dxa"/>
            </w:tcMar>
          </w:tcPr>
          <w:p w:rsidR="00000000" w:rsidRPr="00D7098D" w:rsidP="00D7098D">
            <w:pPr>
              <w:pStyle w:val="BodyText"/>
            </w:pPr>
            <w:r w:rsidRPr="00D7098D">
              <w:t>Scheduling may be electronic or paper-based and include at least one more of the following:</w:t>
            </w:r>
          </w:p>
          <w:p w:rsidR="00000000" w:rsidRPr="00D7098D" w:rsidP="00D7098D">
            <w:pPr>
              <w:pStyle w:val="ListBullet"/>
            </w:pPr>
            <w:r w:rsidRPr="00D7098D">
              <w:t>electronic databases, such as Access, DB, and Oracle</w:t>
            </w:r>
          </w:p>
          <w:p w:rsidR="00000000" w:rsidRPr="00D7098D" w:rsidP="00D7098D">
            <w:pPr>
              <w:pStyle w:val="ListBullet"/>
            </w:pPr>
            <w:r w:rsidRPr="00D7098D">
              <w:t>project management softwa</w:t>
            </w:r>
            <w:r w:rsidRPr="00D7098D">
              <w:t>re (e.g. Project, Gantt charts, critical path method (CPM) and programmed evaluation and review technique (PERT))</w:t>
            </w:r>
          </w:p>
          <w:p w:rsidR="00000000" w:rsidRPr="00D7098D" w:rsidP="00D7098D">
            <w:pPr>
              <w:pStyle w:val="ListBullet"/>
            </w:pPr>
            <w:r w:rsidRPr="00D7098D">
              <w:t>other electronic forms, such as spreadsheets</w:t>
            </w:r>
          </w:p>
          <w:p w:rsidR="00000000" w:rsidRPr="00D7098D" w:rsidP="00D7098D">
            <w:pPr>
              <w:pStyle w:val="ListBullet"/>
            </w:pPr>
            <w:r w:rsidRPr="00D7098D">
              <w:t>card files</w:t>
            </w:r>
          </w:p>
          <w:p w:rsidR="00000000" w:rsidRPr="00D7098D" w:rsidP="00D7098D">
            <w:pPr>
              <w:pStyle w:val="ListBullet"/>
            </w:pPr>
            <w:r w:rsidRPr="00D7098D">
              <w:t>other paper-based systems</w:t>
            </w:r>
          </w:p>
          <w:p w:rsidR="00000000" w:rsidRPr="00D7098D" w:rsidP="00D7098D">
            <w:pPr>
              <w:pStyle w:val="ListBullet"/>
            </w:pPr>
            <w:r w:rsidRPr="00D7098D">
              <w:t>other specialised planning software</w:t>
            </w:r>
          </w:p>
          <w:p w:rsidR="00000000" w:rsidRPr="00D7098D" w:rsidP="00D7098D">
            <w:pPr>
              <w:pStyle w:val="ListBullet"/>
            </w:pPr>
            <w:r w:rsidRPr="00D7098D">
              <w:t>paper techniques</w:t>
            </w:r>
          </w:p>
        </w:tc>
      </w:tr>
    </w:tbl>
    <w:p w:rsidR="00000000" w:rsidRPr="00D7098D" w:rsidP="00D7098D">
      <w:pPr>
        <w:pStyle w:val="BodyText"/>
      </w:pPr>
    </w:p>
    <w:p w:rsidR="00000000" w:rsidRPr="00D7098D" w:rsidP="00D7098D">
      <w:pPr>
        <w:pStyle w:val="AllowPageBreak"/>
      </w:pPr>
    </w:p>
    <w:p w:rsidR="00000000" w:rsidRPr="00D7098D" w:rsidP="00D7098D">
      <w:pPr>
        <w:pStyle w:val="Heading1"/>
      </w:pPr>
      <w:bookmarkStart w:id="9" w:name="O_908526"/>
      <w:bookmarkEnd w:id="9"/>
      <w:r w:rsidRPr="00D7098D">
        <w:t>Unit Mapping Information</w:t>
      </w:r>
    </w:p>
    <w:p w:rsidR="00000000" w:rsidRPr="00D7098D" w:rsidP="00F628D0">
      <w:pPr>
        <w:pStyle w:val="BodyText"/>
      </w:pPr>
      <w:r w:rsidRPr="00D7098D">
        <w:t>Release 1. Supersedes and is equivalent to PMAOPS522A Coordinate plant shut down</w:t>
      </w:r>
    </w:p>
    <w:p w:rsidR="00000000" w:rsidRPr="00D7098D" w:rsidP="00D7098D">
      <w:pPr>
        <w:pStyle w:val="Heading1"/>
      </w:pPr>
      <w:bookmarkStart w:id="10" w:name="O_908519"/>
      <w:bookmarkEnd w:id="10"/>
      <w:r w:rsidRPr="00D7098D">
        <w:t>Links</w:t>
      </w:r>
    </w:p>
    <w:p w:rsidR="00000000" w:rsidRPr="00D7098D" w:rsidP="00F628D0">
      <w:pPr>
        <w:pStyle w:val="BodyText"/>
      </w:pPr>
      <w:r w:rsidRPr="00D7098D">
        <w:t xml:space="preserve">Companion Volume implementation guides are found in VETNet - </w:t>
      </w:r>
      <w:r>
        <w:fldChar w:fldCharType="begin"/>
      </w:r>
      <w:r>
        <w:instrText xml:space="preserve"> HYPERLINK "https://vetnet.gov.au/Pages/TrainingDocs.aspx?q=9fc2cf53-e570-4e9f-ad6a-b228ffdb6875" </w:instrText>
      </w:r>
      <w:r>
        <w:fldChar w:fldCharType="separate"/>
      </w:r>
      <w:r w:rsidRPr="00B472F0">
        <w:rPr>
          <w:rStyle w:val="Hyperlink"/>
        </w:rPr>
        <w:t>https://vetnet.gov.au/Pages/TrainingDocs.aspx?q=9fc2cf53-e570-4e9f-ad6a-b228ffdb6875</w:t>
      </w:r>
      <w:r>
        <w:fldChar w:fldCharType="end"/>
      </w:r>
    </w:p>
    <w:p w:rsidR="00000000" w:rsidRPr="00D7098D" w:rsidP="00F628D0">
      <w:pPr>
        <w:pStyle w:val="BodyText"/>
        <w:sectPr w:rsidSect="00D7098D">
          <w:headerReference w:type="default" r:id="rId10"/>
          <w:footerReference w:type="default" r:id="rId11"/>
          <w:pgSz w:w="11908" w:h="16833"/>
          <w:pgMar w:top="1702" w:right="1418" w:bottom="1702" w:left="1418" w:header="992" w:footer="992" w:gutter="0"/>
          <w:cols w:space="720"/>
          <w:noEndnote/>
          <w:docGrid w:linePitch="299"/>
        </w:sectPr>
      </w:pPr>
    </w:p>
    <w:p w:rsidR="00000000" w:rsidRPr="00D7098D" w:rsidP="00D7098D">
      <w:pPr>
        <w:pStyle w:val="SuperHeading"/>
      </w:pPr>
      <w:r w:rsidRPr="00D7098D">
        <w:t>Assessment Requirements for PMAOPS522 Coordinate plant shutdown</w:t>
      </w:r>
    </w:p>
    <w:p w:rsidR="00000000" w:rsidRPr="00D7098D" w:rsidP="00D7098D">
      <w:pPr>
        <w:pStyle w:val="Heading1"/>
      </w:pPr>
      <w:bookmarkStart w:id="11" w:name="O_908521"/>
      <w:bookmarkEnd w:id="11"/>
      <w:r w:rsidRPr="00D7098D">
        <w:t>Modification History</w:t>
      </w:r>
    </w:p>
    <w:p w:rsidR="00000000" w:rsidRPr="00D7098D" w:rsidP="00F628D0">
      <w:pPr>
        <w:pStyle w:val="BodyText"/>
      </w:pPr>
      <w:r w:rsidRPr="00D7098D">
        <w:t>Release 1. Supersedes and is equivalent to PMAOPS522A Coordinate plant shut down</w:t>
      </w:r>
    </w:p>
    <w:p w:rsidR="00000000" w:rsidRPr="00D7098D" w:rsidP="00D7098D">
      <w:pPr>
        <w:pStyle w:val="Heading1"/>
      </w:pPr>
      <w:bookmarkStart w:id="12" w:name="O_908524"/>
      <w:bookmarkEnd w:id="12"/>
      <w:r w:rsidRPr="00D7098D">
        <w:t>Performance Evidence</w:t>
      </w:r>
    </w:p>
    <w:p w:rsidR="00000000" w:rsidRPr="00D7098D" w:rsidP="00F628D0">
      <w:pPr>
        <w:pStyle w:val="BodyText"/>
      </w:pPr>
      <w:r w:rsidRPr="00D7098D">
        <w:t>Evidence required to demonstrate competence in this unit must be relevant to and satisfy the requirements of the elements and performance criteria, and include the ability to:</w:t>
      </w:r>
    </w:p>
    <w:p w:rsidR="00000000" w:rsidRPr="00D7098D" w:rsidP="00D7098D">
      <w:pPr>
        <w:pStyle w:val="ListBullet"/>
      </w:pPr>
      <w:r w:rsidRPr="00D7098D">
        <w:t>lead and coordinate shutdown team to ensure safe and efficient plant shutdown a</w:t>
      </w:r>
      <w:r w:rsidRPr="00D7098D">
        <w:t>nd preparation according to procedures without incident</w:t>
      </w:r>
    </w:p>
    <w:p w:rsidR="00000000" w:rsidRPr="00D7098D" w:rsidP="00D7098D">
      <w:pPr>
        <w:pStyle w:val="ListBullet"/>
      </w:pPr>
      <w:r w:rsidRPr="00D7098D">
        <w:t>record and report all aspects of shutdown activities to stakeholders according to enterprise protocol</w:t>
      </w:r>
    </w:p>
    <w:p w:rsidR="00000000" w:rsidRPr="00D7098D" w:rsidP="00D7098D">
      <w:pPr>
        <w:pStyle w:val="ListBullet"/>
      </w:pPr>
      <w:r w:rsidRPr="00D7098D">
        <w:t>communicate and negotiate effectively with technical (process) experts, maintenance experts, contr</w:t>
      </w:r>
      <w:r w:rsidRPr="00D7098D">
        <w:t>actor representatives, production management and other stakeholders to obtain the best outcome for the shutdown from competing priorities</w:t>
      </w:r>
    </w:p>
    <w:p w:rsidR="00000000" w:rsidRPr="00D7098D" w:rsidP="00D7098D">
      <w:pPr>
        <w:pStyle w:val="ListBullet"/>
      </w:pPr>
      <w:r w:rsidRPr="00D7098D">
        <w:t>determine resource requirements, including:</w:t>
      </w:r>
    </w:p>
    <w:p w:rsidR="00000000" w:rsidRPr="00D7098D" w:rsidP="00D7098D">
      <w:pPr>
        <w:pStyle w:val="ListBullet2"/>
      </w:pPr>
      <w:r w:rsidRPr="00D7098D">
        <w:t>utility services, such as steam, nitrogen, power, water and chemicals</w:t>
      </w:r>
    </w:p>
    <w:p w:rsidR="00000000" w:rsidRPr="00D7098D" w:rsidP="00D7098D">
      <w:pPr>
        <w:pStyle w:val="ListBullet2"/>
      </w:pPr>
      <w:r w:rsidRPr="00D7098D">
        <w:t>workforce, such as operators, maintenance, contractors, engineers, laboratory staff, safety observer and standby rescue crew</w:t>
      </w:r>
    </w:p>
    <w:p w:rsidR="00000000" w:rsidRPr="00D7098D" w:rsidP="00D7098D">
      <w:pPr>
        <w:pStyle w:val="ListBullet2"/>
      </w:pPr>
      <w:r w:rsidRPr="00D7098D">
        <w:t>mobile equipment, such as elevated work platforms, Hiab, vacuum trucks and drip trays</w:t>
      </w:r>
    </w:p>
    <w:p w:rsidR="00000000" w:rsidRPr="00D7098D" w:rsidP="00D7098D">
      <w:pPr>
        <w:pStyle w:val="ListBullet2"/>
      </w:pPr>
      <w:r w:rsidRPr="00D7098D">
        <w:t>other equipment, such as hoses, plugs and cap</w:t>
      </w:r>
      <w:r w:rsidRPr="00D7098D">
        <w:t>s, scaffold and extra fire protection equipment.</w:t>
      </w:r>
    </w:p>
    <w:p w:rsidR="00000000" w:rsidRPr="00D7098D" w:rsidP="00D7098D">
      <w:pPr>
        <w:pStyle w:val="AllowPageBreak"/>
      </w:pPr>
    </w:p>
    <w:p w:rsidR="00000000" w:rsidRPr="00D7098D" w:rsidP="00D7098D">
      <w:pPr>
        <w:pStyle w:val="Heading1"/>
      </w:pPr>
      <w:bookmarkStart w:id="13" w:name="O_908523"/>
      <w:bookmarkEnd w:id="13"/>
      <w:r w:rsidRPr="00D7098D">
        <w:t>Knowledge Evidence</w:t>
      </w:r>
    </w:p>
    <w:p w:rsidR="00000000" w:rsidRPr="00D7098D" w:rsidP="00F628D0">
      <w:pPr>
        <w:pStyle w:val="BodyText"/>
      </w:pPr>
      <w:r w:rsidRPr="00D7098D">
        <w:t>Evidence must be provided that demonstrates knowledge of:</w:t>
      </w:r>
    </w:p>
    <w:p w:rsidR="00000000" w:rsidRPr="00D7098D" w:rsidP="00D7098D">
      <w:pPr>
        <w:pStyle w:val="ListBullet"/>
      </w:pPr>
      <w:r w:rsidRPr="00D7098D">
        <w:t>interpretation of project planning tools being used</w:t>
      </w:r>
    </w:p>
    <w:p w:rsidR="00000000" w:rsidRPr="00D7098D" w:rsidP="00D7098D">
      <w:pPr>
        <w:pStyle w:val="ListBullet"/>
      </w:pPr>
      <w:r w:rsidRPr="00D7098D">
        <w:t>a comprehensive knowledge of plant shutdown events and their</w:t>
      </w:r>
      <w:r w:rsidRPr="00D7098D">
        <w:t xml:space="preserve"> impact on upstream and downstream interfaces </w:t>
      </w:r>
    </w:p>
    <w:p w:rsidR="00000000" w:rsidRPr="00D7098D" w:rsidP="00D7098D">
      <w:pPr>
        <w:pStyle w:val="ListBullet"/>
      </w:pPr>
      <w:r w:rsidRPr="00D7098D">
        <w:t>plant/equipment/processes impacted by the shutdown</w:t>
      </w:r>
    </w:p>
    <w:p w:rsidR="00000000" w:rsidRPr="00D7098D" w:rsidP="00D7098D">
      <w:pPr>
        <w:pStyle w:val="ListBullet"/>
      </w:pPr>
      <w:r w:rsidRPr="00D7098D">
        <w:t xml:space="preserve">safe working practices related to the type of plant and equipment being shut down and worked on </w:t>
      </w:r>
    </w:p>
    <w:p w:rsidR="00000000" w:rsidRPr="00D7098D" w:rsidP="00D7098D">
      <w:pPr>
        <w:pStyle w:val="ListBullet"/>
      </w:pPr>
      <w:r w:rsidRPr="00D7098D">
        <w:t>correct methods of shutting down plant items</w:t>
      </w:r>
    </w:p>
    <w:p w:rsidR="00000000" w:rsidRPr="00D7098D" w:rsidP="00D7098D">
      <w:pPr>
        <w:pStyle w:val="ListBullet"/>
      </w:pPr>
      <w:r w:rsidRPr="00D7098D">
        <w:t>organisation pro</w:t>
      </w:r>
      <w:r w:rsidRPr="00D7098D">
        <w:t>cedures.</w:t>
      </w:r>
    </w:p>
    <w:p w:rsidR="00000000" w:rsidRPr="00D7098D" w:rsidP="00D7098D">
      <w:pPr>
        <w:pStyle w:val="AllowPageBreak"/>
      </w:pPr>
    </w:p>
    <w:p w:rsidR="00000000" w:rsidRPr="00D7098D" w:rsidP="00D7098D">
      <w:pPr>
        <w:pStyle w:val="Heading1"/>
      </w:pPr>
      <w:bookmarkStart w:id="14" w:name="O_908522"/>
      <w:bookmarkEnd w:id="14"/>
      <w:r w:rsidRPr="00D7098D">
        <w:t>Assessment Conditions</w:t>
      </w:r>
    </w:p>
    <w:p w:rsidR="00000000" w:rsidRPr="00D7098D" w:rsidP="00D7098D">
      <w:pPr>
        <w:pStyle w:val="ListBullet"/>
      </w:pPr>
      <w:r w:rsidRPr="00D7098D">
        <w:t xml:space="preserve">The unit should be assessed holistically and the judgement of competence based on a holistic assessment of the evidence. </w:t>
      </w:r>
    </w:p>
    <w:p w:rsidR="00000000" w:rsidRPr="00D7098D" w:rsidP="00D7098D">
      <w:pPr>
        <w:pStyle w:val="ListBullet"/>
      </w:pPr>
      <w:r w:rsidRPr="00D7098D">
        <w:t>The collection of performance evidence is best done from a report and/or folio of evidence drawn from:</w:t>
      </w:r>
    </w:p>
    <w:p w:rsidR="00000000" w:rsidRPr="00D7098D" w:rsidP="00D7098D">
      <w:pPr>
        <w:pStyle w:val="ListBullet2"/>
      </w:pPr>
      <w:r w:rsidRPr="00D7098D">
        <w:t>a single project which provides sufficient evidence of the requirements of all the elements and performance criteria</w:t>
      </w:r>
    </w:p>
    <w:p w:rsidR="00000000" w:rsidRPr="00D7098D" w:rsidP="00D7098D">
      <w:pPr>
        <w:pStyle w:val="ListBullet2"/>
      </w:pPr>
      <w:r w:rsidRPr="00D7098D">
        <w:t>multiple smaller projects which tog</w:t>
      </w:r>
      <w:r w:rsidRPr="00D7098D">
        <w:t>ether provide sufficient evidence of the requirements of all the elements and performance criteria.</w:t>
      </w:r>
    </w:p>
    <w:p w:rsidR="00000000" w:rsidRPr="00D7098D" w:rsidP="00D7098D">
      <w:pPr>
        <w:pStyle w:val="ListBullet"/>
      </w:pPr>
      <w:r w:rsidRPr="00D7098D">
        <w:t>A third-party report, or similar, may be needed to testify to the work done by the individual, particularly when the project has been done as part of a pro</w:t>
      </w:r>
      <w:r w:rsidRPr="00D7098D">
        <w:t>ject team.</w:t>
      </w:r>
    </w:p>
    <w:p w:rsidR="00000000" w:rsidRPr="00D7098D" w:rsidP="00D7098D">
      <w:pPr>
        <w:pStyle w:val="ListBullet"/>
      </w:pPr>
      <w:r w:rsidRPr="00D7098D">
        <w:t xml:space="preserve">Assessment should use a real project in an operational workplace. Where this is not possible or practical, </w:t>
      </w:r>
      <w:r w:rsidRPr="00D7098D">
        <w:t>assessment must occur using a sufficiently rigorous simulated environment reflecting realistic operational workplace conditions. This must</w:t>
      </w:r>
      <w:r w:rsidRPr="00D7098D">
        <w:t xml:space="preserve"> cover all aspects of workplace performance, including environment, task skills, task management skills, contingency management skills and job role environment skills.</w:t>
      </w:r>
    </w:p>
    <w:p w:rsidR="00000000" w:rsidRPr="00D7098D" w:rsidP="00D7098D">
      <w:pPr>
        <w:pStyle w:val="ListBullet"/>
      </w:pPr>
      <w:r w:rsidRPr="00D7098D">
        <w:t>Knowledge evidence may be collected concurrently with performance evidence or through an</w:t>
      </w:r>
      <w:r w:rsidRPr="00D7098D">
        <w:t xml:space="preserve"> independent process, such as workbooks, written assessments or interviews (provided a record is kept).</w:t>
      </w:r>
    </w:p>
    <w:p w:rsidR="00000000" w:rsidRPr="00D7098D" w:rsidP="00D7098D">
      <w:pPr>
        <w:pStyle w:val="ListBullet"/>
      </w:pPr>
      <w:r w:rsidRPr="00D7098D">
        <w:t>Assessment processes and techniques must be appropriate to the language, literacy and numeracy requirements of the work being performed and the needs of</w:t>
      </w:r>
      <w:r w:rsidRPr="00D7098D">
        <w:t xml:space="preserve"> the candidate.</w:t>
      </w:r>
    </w:p>
    <w:p w:rsidR="00000000" w:rsidRPr="00D7098D" w:rsidP="00D7098D">
      <w:pPr>
        <w:pStyle w:val="ListBullet"/>
      </w:pPr>
      <w:r w:rsidRPr="00D7098D">
        <w:t>Conditions for assessment must include access to all tools, equipment, materials and documentation required, including relevant workplace procedures, product and manufacturing specifications associated with this unit.</w:t>
      </w:r>
    </w:p>
    <w:p w:rsidR="00000000" w:rsidRPr="00D7098D" w:rsidP="00D7098D">
      <w:pPr>
        <w:pStyle w:val="ListBullet"/>
      </w:pPr>
      <w:r w:rsidRPr="00D7098D">
        <w:t>The regulatory framewo</w:t>
      </w:r>
      <w:r w:rsidRPr="00D7098D">
        <w:t>rk will be reflected in workplace policies and procedures and is not required to be independently assessed.</w:t>
      </w:r>
    </w:p>
    <w:p w:rsidR="00000000" w:rsidRPr="00D7098D" w:rsidP="00D7098D">
      <w:pPr>
        <w:pStyle w:val="ListBullet"/>
      </w:pPr>
      <w:r w:rsidRPr="00D7098D">
        <w:t>Foundation skills are integral to competent performance of the unit and should not be assessed separately.</w:t>
      </w:r>
    </w:p>
    <w:p w:rsidR="00000000" w:rsidRPr="00D7098D" w:rsidP="00D7098D">
      <w:pPr>
        <w:pStyle w:val="ListBullet"/>
      </w:pPr>
      <w:r w:rsidRPr="00D7098D">
        <w:t>Assessors must satisfy the assessor competency requirements that are in place at the time of the assessment as set by the VET regulator.</w:t>
      </w:r>
    </w:p>
    <w:p w:rsidR="00000000" w:rsidRPr="00D7098D" w:rsidP="00D7098D">
      <w:pPr>
        <w:pStyle w:val="ListBullet"/>
      </w:pPr>
      <w:r w:rsidRPr="00D7098D">
        <w:t xml:space="preserve">In addition, the assessor or anyone acting in subject matter expert role in assessment must demonstrate both technical </w:t>
      </w:r>
      <w:r w:rsidRPr="00D7098D">
        <w:t xml:space="preserve">competency and currency. If the assessor cannot demonstrate technical competency and currency they must assess with a subject matter expert who does meet these requirements. </w:t>
      </w:r>
    </w:p>
    <w:p w:rsidR="00000000" w:rsidRPr="00D7098D" w:rsidP="00D7098D">
      <w:pPr>
        <w:pStyle w:val="ListBullet"/>
      </w:pPr>
      <w:r w:rsidRPr="00D7098D">
        <w:t>Technical competence can be demonstrated through one or more of:</w:t>
      </w:r>
    </w:p>
    <w:p w:rsidR="00000000" w:rsidRPr="00D7098D" w:rsidP="00D7098D">
      <w:pPr>
        <w:pStyle w:val="ListBullet2"/>
      </w:pPr>
      <w:r w:rsidRPr="00D7098D">
        <w:t>relevant VET or</w:t>
      </w:r>
      <w:r w:rsidRPr="00D7098D">
        <w:t xml:space="preserve"> other qualification/Statement of Attainment </w:t>
      </w:r>
    </w:p>
    <w:p w:rsidR="00000000" w:rsidRPr="00D7098D" w:rsidP="00D7098D">
      <w:pPr>
        <w:pStyle w:val="ListBullet2"/>
      </w:pPr>
      <w:r w:rsidRPr="00D7098D">
        <w:t xml:space="preserve">appropriate workplace experience undertaking the type of work being assessed under routine and non-routine conditions </w:t>
      </w:r>
    </w:p>
    <w:p w:rsidR="00000000" w:rsidRPr="00D7098D" w:rsidP="00D7098D">
      <w:pPr>
        <w:pStyle w:val="ListBullet2"/>
      </w:pPr>
      <w:r w:rsidRPr="00D7098D">
        <w:t>appropriate workplace experience supervising/evaluating the type of work being assessed und</w:t>
      </w:r>
      <w:r w:rsidRPr="00D7098D">
        <w:t>er routine and non-routine conditions</w:t>
      </w:r>
    </w:p>
    <w:p w:rsidR="00000000" w:rsidRPr="00D7098D" w:rsidP="00D7098D">
      <w:pPr>
        <w:pStyle w:val="ListBullet"/>
      </w:pPr>
      <w:r w:rsidRPr="00D7098D">
        <w:t>Currency can be demonstrated through one or more of:</w:t>
      </w:r>
    </w:p>
    <w:p w:rsidR="00000000" w:rsidRPr="00D7098D" w:rsidP="00D7098D">
      <w:pPr>
        <w:pStyle w:val="ListBullet2"/>
      </w:pPr>
      <w:r w:rsidRPr="00D7098D">
        <w:t xml:space="preserve">being currently employed undertaking the type of work being assessed </w:t>
      </w:r>
    </w:p>
    <w:p w:rsidR="00000000" w:rsidRPr="00D7098D" w:rsidP="00D7098D">
      <w:pPr>
        <w:pStyle w:val="ListBullet2"/>
      </w:pPr>
      <w:r w:rsidRPr="00D7098D">
        <w:t>being employed by the organisation undertaking the type of work being assessed and having mai</w:t>
      </w:r>
      <w:r w:rsidRPr="00D7098D">
        <w:t xml:space="preserve">ntained currency in accordance with that organisation’s policies and procedures </w:t>
      </w:r>
    </w:p>
    <w:p w:rsidR="00000000" w:rsidRPr="00D7098D" w:rsidP="00D7098D">
      <w:pPr>
        <w:pStyle w:val="ListBullet2"/>
      </w:pPr>
      <w:r w:rsidRPr="00D7098D">
        <w:t>having consulted/had contact with an organisation undertaking the type of work being assessed within the last twelve months, the consultation/contact being related to assessme</w:t>
      </w:r>
      <w:r w:rsidRPr="00D7098D">
        <w:t xml:space="preserve">nt </w:t>
      </w:r>
    </w:p>
    <w:p w:rsidR="00000000" w:rsidRPr="00D7098D" w:rsidP="00D7098D">
      <w:pPr>
        <w:pStyle w:val="ListBullet2"/>
      </w:pPr>
      <w:r w:rsidRPr="00D7098D">
        <w:t xml:space="preserve">conducting on-the-job training/assessments of the type of work being assessed </w:t>
      </w:r>
    </w:p>
    <w:p w:rsidR="00000000" w:rsidRPr="00D7098D" w:rsidP="00D7098D">
      <w:pPr>
        <w:pStyle w:val="ListBullet2"/>
      </w:pPr>
      <w:r w:rsidRPr="00D7098D">
        <w:t>being an active member of a relevant professional body and participating in activities relevant to the assessment of this type of work.</w:t>
      </w:r>
    </w:p>
    <w:p w:rsidR="00000000" w:rsidRPr="00D7098D" w:rsidP="00D7098D">
      <w:pPr>
        <w:pStyle w:val="AllowPageBreak"/>
      </w:pPr>
    </w:p>
    <w:p w:rsidR="00000000" w:rsidRPr="00D7098D" w:rsidP="00D7098D">
      <w:pPr>
        <w:pStyle w:val="Heading1"/>
      </w:pPr>
      <w:bookmarkStart w:id="15" w:name="O_908520"/>
      <w:bookmarkEnd w:id="15"/>
      <w:r w:rsidRPr="00D7098D">
        <w:t>Links</w:t>
      </w:r>
    </w:p>
    <w:p w:rsidR="00000000" w:rsidRPr="00D7098D" w:rsidP="00F628D0">
      <w:pPr>
        <w:pStyle w:val="BodyText"/>
      </w:pPr>
      <w:r w:rsidRPr="00D7098D">
        <w:t xml:space="preserve">Companion Volume implementation guides are found in VETNet - </w:t>
      </w:r>
      <w:r>
        <w:fldChar w:fldCharType="begin"/>
      </w:r>
      <w:r>
        <w:instrText xml:space="preserve"> HYPERLINK "https://vetnet.gov.au/Pages/TrainingDocs.aspx?q=9fc2cf53-e570-4e9f-ad6a-b228ffdb6875" </w:instrText>
      </w:r>
      <w:r>
        <w:fldChar w:fldCharType="separate"/>
      </w:r>
      <w:r w:rsidRPr="00B472F0">
        <w:rPr>
          <w:rStyle w:val="Hyperlink"/>
        </w:rPr>
        <w:t>https://vetnet.gov.au/Pages/TrainingDocs.aspx?q=9fc2cf53-e570-4e9f-ad6a-b228ffdb6875</w:t>
      </w:r>
      <w:r>
        <w:fldChar w:fldCharType="end"/>
      </w:r>
    </w:p>
    <w:p w:rsidR="00000000" w:rsidRPr="00D7098D" w:rsidP="00D7098D"/>
    <w:sectPr w:rsidSect="00D7098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098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098D" w:rsidRPr="00F628D0" w:rsidP="00F628D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098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28D0" w:rsidP="00D7098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F628D0" w:rsidP="00D7098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F628D0" w:rsidP="00D7098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098D" w:rsidP="00D7098D">
    <w:pPr>
      <w:pStyle w:val="Footer"/>
      <w:framePr w:wrap="around"/>
    </w:pPr>
    <w:r>
      <w:fldChar w:fldCharType="begin"/>
    </w:r>
    <w:r>
      <w:instrText xml:space="preserve"> DOCPROPERTY  Subject  \* MERGEFORMAT </w:instrText>
    </w:r>
    <w:r>
      <w:fldChar w:fldCharType="separate"/>
    </w:r>
    <w:r w:rsidR="00F628D0">
      <w:t>Approved</w:t>
    </w:r>
    <w:r w:rsidR="00F628D0">
      <w:fldChar w:fldCharType="end"/>
    </w:r>
    <w:r>
      <w:tab/>
      <w:t xml:space="preserve">Page </w:t>
    </w:r>
    <w:r>
      <w:fldChar w:fldCharType="begin"/>
    </w:r>
    <w:r>
      <w:instrText xml:space="preserve"> PAGE  \* Arabic  \* MERGEFORMAT </w:instrText>
    </w:r>
    <w:r>
      <w:fldChar w:fldCharType="separate"/>
    </w:r>
    <w:r w:rsidR="00F628D0">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628D0">
      <w:rPr>
        <w:noProof/>
      </w:rPr>
      <w:t>6</w:t>
    </w:r>
    <w:r>
      <w:rPr>
        <w:noProof/>
      </w:rPr>
      <w:fldChar w:fldCharType="end"/>
    </w:r>
  </w:p>
  <w:p w:rsidR="00D7098D" w:rsidP="00D7098D">
    <w:pPr>
      <w:pStyle w:val="Footer"/>
      <w:framePr w:wrap="around"/>
    </w:pPr>
    <w:r>
      <w:t xml:space="preserve">© Commonwealth of Australia, </w:t>
    </w:r>
    <w:r>
      <w:fldChar w:fldCharType="begin"/>
    </w:r>
    <w:r>
      <w:instrText xml:space="preserve"> DATE  \@ "yyyy"  \* MERGEFORMAT </w:instrText>
    </w:r>
    <w:r>
      <w:fldChar w:fldCharType="separate"/>
    </w:r>
    <w:r w:rsidR="00F628D0">
      <w:rPr>
        <w:noProof/>
      </w:rPr>
      <w:t>2025</w:t>
    </w:r>
    <w:r>
      <w:fldChar w:fldCharType="end"/>
    </w:r>
    <w:r>
      <w:tab/>
    </w:r>
    <w:r>
      <w:fldChar w:fldCharType="begin"/>
    </w:r>
    <w:r>
      <w:instrText xml:space="preserve"> DOCPROPERTY  Author  \* MERGEFORMAT </w:instrText>
    </w:r>
    <w:r>
      <w:fldChar w:fldCharType="separate"/>
    </w:r>
    <w:r w:rsidR="00F628D0">
      <w:t>Manufacturing Industry Skills Alliance</w:t>
    </w:r>
    <w:r w:rsidR="00F628D0">
      <w:fldChar w:fldCharType="end"/>
    </w:r>
  </w:p>
  <w:p w:rsidR="00D7098D" w:rsidP="00D7098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098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28D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7098D" w:rsidRPr="00F628D0" w:rsidP="00F628D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098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28D0" w:rsidRPr="002D2AF8" w:rsidP="00D7098D">
    <w:pPr>
      <w:pStyle w:val="Header"/>
      <w:framePr w:wrap="around"/>
    </w:pPr>
    <w:r>
      <w:fldChar w:fldCharType="begin"/>
    </w:r>
    <w:r>
      <w:instrText xml:space="preserve"> TITLE   \* MERGEFORMAT </w:instrText>
    </w:r>
    <w:r>
      <w:fldChar w:fldCharType="separate"/>
    </w:r>
    <w:r>
      <w:t>PMAOPS522 Coordinate plant shutdown</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F628D0" w:rsidP="00D7098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098D" w:rsidRPr="002D2AF8" w:rsidP="00D7098D">
    <w:pPr>
      <w:pStyle w:val="Header"/>
      <w:framePr w:wrap="around"/>
    </w:pPr>
    <w:r>
      <w:fldChar w:fldCharType="begin"/>
    </w:r>
    <w:r>
      <w:instrText xml:space="preserve"> TITLE   \* MERGEFORMAT </w:instrText>
    </w:r>
    <w:r>
      <w:fldChar w:fldCharType="separate"/>
    </w:r>
    <w:r w:rsidR="00F628D0">
      <w:t>PMAOPS522 Coordinate plant shutdown</w:t>
    </w:r>
    <w:r w:rsidR="00F628D0">
      <w:fldChar w:fldCharType="end"/>
    </w:r>
    <w:r>
      <w:tab/>
      <w:t xml:space="preserve">Date this document was generated: </w:t>
    </w:r>
    <w:r>
      <w:fldChar w:fldCharType="begin"/>
    </w:r>
    <w:r>
      <w:instrText xml:space="preserve"> CREATEDATE  \@ "d MMMM yyyy"  \* MERGEFORMAT </w:instrText>
    </w:r>
    <w:r>
      <w:fldChar w:fldCharType="separate"/>
    </w:r>
    <w:r w:rsidR="00F628D0">
      <w:rPr>
        <w:noProof/>
      </w:rPr>
      <w:t>1 March 2025</w:t>
    </w:r>
    <w:r>
      <w:fldChar w:fldCharType="end"/>
    </w:r>
  </w:p>
  <w:p w:rsidR="00D7098D" w:rsidP="00D7098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AA6DC8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72C301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15C358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7098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7098D"/>
    <w:pPr>
      <w:spacing w:before="360" w:after="60"/>
      <w:outlineLvl w:val="0"/>
    </w:pPr>
    <w:rPr>
      <w:sz w:val="32"/>
    </w:rPr>
  </w:style>
  <w:style w:type="paragraph" w:styleId="Heading2">
    <w:name w:val="heading 2"/>
    <w:basedOn w:val="HeadingBase"/>
    <w:next w:val="BodyText"/>
    <w:link w:val="Heading2Char"/>
    <w:qFormat/>
    <w:rsid w:val="00D7098D"/>
    <w:pPr>
      <w:keepLines/>
      <w:spacing w:before="240" w:after="120"/>
      <w:outlineLvl w:val="1"/>
    </w:pPr>
    <w:rPr>
      <w:sz w:val="28"/>
      <w:szCs w:val="40"/>
    </w:rPr>
  </w:style>
  <w:style w:type="paragraph" w:styleId="Heading3">
    <w:name w:val="heading 3"/>
    <w:basedOn w:val="HeadingBase"/>
    <w:next w:val="BodyText"/>
    <w:link w:val="Heading3Char"/>
    <w:qFormat/>
    <w:rsid w:val="00D7098D"/>
    <w:pPr>
      <w:spacing w:before="180" w:after="120"/>
      <w:outlineLvl w:val="2"/>
    </w:pPr>
    <w:rPr>
      <w:spacing w:val="-10"/>
      <w:kern w:val="32"/>
    </w:rPr>
  </w:style>
  <w:style w:type="paragraph" w:styleId="Heading4">
    <w:name w:val="heading 4"/>
    <w:basedOn w:val="HeadingBase"/>
    <w:next w:val="BodyText"/>
    <w:link w:val="Heading4Char"/>
    <w:qFormat/>
    <w:rsid w:val="00D7098D"/>
    <w:pPr>
      <w:spacing w:before="160" w:after="120"/>
      <w:outlineLvl w:val="3"/>
    </w:pPr>
    <w:rPr>
      <w:sz w:val="22"/>
    </w:rPr>
  </w:style>
  <w:style w:type="paragraph" w:styleId="Heading5">
    <w:name w:val="heading 5"/>
    <w:basedOn w:val="HeadingBase"/>
    <w:next w:val="Normal"/>
    <w:link w:val="Heading5Char"/>
    <w:qFormat/>
    <w:rsid w:val="00D7098D"/>
    <w:pPr>
      <w:spacing w:before="80"/>
      <w:outlineLvl w:val="4"/>
    </w:pPr>
    <w:rPr>
      <w:color w:val="918585"/>
      <w:sz w:val="20"/>
    </w:rPr>
  </w:style>
  <w:style w:type="paragraph" w:styleId="Heading6">
    <w:name w:val="heading 6"/>
    <w:basedOn w:val="HeadingBase"/>
    <w:next w:val="Normal"/>
    <w:link w:val="Heading6Char"/>
    <w:qFormat/>
    <w:rsid w:val="00D7098D"/>
    <w:pPr>
      <w:spacing w:before="60"/>
      <w:outlineLvl w:val="5"/>
    </w:pPr>
    <w:rPr>
      <w:color w:val="918585"/>
      <w:sz w:val="20"/>
    </w:rPr>
  </w:style>
  <w:style w:type="paragraph" w:styleId="Heading7">
    <w:name w:val="heading 7"/>
    <w:basedOn w:val="Normal"/>
    <w:next w:val="Normal"/>
    <w:link w:val="Heading7Char"/>
    <w:qFormat/>
    <w:rsid w:val="00D7098D"/>
    <w:pPr>
      <w:ind w:left="720"/>
      <w:outlineLvl w:val="6"/>
    </w:pPr>
    <w:rPr>
      <w:i/>
    </w:rPr>
  </w:style>
  <w:style w:type="paragraph" w:styleId="Heading8">
    <w:name w:val="heading 8"/>
    <w:basedOn w:val="Normal"/>
    <w:next w:val="Normal"/>
    <w:link w:val="Heading8Char"/>
    <w:qFormat/>
    <w:rsid w:val="00D7098D"/>
    <w:pPr>
      <w:ind w:left="720"/>
      <w:outlineLvl w:val="7"/>
    </w:pPr>
    <w:rPr>
      <w:i/>
    </w:rPr>
  </w:style>
  <w:style w:type="paragraph" w:styleId="Heading9">
    <w:name w:val="heading 9"/>
    <w:basedOn w:val="Normal"/>
    <w:next w:val="Normal"/>
    <w:link w:val="Heading9Char"/>
    <w:qFormat/>
    <w:rsid w:val="00D7098D"/>
    <w:pPr>
      <w:ind w:left="720"/>
      <w:outlineLvl w:val="8"/>
    </w:pPr>
    <w:rPr>
      <w:i/>
    </w:rPr>
  </w:style>
  <w:style w:type="character" w:default="1" w:styleId="DefaultParagraphFont">
    <w:name w:val="Default Paragraph Font"/>
    <w:uiPriority w:val="1"/>
    <w:unhideWhenUsed/>
    <w:rsid w:val="00D7098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7098D"/>
  </w:style>
  <w:style w:type="character" w:customStyle="1" w:styleId="Heading1Char">
    <w:name w:val="Heading 1 Char"/>
    <w:basedOn w:val="DefaultParagraphFont"/>
    <w:link w:val="Heading1"/>
    <w:rsid w:val="00D7098D"/>
    <w:rPr>
      <w:rFonts w:ascii="Times New Roman" w:eastAsia="Times New Roman" w:hAnsi="Times New Roman" w:cs="Times New Roman"/>
      <w:b/>
      <w:sz w:val="32"/>
      <w:szCs w:val="20"/>
      <w:lang w:eastAsia="en-US"/>
    </w:rPr>
  </w:style>
  <w:style w:type="paragraph" w:styleId="BodyText">
    <w:name w:val="Body Text"/>
    <w:basedOn w:val="Normal"/>
    <w:link w:val="BodyTextChar"/>
    <w:rsid w:val="00D7098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7098D"/>
    <w:rPr>
      <w:rFonts w:ascii="Times New Roman" w:eastAsia="Times New Roman" w:hAnsi="Times New Roman" w:cs="Times New Roman"/>
      <w:sz w:val="24"/>
      <w:lang w:eastAsia="en-US"/>
    </w:rPr>
  </w:style>
  <w:style w:type="paragraph" w:styleId="ListBullet">
    <w:name w:val="List Bullet"/>
    <w:basedOn w:val="List"/>
    <w:rsid w:val="00D7098D"/>
    <w:pPr>
      <w:numPr>
        <w:numId w:val="12"/>
      </w:numPr>
      <w:tabs>
        <w:tab w:val="clear" w:pos="340"/>
      </w:tabs>
      <w:spacing w:before="40" w:after="40"/>
    </w:pPr>
  </w:style>
  <w:style w:type="character" w:customStyle="1" w:styleId="SpecialBold">
    <w:name w:val="Special Bold"/>
    <w:basedOn w:val="DefaultParagraphFont"/>
    <w:rsid w:val="00D7098D"/>
    <w:rPr>
      <w:b/>
      <w:spacing w:val="0"/>
    </w:rPr>
  </w:style>
  <w:style w:type="paragraph" w:styleId="ListBullet2">
    <w:name w:val="List Bullet 2"/>
    <w:basedOn w:val="List2"/>
    <w:rsid w:val="00D7098D"/>
    <w:pPr>
      <w:numPr>
        <w:numId w:val="13"/>
      </w:numPr>
      <w:tabs>
        <w:tab w:val="clear" w:pos="680"/>
      </w:tabs>
    </w:pPr>
  </w:style>
  <w:style w:type="paragraph" w:customStyle="1" w:styleId="SuperHeading">
    <w:name w:val="SuperHeading"/>
    <w:basedOn w:val="Normal"/>
    <w:rsid w:val="00D7098D"/>
    <w:pPr>
      <w:spacing w:before="240" w:after="120"/>
      <w:outlineLvl w:val="0"/>
    </w:pPr>
    <w:rPr>
      <w:rFonts w:ascii="Times New Roman" w:hAnsi="Times New Roman"/>
      <w:b/>
      <w:sz w:val="32"/>
    </w:rPr>
  </w:style>
  <w:style w:type="paragraph" w:customStyle="1" w:styleId="AllowPageBreak">
    <w:name w:val="AllowPageBreak"/>
    <w:rsid w:val="00D7098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7098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7098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7098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7098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7098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7098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7098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7098D"/>
    <w:rPr>
      <w:rFonts w:ascii="Courier New" w:eastAsia="Times New Roman" w:hAnsi="Courier New" w:cs="Times New Roman"/>
      <w:i/>
      <w:szCs w:val="20"/>
      <w:lang w:eastAsia="en-US"/>
    </w:rPr>
  </w:style>
  <w:style w:type="paragraph" w:customStyle="1" w:styleId="HeadingBase">
    <w:name w:val="Heading Base"/>
    <w:rsid w:val="00D7098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7098D"/>
    <w:pPr>
      <w:tabs>
        <w:tab w:val="right" w:leader="dot" w:pos="9072"/>
      </w:tabs>
      <w:ind w:left="567"/>
    </w:pPr>
    <w:rPr>
      <w:szCs w:val="22"/>
    </w:rPr>
  </w:style>
  <w:style w:type="paragraph" w:customStyle="1" w:styleId="TOCBase">
    <w:name w:val="TOC Base"/>
    <w:rsid w:val="00D7098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7098D"/>
    <w:pPr>
      <w:tabs>
        <w:tab w:val="right" w:leader="dot" w:pos="9072"/>
      </w:tabs>
      <w:spacing w:before="40" w:after="40"/>
      <w:ind w:left="284"/>
    </w:pPr>
    <w:rPr>
      <w:rFonts w:ascii="Times New Roman" w:hAnsi="Times New Roman"/>
    </w:rPr>
  </w:style>
  <w:style w:type="paragraph" w:styleId="TOC1">
    <w:name w:val="toc 1"/>
    <w:basedOn w:val="TOCBase"/>
    <w:next w:val="Normal"/>
    <w:rsid w:val="00D7098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7098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7098D"/>
    <w:rPr>
      <w:rFonts w:ascii="Times New Roman" w:eastAsia="Times New Roman" w:hAnsi="Times New Roman" w:cs="Times New Roman"/>
      <w:sz w:val="16"/>
      <w:lang w:eastAsia="en-US"/>
    </w:rPr>
  </w:style>
  <w:style w:type="paragraph" w:styleId="Title">
    <w:name w:val="Title"/>
    <w:basedOn w:val="HeadingBase"/>
    <w:link w:val="TitleChar"/>
    <w:qFormat/>
    <w:rsid w:val="00D7098D"/>
    <w:pPr>
      <w:spacing w:before="5040"/>
      <w:jc w:val="center"/>
    </w:pPr>
    <w:rPr>
      <w:sz w:val="48"/>
      <w:szCs w:val="72"/>
      <w:lang w:val="en-US"/>
    </w:rPr>
  </w:style>
  <w:style w:type="character" w:customStyle="1" w:styleId="TitleChar">
    <w:name w:val="Title Char"/>
    <w:basedOn w:val="DefaultParagraphFont"/>
    <w:link w:val="Title"/>
    <w:rsid w:val="00D7098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7098D"/>
    <w:pPr>
      <w:tabs>
        <w:tab w:val="left" w:pos="3600"/>
        <w:tab w:val="left" w:pos="3958"/>
      </w:tabs>
    </w:pPr>
  </w:style>
  <w:style w:type="paragraph" w:styleId="List">
    <w:name w:val="List"/>
    <w:basedOn w:val="BodyText"/>
    <w:next w:val="BodyText"/>
    <w:rsid w:val="00D7098D"/>
    <w:pPr>
      <w:tabs>
        <w:tab w:val="left" w:pos="340"/>
      </w:tabs>
      <w:spacing w:before="60" w:after="60"/>
      <w:ind w:left="340" w:hanging="340"/>
    </w:pPr>
  </w:style>
  <w:style w:type="paragraph" w:customStyle="1" w:styleId="Note">
    <w:name w:val="Note"/>
    <w:basedOn w:val="BodyText"/>
    <w:rsid w:val="00D7098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7098D"/>
    <w:pPr>
      <w:framePr w:wrap="auto" w:hAnchor="text" w:y="6049"/>
    </w:pPr>
    <w:rPr>
      <w:color w:val="000000"/>
      <w:sz w:val="40"/>
    </w:rPr>
  </w:style>
  <w:style w:type="paragraph" w:customStyle="1" w:styleId="TOCTitle">
    <w:name w:val="TOCTitle"/>
    <w:basedOn w:val="Heading1"/>
    <w:rsid w:val="00D7098D"/>
    <w:pPr>
      <w:spacing w:after="240"/>
      <w:jc w:val="center"/>
      <w:outlineLvl w:val="9"/>
    </w:pPr>
    <w:rPr>
      <w:caps/>
    </w:rPr>
  </w:style>
  <w:style w:type="paragraph" w:customStyle="1" w:styleId="Version">
    <w:name w:val="Version"/>
    <w:rsid w:val="00D7098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7098D"/>
    <w:pPr>
      <w:keepNext w:val="0"/>
      <w:tabs>
        <w:tab w:val="right" w:pos="4176"/>
      </w:tabs>
      <w:ind w:left="198" w:hanging="198"/>
    </w:pPr>
    <w:rPr>
      <w:rFonts w:ascii="Garamond" w:hAnsi="Garamond"/>
    </w:rPr>
  </w:style>
  <w:style w:type="paragraph" w:styleId="IndexHeading">
    <w:name w:val="index heading"/>
    <w:basedOn w:val="Normal"/>
    <w:next w:val="Index1"/>
    <w:semiHidden/>
    <w:rsid w:val="00D7098D"/>
    <w:pPr>
      <w:spacing w:before="120" w:after="120"/>
    </w:pPr>
    <w:rPr>
      <w:rFonts w:ascii="Arial" w:hAnsi="Arial"/>
      <w:b/>
      <w:color w:val="918585"/>
      <w:sz w:val="24"/>
    </w:rPr>
  </w:style>
  <w:style w:type="paragraph" w:styleId="Header">
    <w:name w:val="header"/>
    <w:basedOn w:val="Normal"/>
    <w:link w:val="HeaderChar"/>
    <w:rsid w:val="00D7098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7098D"/>
    <w:rPr>
      <w:rFonts w:ascii="Times New Roman" w:eastAsia="Times New Roman" w:hAnsi="Times New Roman" w:cs="Times New Roman"/>
      <w:sz w:val="16"/>
      <w:szCs w:val="20"/>
      <w:lang w:val="en-GB" w:eastAsia="en-US"/>
    </w:rPr>
  </w:style>
  <w:style w:type="paragraph" w:customStyle="1" w:styleId="Chapter">
    <w:name w:val="Chapter"/>
    <w:basedOn w:val="Normal"/>
    <w:rsid w:val="00D7098D"/>
    <w:pPr>
      <w:spacing w:before="240"/>
    </w:pPr>
    <w:rPr>
      <w:rFonts w:ascii="Times New Roman" w:hAnsi="Times New Roman"/>
      <w:smallCaps/>
      <w:spacing w:val="80"/>
      <w:sz w:val="28"/>
    </w:rPr>
  </w:style>
  <w:style w:type="paragraph" w:customStyle="1" w:styleId="InChapter">
    <w:name w:val="InChapter"/>
    <w:basedOn w:val="Heading3"/>
    <w:rsid w:val="00D7098D"/>
    <w:pPr>
      <w:spacing w:after="240"/>
      <w:outlineLvl w:val="9"/>
    </w:pPr>
    <w:rPr>
      <w:noProof/>
    </w:rPr>
  </w:style>
  <w:style w:type="paragraph" w:styleId="Index2">
    <w:name w:val="index 2"/>
    <w:basedOn w:val="Normal"/>
    <w:next w:val="Normal"/>
    <w:semiHidden/>
    <w:rsid w:val="00D7098D"/>
    <w:pPr>
      <w:tabs>
        <w:tab w:val="right" w:pos="4176"/>
      </w:tabs>
      <w:ind w:left="568" w:hanging="284"/>
    </w:pPr>
    <w:rPr>
      <w:rFonts w:ascii="Garamond" w:hAnsi="Garamond"/>
    </w:rPr>
  </w:style>
  <w:style w:type="paragraph" w:customStyle="1" w:styleId="Byline">
    <w:name w:val="Byline"/>
    <w:rsid w:val="00D7098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7098D"/>
    <w:pPr>
      <w:tabs>
        <w:tab w:val="clear" w:pos="3600"/>
        <w:tab w:val="clear" w:pos="3958"/>
      </w:tabs>
      <w:jc w:val="right"/>
    </w:pPr>
  </w:style>
  <w:style w:type="character" w:styleId="Emphasis">
    <w:name w:val="Emphasis"/>
    <w:basedOn w:val="DefaultParagraphFont"/>
    <w:qFormat/>
    <w:rsid w:val="00D7098D"/>
    <w:rPr>
      <w:i/>
    </w:rPr>
  </w:style>
  <w:style w:type="paragraph" w:styleId="Caption">
    <w:name w:val="caption"/>
    <w:basedOn w:val="BodyText"/>
    <w:next w:val="Normal"/>
    <w:qFormat/>
    <w:rsid w:val="00D7098D"/>
    <w:pPr>
      <w:framePr w:w="2268" w:hSpace="181" w:vSpace="181" w:wrap="around" w:vAnchor="text" w:hAnchor="page" w:x="1135" w:y="285" w:anchorLock="1"/>
    </w:pPr>
    <w:rPr>
      <w:i/>
    </w:rPr>
  </w:style>
  <w:style w:type="paragraph" w:customStyle="1" w:styleId="MiniTOCTitle">
    <w:name w:val="MiniTOCTitle"/>
    <w:basedOn w:val="Heading4"/>
    <w:rsid w:val="00D7098D"/>
    <w:pPr>
      <w:spacing w:before="240"/>
      <w:outlineLvl w:val="9"/>
    </w:pPr>
    <w:rPr>
      <w:noProof/>
      <w:sz w:val="24"/>
    </w:rPr>
  </w:style>
  <w:style w:type="paragraph" w:customStyle="1" w:styleId="MiniTOCItem">
    <w:name w:val="MiniTOCItem"/>
    <w:basedOn w:val="ListBullet"/>
    <w:rsid w:val="00D7098D"/>
    <w:pPr>
      <w:numPr>
        <w:numId w:val="0"/>
      </w:numPr>
      <w:tabs>
        <w:tab w:val="right" w:leader="dot" w:pos="6521"/>
      </w:tabs>
      <w:spacing w:before="0" w:after="0"/>
    </w:pPr>
  </w:style>
  <w:style w:type="paragraph" w:customStyle="1" w:styleId="TOFTitle">
    <w:name w:val="TOFTitle"/>
    <w:basedOn w:val="TOCTitle"/>
    <w:rsid w:val="00D7098D"/>
  </w:style>
  <w:style w:type="paragraph" w:styleId="TableofFigures">
    <w:name w:val="table of figures"/>
    <w:basedOn w:val="Normal"/>
    <w:next w:val="Normal"/>
    <w:semiHidden/>
    <w:rsid w:val="00D7098D"/>
    <w:pPr>
      <w:tabs>
        <w:tab w:val="right" w:leader="dot" w:pos="9072"/>
      </w:tabs>
      <w:ind w:left="970" w:hanging="403"/>
    </w:pPr>
    <w:rPr>
      <w:rFonts w:ascii="Times New Roman" w:hAnsi="Times New Roman"/>
      <w:b/>
    </w:rPr>
  </w:style>
  <w:style w:type="paragraph" w:styleId="ListNumber">
    <w:name w:val="List Number"/>
    <w:basedOn w:val="List"/>
    <w:rsid w:val="00D7098D"/>
    <w:pPr>
      <w:numPr>
        <w:numId w:val="15"/>
      </w:numPr>
      <w:tabs>
        <w:tab w:val="clear" w:pos="340"/>
      </w:tabs>
    </w:pPr>
  </w:style>
  <w:style w:type="character" w:customStyle="1" w:styleId="WingdingSymbols">
    <w:name w:val="Wingding Symbols"/>
    <w:rsid w:val="00D7098D"/>
    <w:rPr>
      <w:rFonts w:ascii="Wingdings" w:hAnsi="Wingdings"/>
    </w:rPr>
  </w:style>
  <w:style w:type="paragraph" w:customStyle="1" w:styleId="TableHeading">
    <w:name w:val="Table Heading"/>
    <w:basedOn w:val="HeadingBase"/>
    <w:rsid w:val="00D7098D"/>
    <w:pPr>
      <w:keepLines/>
      <w:pBdr>
        <w:bottom w:val="single" w:sz="6" w:space="1" w:color="918585"/>
      </w:pBdr>
      <w:spacing w:before="240"/>
    </w:pPr>
  </w:style>
  <w:style w:type="character" w:customStyle="1" w:styleId="HotSpot">
    <w:name w:val="HotSpot"/>
    <w:rsid w:val="00D7098D"/>
    <w:rPr>
      <w:color w:val="0033CC"/>
      <w:u w:val="none"/>
    </w:rPr>
  </w:style>
  <w:style w:type="paragraph" w:customStyle="1" w:styleId="BodyTextRight">
    <w:name w:val="Body Text Right"/>
    <w:basedOn w:val="BodyText"/>
    <w:rsid w:val="00D7098D"/>
    <w:pPr>
      <w:spacing w:before="0" w:after="0"/>
      <w:jc w:val="right"/>
    </w:pPr>
  </w:style>
  <w:style w:type="paragraph" w:styleId="Index3">
    <w:name w:val="index 3"/>
    <w:basedOn w:val="ListNumber2"/>
    <w:next w:val="Normal"/>
    <w:semiHidden/>
    <w:rsid w:val="00D7098D"/>
    <w:pPr>
      <w:numPr>
        <w:numId w:val="0"/>
      </w:numPr>
      <w:tabs>
        <w:tab w:val="right" w:leader="dot" w:pos="4176"/>
      </w:tabs>
    </w:pPr>
  </w:style>
  <w:style w:type="paragraph" w:styleId="ListNumber2">
    <w:name w:val="List Number 2"/>
    <w:basedOn w:val="List2"/>
    <w:rsid w:val="00D7098D"/>
    <w:pPr>
      <w:numPr>
        <w:numId w:val="10"/>
      </w:numPr>
      <w:tabs>
        <w:tab w:val="clear" w:pos="1060"/>
      </w:tabs>
    </w:pPr>
  </w:style>
  <w:style w:type="paragraph" w:customStyle="1" w:styleId="MarginNote">
    <w:name w:val="Margin Note"/>
    <w:basedOn w:val="BodyText"/>
    <w:rsid w:val="00D7098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7098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7098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7098D"/>
    <w:rPr>
      <w:sz w:val="32"/>
    </w:rPr>
  </w:style>
  <w:style w:type="paragraph" w:customStyle="1" w:styleId="HeadingProcedure">
    <w:name w:val="Heading Procedure"/>
    <w:basedOn w:val="HeadingBase"/>
    <w:next w:val="Normal"/>
    <w:rsid w:val="00D7098D"/>
    <w:pPr>
      <w:tabs>
        <w:tab w:val="left" w:pos="0"/>
      </w:tabs>
      <w:spacing w:before="120" w:after="60"/>
    </w:pPr>
    <w:rPr>
      <w:i/>
      <w:color w:val="918585"/>
      <w:sz w:val="22"/>
    </w:rPr>
  </w:style>
  <w:style w:type="paragraph" w:customStyle="1" w:styleId="TableBodyText">
    <w:name w:val="Table Body Text"/>
    <w:basedOn w:val="BodyText"/>
    <w:rsid w:val="00D7098D"/>
    <w:pPr>
      <w:spacing w:before="60" w:after="60"/>
    </w:pPr>
  </w:style>
  <w:style w:type="paragraph" w:styleId="ListContinue">
    <w:name w:val="List Continue"/>
    <w:basedOn w:val="List"/>
    <w:rsid w:val="00D7098D"/>
    <w:pPr>
      <w:ind w:firstLine="0"/>
    </w:pPr>
  </w:style>
  <w:style w:type="paragraph" w:customStyle="1" w:styleId="ListNote">
    <w:name w:val="List Note"/>
    <w:basedOn w:val="List"/>
    <w:rsid w:val="00D7098D"/>
    <w:pPr>
      <w:pBdr>
        <w:top w:val="single" w:sz="6" w:space="2" w:color="918585"/>
        <w:bottom w:val="single" w:sz="6" w:space="2" w:color="918585"/>
      </w:pBdr>
      <w:tabs>
        <w:tab w:val="left" w:pos="1021"/>
      </w:tabs>
      <w:ind w:firstLine="0"/>
    </w:pPr>
  </w:style>
  <w:style w:type="paragraph" w:customStyle="1" w:styleId="Warning">
    <w:name w:val="Warning"/>
    <w:basedOn w:val="BodyText"/>
    <w:rsid w:val="00D7098D"/>
    <w:pPr>
      <w:shd w:val="clear" w:color="auto" w:fill="D9D9D9"/>
      <w:tabs>
        <w:tab w:val="left" w:pos="992"/>
      </w:tabs>
      <w:ind w:left="119" w:right="119"/>
    </w:pPr>
    <w:rPr>
      <w:sz w:val="20"/>
    </w:rPr>
  </w:style>
  <w:style w:type="paragraph" w:customStyle="1" w:styleId="MarginIcons">
    <w:name w:val="Margin Icons"/>
    <w:basedOn w:val="BodyText"/>
    <w:rsid w:val="00D7098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7098D"/>
    <w:rPr>
      <w:rFonts w:ascii="Courier New" w:hAnsi="Courier New"/>
    </w:rPr>
  </w:style>
  <w:style w:type="paragraph" w:customStyle="1" w:styleId="NoteBullet">
    <w:name w:val="Note Bullet"/>
    <w:basedOn w:val="Note"/>
    <w:rsid w:val="00D7098D"/>
    <w:pPr>
      <w:tabs>
        <w:tab w:val="clear" w:pos="680"/>
      </w:tabs>
      <w:spacing w:before="60" w:after="60"/>
    </w:pPr>
  </w:style>
  <w:style w:type="paragraph" w:customStyle="1" w:styleId="SubHeading2">
    <w:name w:val="SubHeading2"/>
    <w:basedOn w:val="HeadingBase"/>
    <w:rsid w:val="00D7098D"/>
    <w:pPr>
      <w:spacing w:before="240" w:after="60"/>
    </w:pPr>
    <w:rPr>
      <w:sz w:val="20"/>
    </w:rPr>
  </w:style>
  <w:style w:type="paragraph" w:customStyle="1" w:styleId="SubHeading1">
    <w:name w:val="SubHeading1"/>
    <w:basedOn w:val="HeadingBase"/>
    <w:rsid w:val="00D7098D"/>
    <w:pPr>
      <w:spacing w:before="240" w:after="60"/>
    </w:pPr>
    <w:rPr>
      <w:color w:val="918585"/>
      <w:sz w:val="22"/>
    </w:rPr>
  </w:style>
  <w:style w:type="paragraph" w:customStyle="1" w:styleId="SideHeading">
    <w:name w:val="Side Heading"/>
    <w:basedOn w:val="HeadingBase"/>
    <w:rsid w:val="00D7098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7098D"/>
    <w:pPr>
      <w:tabs>
        <w:tab w:val="num" w:pos="360"/>
      </w:tabs>
    </w:pPr>
  </w:style>
  <w:style w:type="paragraph" w:styleId="PlainText">
    <w:name w:val="Plain Text"/>
    <w:basedOn w:val="Normal"/>
    <w:link w:val="PlainTextChar"/>
    <w:rsid w:val="00D7098D"/>
    <w:rPr>
      <w:sz w:val="20"/>
    </w:rPr>
  </w:style>
  <w:style w:type="character" w:customStyle="1" w:styleId="PlainTextChar">
    <w:name w:val="Plain Text Char"/>
    <w:basedOn w:val="DefaultParagraphFont"/>
    <w:link w:val="PlainText"/>
    <w:rsid w:val="00D7098D"/>
    <w:rPr>
      <w:rFonts w:ascii="Courier New" w:eastAsia="Times New Roman" w:hAnsi="Courier New" w:cs="Times New Roman"/>
      <w:sz w:val="20"/>
      <w:szCs w:val="20"/>
      <w:lang w:eastAsia="en-US"/>
    </w:rPr>
  </w:style>
  <w:style w:type="character" w:customStyle="1" w:styleId="MenuOption">
    <w:name w:val="Menu Option"/>
    <w:basedOn w:val="DefaultParagraphFont"/>
    <w:rsid w:val="00D7098D"/>
    <w:rPr>
      <w:b/>
      <w:smallCaps/>
    </w:rPr>
  </w:style>
  <w:style w:type="paragraph" w:customStyle="1" w:styleId="TableListNumber">
    <w:name w:val="Table List Number"/>
    <w:basedOn w:val="ListNumber"/>
    <w:rsid w:val="00D7098D"/>
    <w:pPr>
      <w:numPr>
        <w:numId w:val="0"/>
      </w:numPr>
    </w:pPr>
  </w:style>
  <w:style w:type="paragraph" w:styleId="TOC4">
    <w:name w:val="toc 4"/>
    <w:basedOn w:val="TOCBase"/>
    <w:next w:val="Normal"/>
    <w:semiHidden/>
    <w:rsid w:val="00D7098D"/>
    <w:pPr>
      <w:tabs>
        <w:tab w:val="right" w:leader="dot" w:pos="9071"/>
      </w:tabs>
      <w:ind w:left="1701"/>
    </w:pPr>
  </w:style>
  <w:style w:type="paragraph" w:customStyle="1" w:styleId="ListAlpha">
    <w:name w:val="List Alpha"/>
    <w:basedOn w:val="List"/>
    <w:rsid w:val="00D7098D"/>
    <w:pPr>
      <w:numPr>
        <w:numId w:val="9"/>
      </w:numPr>
    </w:pPr>
  </w:style>
  <w:style w:type="paragraph" w:customStyle="1" w:styleId="ListAlpha2">
    <w:name w:val="List Alpha 2"/>
    <w:basedOn w:val="List2"/>
    <w:rsid w:val="00D7098D"/>
    <w:pPr>
      <w:numPr>
        <w:numId w:val="8"/>
      </w:numPr>
    </w:pPr>
  </w:style>
  <w:style w:type="paragraph" w:styleId="List2">
    <w:name w:val="List 2"/>
    <w:basedOn w:val="BodyText"/>
    <w:rsid w:val="00D7098D"/>
    <w:pPr>
      <w:tabs>
        <w:tab w:val="left" w:pos="680"/>
      </w:tabs>
      <w:spacing w:before="60" w:after="60"/>
      <w:ind w:left="680" w:hanging="340"/>
    </w:pPr>
  </w:style>
  <w:style w:type="paragraph" w:styleId="List3">
    <w:name w:val="List 3"/>
    <w:basedOn w:val="BodyText"/>
    <w:rsid w:val="00D7098D"/>
    <w:pPr>
      <w:tabs>
        <w:tab w:val="left" w:pos="1021"/>
      </w:tabs>
      <w:spacing w:before="60" w:after="60"/>
      <w:ind w:left="1020" w:hanging="340"/>
    </w:pPr>
  </w:style>
  <w:style w:type="paragraph" w:styleId="List4">
    <w:name w:val="List 4"/>
    <w:basedOn w:val="BodyText"/>
    <w:rsid w:val="00D7098D"/>
    <w:pPr>
      <w:tabs>
        <w:tab w:val="left" w:pos="1361"/>
      </w:tabs>
      <w:spacing w:before="60" w:after="60"/>
      <w:ind w:left="1361" w:hanging="340"/>
    </w:pPr>
  </w:style>
  <w:style w:type="paragraph" w:styleId="List5">
    <w:name w:val="List 5"/>
    <w:basedOn w:val="BodyText"/>
    <w:rsid w:val="00D7098D"/>
    <w:pPr>
      <w:tabs>
        <w:tab w:val="left" w:pos="1701"/>
      </w:tabs>
      <w:spacing w:before="60" w:after="60"/>
      <w:ind w:left="1701" w:hanging="340"/>
    </w:pPr>
  </w:style>
  <w:style w:type="paragraph" w:styleId="ListBullet3">
    <w:name w:val="List Bullet 3"/>
    <w:basedOn w:val="List3"/>
    <w:rsid w:val="00D7098D"/>
    <w:pPr>
      <w:numPr>
        <w:numId w:val="14"/>
      </w:numPr>
      <w:tabs>
        <w:tab w:val="clear" w:pos="1021"/>
      </w:tabs>
      <w:ind w:left="1037" w:hanging="357"/>
    </w:pPr>
  </w:style>
  <w:style w:type="paragraph" w:styleId="ListBullet4">
    <w:name w:val="List Bullet 4"/>
    <w:basedOn w:val="List4"/>
    <w:rsid w:val="00D7098D"/>
    <w:pPr>
      <w:numPr>
        <w:numId w:val="3"/>
      </w:numPr>
      <w:tabs>
        <w:tab w:val="clear" w:pos="1361"/>
      </w:tabs>
    </w:pPr>
  </w:style>
  <w:style w:type="paragraph" w:styleId="ListBullet5">
    <w:name w:val="List Bullet 5"/>
    <w:basedOn w:val="List5"/>
    <w:rsid w:val="00D7098D"/>
    <w:pPr>
      <w:numPr>
        <w:numId w:val="4"/>
      </w:numPr>
    </w:pPr>
  </w:style>
  <w:style w:type="paragraph" w:styleId="ListContinue2">
    <w:name w:val="List Continue 2"/>
    <w:basedOn w:val="List2"/>
    <w:rsid w:val="00D7098D"/>
    <w:pPr>
      <w:ind w:firstLine="0"/>
    </w:pPr>
  </w:style>
  <w:style w:type="paragraph" w:styleId="ListContinue3">
    <w:name w:val="List Continue 3"/>
    <w:basedOn w:val="List3"/>
    <w:rsid w:val="00D7098D"/>
    <w:pPr>
      <w:ind w:left="1021" w:firstLine="0"/>
    </w:pPr>
  </w:style>
  <w:style w:type="paragraph" w:styleId="ListContinue4">
    <w:name w:val="List Continue 4"/>
    <w:basedOn w:val="List4"/>
    <w:rsid w:val="00D7098D"/>
    <w:pPr>
      <w:ind w:firstLine="0"/>
    </w:pPr>
  </w:style>
  <w:style w:type="paragraph" w:styleId="ListContinue5">
    <w:name w:val="List Continue 5"/>
    <w:basedOn w:val="List5"/>
    <w:rsid w:val="00D7098D"/>
    <w:pPr>
      <w:ind w:firstLine="0"/>
    </w:pPr>
  </w:style>
  <w:style w:type="paragraph" w:styleId="ListNumber3">
    <w:name w:val="List Number 3"/>
    <w:basedOn w:val="List3"/>
    <w:rsid w:val="00D7098D"/>
    <w:pPr>
      <w:numPr>
        <w:numId w:val="5"/>
      </w:numPr>
    </w:pPr>
  </w:style>
  <w:style w:type="paragraph" w:styleId="ListNumber4">
    <w:name w:val="List Number 4"/>
    <w:basedOn w:val="List4"/>
    <w:rsid w:val="00D7098D"/>
    <w:pPr>
      <w:numPr>
        <w:numId w:val="6"/>
      </w:numPr>
    </w:pPr>
  </w:style>
  <w:style w:type="paragraph" w:styleId="ListNumber5">
    <w:name w:val="List Number 5"/>
    <w:basedOn w:val="List5"/>
    <w:rsid w:val="00D7098D"/>
    <w:pPr>
      <w:numPr>
        <w:numId w:val="7"/>
      </w:numPr>
    </w:pPr>
  </w:style>
  <w:style w:type="paragraph" w:styleId="BlockText">
    <w:name w:val="Block Text"/>
    <w:basedOn w:val="Normal"/>
    <w:rsid w:val="00D7098D"/>
    <w:pPr>
      <w:spacing w:after="120"/>
      <w:ind w:left="1440" w:right="1440"/>
    </w:pPr>
  </w:style>
  <w:style w:type="character" w:customStyle="1" w:styleId="Subscript">
    <w:name w:val="Subscript"/>
    <w:basedOn w:val="DefaultParagraphFont"/>
    <w:rsid w:val="00D7098D"/>
    <w:rPr>
      <w:sz w:val="16"/>
      <w:vertAlign w:val="subscript"/>
    </w:rPr>
  </w:style>
  <w:style w:type="character" w:customStyle="1" w:styleId="Superscript">
    <w:name w:val="Superscript"/>
    <w:basedOn w:val="DefaultParagraphFont"/>
    <w:rsid w:val="00D7098D"/>
    <w:rPr>
      <w:sz w:val="16"/>
      <w:vertAlign w:val="superscript"/>
    </w:rPr>
  </w:style>
  <w:style w:type="character" w:customStyle="1" w:styleId="Symbols">
    <w:name w:val="Symbols"/>
    <w:basedOn w:val="DefaultParagraphFont"/>
    <w:rsid w:val="00D7098D"/>
    <w:rPr>
      <w:rFonts w:ascii="Symbol" w:hAnsi="Symbol"/>
    </w:rPr>
  </w:style>
  <w:style w:type="character" w:customStyle="1" w:styleId="MenuOptions">
    <w:name w:val="Menu Options"/>
    <w:basedOn w:val="DefaultParagraphFont"/>
    <w:rsid w:val="00D7098D"/>
    <w:rPr>
      <w:rFonts w:ascii="Arial Narrow" w:hAnsi="Arial Narrow"/>
      <w:smallCaps/>
    </w:rPr>
  </w:style>
  <w:style w:type="character" w:customStyle="1" w:styleId="Buttons">
    <w:name w:val="Buttons"/>
    <w:basedOn w:val="DefaultParagraphFont"/>
    <w:rsid w:val="00D7098D"/>
    <w:rPr>
      <w:b/>
    </w:rPr>
  </w:style>
  <w:style w:type="character" w:customStyle="1" w:styleId="Underlined">
    <w:name w:val="Underlined"/>
    <w:basedOn w:val="DefaultParagraphFont"/>
    <w:rsid w:val="00D7098D"/>
    <w:rPr>
      <w:u w:val="single"/>
    </w:rPr>
  </w:style>
  <w:style w:type="paragraph" w:customStyle="1" w:styleId="TableBodyTextRight">
    <w:name w:val="Table Body Text Right"/>
    <w:basedOn w:val="TableBodyText"/>
    <w:rsid w:val="00D7098D"/>
    <w:pPr>
      <w:widowControl w:val="0"/>
      <w:autoSpaceDE w:val="0"/>
      <w:autoSpaceDN w:val="0"/>
      <w:adjustRightInd w:val="0"/>
      <w:jc w:val="right"/>
    </w:pPr>
    <w:rPr>
      <w:rFonts w:cs="Arial"/>
      <w:szCs w:val="18"/>
    </w:rPr>
  </w:style>
  <w:style w:type="paragraph" w:customStyle="1" w:styleId="CopyrightText">
    <w:name w:val="Copyright Text"/>
    <w:basedOn w:val="BodyText"/>
    <w:rsid w:val="00D7098D"/>
    <w:rPr>
      <w:sz w:val="18"/>
    </w:rPr>
  </w:style>
  <w:style w:type="paragraph" w:customStyle="1" w:styleId="BodySmallRight">
    <w:name w:val="Body Small Right"/>
    <w:basedOn w:val="BodyTextRight"/>
    <w:rsid w:val="00D7098D"/>
    <w:rPr>
      <w:sz w:val="18"/>
      <w:szCs w:val="18"/>
    </w:rPr>
  </w:style>
  <w:style w:type="paragraph" w:customStyle="1" w:styleId="MarginEdition">
    <w:name w:val="Margin Edition"/>
    <w:basedOn w:val="MarginNote"/>
    <w:rsid w:val="00D7098D"/>
    <w:pPr>
      <w:spacing w:before="0" w:after="0"/>
    </w:pPr>
    <w:rPr>
      <w:rFonts w:ascii="Times New Roman" w:hAnsi="Times New Roman"/>
      <w:color w:val="999999"/>
    </w:rPr>
  </w:style>
  <w:style w:type="paragraph" w:customStyle="1" w:styleId="Spacer">
    <w:name w:val="Spacer"/>
    <w:basedOn w:val="Normal"/>
    <w:rsid w:val="00D7098D"/>
    <w:rPr>
      <w:sz w:val="2"/>
      <w:szCs w:val="2"/>
    </w:rPr>
  </w:style>
  <w:style w:type="character" w:customStyle="1" w:styleId="Small">
    <w:name w:val="Small"/>
    <w:basedOn w:val="DefaultParagraphFont"/>
    <w:rsid w:val="00D7098D"/>
    <w:rPr>
      <w:sz w:val="16"/>
    </w:rPr>
  </w:style>
  <w:style w:type="paragraph" w:customStyle="1" w:styleId="WideTable">
    <w:name w:val="Wide Table"/>
    <w:basedOn w:val="Normal"/>
    <w:rsid w:val="00D7098D"/>
    <w:pPr>
      <w:ind w:left="-1418"/>
    </w:pPr>
    <w:rPr>
      <w:sz w:val="2"/>
      <w:szCs w:val="2"/>
    </w:rPr>
  </w:style>
  <w:style w:type="character" w:styleId="PageNumber">
    <w:name w:val="page number"/>
    <w:basedOn w:val="DefaultParagraphFont"/>
    <w:rsid w:val="00D7098D"/>
  </w:style>
  <w:style w:type="paragraph" w:styleId="Quote">
    <w:name w:val="Quote"/>
    <w:basedOn w:val="Heading1"/>
    <w:link w:val="QuoteChar"/>
    <w:qFormat/>
    <w:rsid w:val="00D7098D"/>
    <w:rPr>
      <w:b w:val="0"/>
      <w:sz w:val="72"/>
      <w:szCs w:val="72"/>
      <w:lang w:val="en-NZ"/>
    </w:rPr>
  </w:style>
  <w:style w:type="character" w:customStyle="1" w:styleId="QuoteChar">
    <w:name w:val="Quote Char"/>
    <w:basedOn w:val="DefaultParagraphFont"/>
    <w:link w:val="Quote"/>
    <w:rsid w:val="00D7098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7098D"/>
    <w:pPr>
      <w:pageBreakBefore/>
    </w:pPr>
  </w:style>
  <w:style w:type="paragraph" w:customStyle="1" w:styleId="Border">
    <w:name w:val="Border"/>
    <w:basedOn w:val="Normal"/>
    <w:qFormat/>
    <w:rsid w:val="00D7098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7098D"/>
    <w:rPr>
      <w:b/>
      <w:bCs/>
      <w:i/>
      <w:iCs/>
      <w:color w:val="auto"/>
    </w:rPr>
  </w:style>
  <w:style w:type="paragraph" w:styleId="IntenseQuote">
    <w:name w:val="Intense Quote"/>
    <w:basedOn w:val="Normal"/>
    <w:next w:val="Normal"/>
    <w:link w:val="IntenseQuoteChar"/>
    <w:uiPriority w:val="30"/>
    <w:qFormat/>
    <w:rsid w:val="00D7098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7098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7098D"/>
    <w:rPr>
      <w:smallCaps/>
      <w:color w:val="auto"/>
      <w:u w:val="single"/>
    </w:rPr>
  </w:style>
  <w:style w:type="character" w:styleId="IntenseReference">
    <w:name w:val="Intense Reference"/>
    <w:basedOn w:val="DefaultParagraphFont"/>
    <w:uiPriority w:val="32"/>
    <w:qFormat/>
    <w:rsid w:val="00D7098D"/>
    <w:rPr>
      <w:b/>
      <w:bCs/>
      <w:smallCaps/>
      <w:color w:val="auto"/>
      <w:spacing w:val="5"/>
      <w:u w:val="single"/>
    </w:rPr>
  </w:style>
  <w:style w:type="paragraph" w:customStyle="1" w:styleId="2ColumnHeading">
    <w:name w:val="2Column Heading"/>
    <w:basedOn w:val="BodyText"/>
    <w:qFormat/>
    <w:rsid w:val="00D7098D"/>
    <w:pPr>
      <w:spacing w:after="60"/>
      <w:ind w:left="-2268"/>
    </w:pPr>
    <w:rPr>
      <w:b/>
    </w:rPr>
  </w:style>
  <w:style w:type="paragraph" w:customStyle="1" w:styleId="Heading1TOC">
    <w:name w:val="Heading1 TOC"/>
    <w:basedOn w:val="Normal"/>
    <w:qFormat/>
    <w:rsid w:val="00D7098D"/>
    <w:pPr>
      <w:spacing w:before="240" w:after="120"/>
    </w:pPr>
    <w:rPr>
      <w:rFonts w:ascii="Times New Roman" w:hAnsi="Times New Roman"/>
      <w:b/>
      <w:sz w:val="32"/>
    </w:rPr>
  </w:style>
  <w:style w:type="paragraph" w:customStyle="1" w:styleId="Heading2TOC">
    <w:name w:val="Heading2 TOC"/>
    <w:basedOn w:val="Normal"/>
    <w:qFormat/>
    <w:rsid w:val="00D7098D"/>
    <w:pPr>
      <w:spacing w:before="240" w:after="60"/>
    </w:pPr>
    <w:rPr>
      <w:rFonts w:ascii="Times New Roman" w:hAnsi="Times New Roman"/>
      <w:b/>
      <w:sz w:val="28"/>
    </w:rPr>
  </w:style>
  <w:style w:type="character" w:customStyle="1" w:styleId="Underline">
    <w:name w:val="Underline"/>
    <w:basedOn w:val="DefaultParagraphFont"/>
    <w:qFormat/>
    <w:rsid w:val="00D7098D"/>
    <w:rPr>
      <w:u w:val="single"/>
    </w:rPr>
  </w:style>
  <w:style w:type="character" w:customStyle="1" w:styleId="BoldandItalics">
    <w:name w:val="Bold and Italics"/>
    <w:qFormat/>
    <w:rsid w:val="00D7098D"/>
    <w:rPr>
      <w:b/>
      <w:i/>
      <w:u w:val="none"/>
    </w:rPr>
  </w:style>
  <w:style w:type="paragraph" w:styleId="BalloonText">
    <w:name w:val="Balloon Text"/>
    <w:basedOn w:val="Normal"/>
    <w:link w:val="BalloonTextChar"/>
    <w:rsid w:val="00D7098D"/>
    <w:rPr>
      <w:rFonts w:ascii="Tahoma" w:hAnsi="Tahoma" w:cs="Tahoma"/>
      <w:sz w:val="16"/>
      <w:szCs w:val="16"/>
    </w:rPr>
  </w:style>
  <w:style w:type="character" w:customStyle="1" w:styleId="BalloonTextChar">
    <w:name w:val="Balloon Text Char"/>
    <w:basedOn w:val="DefaultParagraphFont"/>
    <w:link w:val="BalloonText"/>
    <w:rsid w:val="00D7098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7098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7098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7098D"/>
    <w:rPr>
      <w:b/>
      <w:color w:val="660033"/>
      <w:spacing w:val="0"/>
    </w:rPr>
  </w:style>
  <w:style w:type="paragraph" w:customStyle="1" w:styleId="Nameditemlist">
    <w:name w:val="Named item list"/>
    <w:basedOn w:val="BodyText"/>
    <w:qFormat/>
    <w:rsid w:val="00D7098D"/>
    <w:pPr>
      <w:tabs>
        <w:tab w:val="left" w:pos="2835"/>
      </w:tabs>
      <w:ind w:left="2835" w:hanging="2835"/>
    </w:pPr>
  </w:style>
  <w:style w:type="paragraph" w:customStyle="1" w:styleId="BodyTextnopadding">
    <w:name w:val="Body Text no padding"/>
    <w:basedOn w:val="BodyText"/>
    <w:qFormat/>
    <w:rsid w:val="00D7098D"/>
    <w:pPr>
      <w:spacing w:before="0" w:after="0"/>
    </w:pPr>
  </w:style>
  <w:style w:type="paragraph" w:customStyle="1" w:styleId="BodyTextBold">
    <w:name w:val="Body Text Bold"/>
    <w:basedOn w:val="BodyText"/>
    <w:qFormat/>
    <w:rsid w:val="00D7098D"/>
    <w:rPr>
      <w:b/>
    </w:rPr>
  </w:style>
  <w:style w:type="character" w:styleId="Hyperlink">
    <w:name w:val="Hyperlink"/>
    <w:basedOn w:val="DefaultParagraphFont"/>
    <w:uiPriority w:val="99"/>
    <w:unhideWhenUsed/>
    <w:rsid w:val="00F628D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1694</Words>
  <Characters>10626</Characters>
  <Application>Microsoft Office Word</Application>
  <DocSecurity>0</DocSecurity>
  <Lines>408</Lines>
  <Paragraphs>228</Paragraphs>
  <ScaleCrop>false</ScaleCrop>
  <Company>Author-it Software Corporation Ltd.</Company>
  <LinksUpToDate>false</LinksUpToDate>
  <CharactersWithSpaces>12092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PMAOPS522 Coordinate plant shutdown</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2025-03-01T09:00:00Z</dcterms:created>
  <dcterms:modified xsi:type="dcterms:W3CDTF">2025-03-01T09:00:00Z</dcterms:modified>
</cp:coreProperties>
</file>