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D21" w:rsidP="00102D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PMAOPS522 Coordinate plant shutdown</w:t>
      </w:r>
      <w:r>
        <w:fldChar w:fldCharType="end"/>
      </w:r>
    </w:p>
    <w:p w:rsidR="00102D21" w:rsidP="00102D21">
      <w:pPr>
        <w:pStyle w:val="Version"/>
        <w:sectPr w:rsidSect="00D33F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F15" w:rsidP="00D33F15">
      <w:pPr>
        <w:pStyle w:val="SuperHeading"/>
      </w:pPr>
      <w:r w:rsidRPr="00D33F15">
        <w:t>Assessment Requirements for PMAOPS522 Coordinate plant shutdown</w:t>
      </w:r>
    </w:p>
    <w:p w:rsidR="00000000" w:rsidRPr="00D33F15" w:rsidP="00D33F15">
      <w:pPr>
        <w:pStyle w:val="Heading1"/>
      </w:pPr>
      <w:bookmarkStart w:id="1" w:name="O_908521"/>
      <w:bookmarkEnd w:id="1"/>
      <w:r w:rsidRPr="00D33F15">
        <w:t>Modification History</w:t>
      </w:r>
    </w:p>
    <w:p w:rsidR="00000000" w:rsidRPr="00D33F15" w:rsidP="00102D21">
      <w:pPr>
        <w:pStyle w:val="BodyText"/>
      </w:pPr>
      <w:r w:rsidRPr="00D33F15">
        <w:t>Release 1. Supersedes and is equivalent to PMAOPS522A Coordinate plant shut down</w:t>
      </w:r>
    </w:p>
    <w:p w:rsidR="00000000" w:rsidRPr="00D33F15" w:rsidP="00D33F15">
      <w:pPr>
        <w:pStyle w:val="Heading1"/>
      </w:pPr>
      <w:bookmarkStart w:id="2" w:name="O_908524"/>
      <w:bookmarkEnd w:id="2"/>
      <w:r w:rsidRPr="00D33F15">
        <w:t>Performance Evidence</w:t>
      </w:r>
    </w:p>
    <w:p w:rsidR="00000000" w:rsidRPr="00D33F15" w:rsidP="00102D21">
      <w:pPr>
        <w:pStyle w:val="BodyText"/>
      </w:pPr>
      <w:r w:rsidRPr="00D33F15">
        <w:t>Evidence required to demonstrate competence in this unit must be relevant to and satisfy the requirements of the elements and performance criteria, and include the ability to:</w:t>
      </w:r>
    </w:p>
    <w:p w:rsidR="00000000" w:rsidRPr="00D33F15" w:rsidP="00D33F15">
      <w:pPr>
        <w:pStyle w:val="ListBullet"/>
      </w:pPr>
      <w:r w:rsidRPr="00D33F15">
        <w:t>lead and coordinate shutdown team to ensure safe and efficient plant shutdown a</w:t>
      </w:r>
      <w:r w:rsidRPr="00D33F15">
        <w:t>nd preparation according to procedures without incident</w:t>
      </w:r>
    </w:p>
    <w:p w:rsidR="00000000" w:rsidRPr="00D33F15" w:rsidP="00D33F15">
      <w:pPr>
        <w:pStyle w:val="ListBullet"/>
      </w:pPr>
      <w:r w:rsidRPr="00D33F15">
        <w:t>record and report all aspects of shutdown activities to stakeholders according to enterprise protocol</w:t>
      </w:r>
    </w:p>
    <w:p w:rsidR="00000000" w:rsidRPr="00D33F15" w:rsidP="00D33F15">
      <w:pPr>
        <w:pStyle w:val="ListBullet"/>
      </w:pPr>
      <w:r w:rsidRPr="00D33F15">
        <w:t>communicate and negotiate effectively with technical (process) experts, maintenance experts, contr</w:t>
      </w:r>
      <w:r w:rsidRPr="00D33F15">
        <w:t>actor representatives, production management and other stakeholders to obtain the best outcome for the shutdown from competing priorities</w:t>
      </w:r>
    </w:p>
    <w:p w:rsidR="00000000" w:rsidRPr="00D33F15" w:rsidP="00D33F15">
      <w:pPr>
        <w:pStyle w:val="ListBullet"/>
      </w:pPr>
      <w:r w:rsidRPr="00D33F15">
        <w:t>determine resource requirements, including:</w:t>
      </w:r>
    </w:p>
    <w:p w:rsidR="00000000" w:rsidRPr="00D33F15" w:rsidP="00D33F15">
      <w:pPr>
        <w:pStyle w:val="ListBullet2"/>
      </w:pPr>
      <w:r w:rsidRPr="00D33F15">
        <w:t>utility services, such as steam, nitrogen, power, water and chemicals</w:t>
      </w:r>
    </w:p>
    <w:p w:rsidR="00000000" w:rsidRPr="00D33F15" w:rsidP="00D33F15">
      <w:pPr>
        <w:pStyle w:val="ListBullet2"/>
      </w:pPr>
      <w:r w:rsidRPr="00D33F15">
        <w:t>wor</w:t>
      </w:r>
      <w:r w:rsidRPr="00D33F15">
        <w:t>kforce, such as operators, maintenance, contractors, engineers, laboratory staff, safety observer and standby rescue crew</w:t>
      </w:r>
    </w:p>
    <w:p w:rsidR="00000000" w:rsidRPr="00D33F15" w:rsidP="00D33F15">
      <w:pPr>
        <w:pStyle w:val="ListBullet2"/>
      </w:pPr>
      <w:r w:rsidRPr="00D33F15">
        <w:t>mobile equipment, such as elevated work platforms, Hiab, vacuum trucks and drip trays</w:t>
      </w:r>
    </w:p>
    <w:p w:rsidR="00000000" w:rsidRPr="00D33F15" w:rsidP="00D33F15">
      <w:pPr>
        <w:pStyle w:val="ListBullet2"/>
      </w:pPr>
      <w:r w:rsidRPr="00D33F15">
        <w:t xml:space="preserve">other equipment, such as hoses, plugs and caps, </w:t>
      </w:r>
      <w:r w:rsidRPr="00D33F15">
        <w:t>scaffold and extra fire protection equipment.</w:t>
      </w:r>
    </w:p>
    <w:p w:rsidR="00000000" w:rsidRPr="00D33F15" w:rsidP="00D33F15">
      <w:pPr>
        <w:pStyle w:val="AllowPageBreak"/>
      </w:pPr>
    </w:p>
    <w:p w:rsidR="00000000" w:rsidRPr="00D33F15" w:rsidP="00D33F15">
      <w:pPr>
        <w:pStyle w:val="Heading1"/>
      </w:pPr>
      <w:bookmarkStart w:id="3" w:name="O_908523"/>
      <w:bookmarkEnd w:id="3"/>
      <w:r w:rsidRPr="00D33F15">
        <w:t>Knowledge Evidence</w:t>
      </w:r>
    </w:p>
    <w:p w:rsidR="00000000" w:rsidRPr="00D33F15" w:rsidP="00102D21">
      <w:pPr>
        <w:pStyle w:val="BodyText"/>
      </w:pPr>
      <w:r w:rsidRPr="00D33F15">
        <w:t>Evidence must be provided that demonstrates knowledge of:</w:t>
      </w:r>
    </w:p>
    <w:p w:rsidR="00000000" w:rsidRPr="00D33F15" w:rsidP="00D33F15">
      <w:pPr>
        <w:pStyle w:val="ListBullet"/>
      </w:pPr>
      <w:r w:rsidRPr="00D33F15">
        <w:t>interpretation of project planning tools being used</w:t>
      </w:r>
    </w:p>
    <w:p w:rsidR="00000000" w:rsidRPr="00D33F15" w:rsidP="00D33F15">
      <w:pPr>
        <w:pStyle w:val="ListBullet"/>
      </w:pPr>
      <w:r w:rsidRPr="00D33F15">
        <w:t xml:space="preserve">a comprehensive knowledge of plant shutdown events and their impact on upstream and downstream interfaces </w:t>
      </w:r>
    </w:p>
    <w:p w:rsidR="00000000" w:rsidRPr="00D33F15" w:rsidP="00D33F15">
      <w:pPr>
        <w:pStyle w:val="ListBullet"/>
      </w:pPr>
      <w:r w:rsidRPr="00D33F15">
        <w:t>plant/equipment/processes impacted by the shutdown</w:t>
      </w:r>
    </w:p>
    <w:p w:rsidR="00000000" w:rsidRPr="00D33F15" w:rsidP="00D33F15">
      <w:pPr>
        <w:pStyle w:val="ListBullet"/>
      </w:pPr>
      <w:r w:rsidRPr="00D33F15">
        <w:t xml:space="preserve">safe working practices related to the type of plant and equipment being shut down and worked on </w:t>
      </w:r>
    </w:p>
    <w:p w:rsidR="00000000" w:rsidRPr="00D33F15" w:rsidP="00D33F15">
      <w:pPr>
        <w:pStyle w:val="ListBullet"/>
      </w:pPr>
      <w:r w:rsidRPr="00D33F15">
        <w:t>c</w:t>
      </w:r>
      <w:r w:rsidRPr="00D33F15">
        <w:t>orrect methods of shutting down plant items</w:t>
      </w:r>
    </w:p>
    <w:p w:rsidR="00000000" w:rsidRPr="00D33F15" w:rsidP="00D33F15">
      <w:pPr>
        <w:pStyle w:val="ListBullet"/>
      </w:pPr>
      <w:r w:rsidRPr="00D33F15">
        <w:t>organisation procedures.</w:t>
      </w:r>
    </w:p>
    <w:p w:rsidR="00000000" w:rsidRPr="00D33F15" w:rsidP="00D33F15">
      <w:pPr>
        <w:pStyle w:val="AllowPageBreak"/>
      </w:pPr>
    </w:p>
    <w:p w:rsidR="00000000" w:rsidRPr="00D33F15" w:rsidP="00D33F15">
      <w:pPr>
        <w:pStyle w:val="Heading1"/>
      </w:pPr>
      <w:bookmarkStart w:id="4" w:name="O_908522"/>
      <w:bookmarkEnd w:id="4"/>
      <w:r w:rsidRPr="00D33F15">
        <w:t>Assessment Conditions</w:t>
      </w:r>
    </w:p>
    <w:p w:rsidR="00000000" w:rsidRPr="00D33F15" w:rsidP="00D33F15">
      <w:pPr>
        <w:pStyle w:val="ListBullet"/>
      </w:pPr>
      <w:r w:rsidRPr="00D33F15">
        <w:t xml:space="preserve">The unit should be assessed holistically and the judgement of competence based on a holistic assessment of the evidence. </w:t>
      </w:r>
    </w:p>
    <w:p w:rsidR="00000000" w:rsidRPr="00D33F15" w:rsidP="00D33F15">
      <w:pPr>
        <w:pStyle w:val="ListBullet"/>
      </w:pPr>
      <w:r w:rsidRPr="00D33F15">
        <w:t>The collection of perform</w:t>
      </w:r>
      <w:r w:rsidRPr="00D33F15">
        <w:t>ance evidence is best done from a report and/or folio of evidence drawn from:</w:t>
      </w:r>
    </w:p>
    <w:p w:rsidR="00000000" w:rsidRPr="00D33F15" w:rsidP="00D33F15">
      <w:pPr>
        <w:pStyle w:val="ListBullet2"/>
      </w:pPr>
      <w:r w:rsidRPr="00D33F15">
        <w:t>a single project which provides sufficient evidence of the requirements of all the elements and performance criteria</w:t>
      </w:r>
    </w:p>
    <w:p w:rsidR="00000000" w:rsidRPr="00D33F15" w:rsidP="00D33F15">
      <w:pPr>
        <w:pStyle w:val="ListBullet2"/>
      </w:pPr>
      <w:r w:rsidRPr="00D33F15">
        <w:t>multiple smaller projects which together provide sufficient evidence of the requirements of all the elements and performance criteria.</w:t>
      </w:r>
    </w:p>
    <w:p w:rsidR="00000000" w:rsidRPr="00D33F15" w:rsidP="00D33F15">
      <w:pPr>
        <w:pStyle w:val="ListBullet"/>
      </w:pPr>
      <w:r w:rsidRPr="00D33F15">
        <w:t>A third-party report, or similar, may be needed to testify to the work done by the individual, particularly when the pro</w:t>
      </w:r>
      <w:r w:rsidRPr="00D33F15">
        <w:t>ject has been done as part of a project team.</w:t>
      </w:r>
    </w:p>
    <w:p w:rsidR="00000000" w:rsidRPr="00D33F15" w:rsidP="00D33F15">
      <w:pPr>
        <w:pStyle w:val="ListBullet"/>
      </w:pPr>
      <w:r w:rsidRPr="00D33F15">
        <w:t>Assessment should use a real project in an operational workplace. Where this is not possible or practical, assessment must occur using a sufficiently rigorous simulated environment reflecting realistic operatio</w:t>
      </w:r>
      <w:r w:rsidRPr="00D33F15">
        <w:t>nal workplace conditions. This must cover all aspects of workplace performance, including environment, task skills, task management skills, contingency management skills and job role environment skills.</w:t>
      </w:r>
    </w:p>
    <w:p w:rsidR="00000000" w:rsidRPr="00D33F15" w:rsidP="00D33F15">
      <w:pPr>
        <w:pStyle w:val="ListBullet"/>
      </w:pPr>
      <w:r w:rsidRPr="00D33F15">
        <w:t>Knowledge evidence may be collected concurrently with</w:t>
      </w:r>
      <w:r w:rsidRPr="00D33F15">
        <w:t xml:space="preserve"> performance evidence or through an independent process, such as workbooks, written assessments or interviews (provided a record is kept).</w:t>
      </w:r>
    </w:p>
    <w:p w:rsidR="00000000" w:rsidRPr="00D33F15" w:rsidP="00D33F15">
      <w:pPr>
        <w:pStyle w:val="ListBullet"/>
      </w:pPr>
      <w:r w:rsidRPr="00D33F15">
        <w:t>Assessment processes and techniques must be appropriate to the language, literacy and numeracy requirements of the wo</w:t>
      </w:r>
      <w:r w:rsidRPr="00D33F15">
        <w:t>rk being performed and the needs of the candidate.</w:t>
      </w:r>
    </w:p>
    <w:p w:rsidR="00000000" w:rsidRPr="00D33F15" w:rsidP="00D33F15">
      <w:pPr>
        <w:pStyle w:val="ListBullet"/>
      </w:pPr>
      <w:r w:rsidRPr="00D33F15">
        <w:t>Conditions for assessment must include access to all tools, equipment, materials and documentation required, including relevant workplace procedures, product and manufacturing specifications associated wit</w:t>
      </w:r>
      <w:r w:rsidRPr="00D33F15">
        <w:t>h this unit.</w:t>
      </w:r>
    </w:p>
    <w:p w:rsidR="00000000" w:rsidRPr="00D33F15" w:rsidP="00D33F15">
      <w:pPr>
        <w:pStyle w:val="ListBullet"/>
      </w:pPr>
      <w:r w:rsidRPr="00D33F15">
        <w:t>The regulatory framework will be reflected in workplace policies and procedures and is not required to be independently assessed.</w:t>
      </w:r>
    </w:p>
    <w:p w:rsidR="00000000" w:rsidRPr="00D33F15" w:rsidP="00D33F15">
      <w:pPr>
        <w:pStyle w:val="ListBullet"/>
      </w:pPr>
      <w:r w:rsidRPr="00D33F15">
        <w:t>Foundation skills are integral to competent performance of the unit and should not be assessed separately.</w:t>
      </w:r>
    </w:p>
    <w:p w:rsidR="00000000" w:rsidRPr="00D33F15" w:rsidP="00D33F15">
      <w:pPr>
        <w:pStyle w:val="ListBullet"/>
      </w:pPr>
      <w:r w:rsidRPr="00D33F15">
        <w:t>Assess</w:t>
      </w:r>
      <w:r w:rsidRPr="00D33F15">
        <w:t>ors must satisfy the assessor competency requirements that are in place at the time of the assessment as set by the VET regulator.</w:t>
      </w:r>
    </w:p>
    <w:p w:rsidR="00000000" w:rsidRPr="00D33F15" w:rsidP="00D33F15">
      <w:pPr>
        <w:pStyle w:val="ListBullet"/>
      </w:pPr>
      <w:r w:rsidRPr="00D33F15">
        <w:t>In addition, the assessor or anyone acting in subject matter expert role in assessment must demonstrate both technical compet</w:t>
      </w:r>
      <w:r w:rsidRPr="00D33F15">
        <w:t xml:space="preserve">ency and currency. If the assessor cannot demonstrate technical competency and currency they must assess with a subject matter expert who does meet these requirements. </w:t>
      </w:r>
    </w:p>
    <w:p w:rsidR="00000000" w:rsidRPr="00D33F15" w:rsidP="00D33F15">
      <w:pPr>
        <w:pStyle w:val="ListBullet"/>
      </w:pPr>
      <w:r w:rsidRPr="00D33F15">
        <w:t>Technical competence can be demonstrated through one or more of:</w:t>
      </w:r>
    </w:p>
    <w:p w:rsidR="00000000" w:rsidRPr="00D33F15" w:rsidP="00D33F15">
      <w:pPr>
        <w:pStyle w:val="ListBullet2"/>
      </w:pPr>
      <w:r w:rsidRPr="00D33F15">
        <w:t>relevant VET or other</w:t>
      </w:r>
      <w:r w:rsidRPr="00D33F15">
        <w:t xml:space="preserve"> qualification/Statement of Attainment </w:t>
      </w:r>
    </w:p>
    <w:p w:rsidR="00000000" w:rsidRPr="00D33F15" w:rsidP="00D33F15">
      <w:pPr>
        <w:pStyle w:val="ListBullet2"/>
      </w:pPr>
      <w:r w:rsidRPr="00D33F15">
        <w:t xml:space="preserve">appropriate workplace experience undertaking the type of work being assessed under routine and non-routine conditions </w:t>
      </w:r>
    </w:p>
    <w:p w:rsidR="00000000" w:rsidRPr="00D33F15" w:rsidP="00D33F15">
      <w:pPr>
        <w:pStyle w:val="ListBullet2"/>
      </w:pPr>
      <w:r w:rsidRPr="00D33F15">
        <w:t>appropriate workplace experience supervising/evaluating the type of work being assessed under rou</w:t>
      </w:r>
      <w:r w:rsidRPr="00D33F15">
        <w:t>tine and non-routine conditions</w:t>
      </w:r>
    </w:p>
    <w:p w:rsidR="00000000" w:rsidRPr="00D33F15" w:rsidP="00D33F15">
      <w:pPr>
        <w:pStyle w:val="ListBullet"/>
      </w:pPr>
      <w:r w:rsidRPr="00D33F15">
        <w:t>Currency can be demonstrated through one or more of:</w:t>
      </w:r>
    </w:p>
    <w:p w:rsidR="00000000" w:rsidRPr="00D33F15" w:rsidP="00D33F15">
      <w:pPr>
        <w:pStyle w:val="ListBullet2"/>
      </w:pPr>
      <w:r w:rsidRPr="00D33F15">
        <w:t xml:space="preserve">being currently employed undertaking the type of work being assessed </w:t>
      </w:r>
    </w:p>
    <w:p w:rsidR="00000000" w:rsidRPr="00D33F15" w:rsidP="00D33F15">
      <w:pPr>
        <w:pStyle w:val="ListBullet2"/>
      </w:pPr>
      <w:r w:rsidRPr="00D33F15">
        <w:t>being employed by the organisation undert</w:t>
      </w:r>
      <w:r w:rsidRPr="00D33F15">
        <w:t xml:space="preserve">aking the type of work being assessed and having maintained currency in accordance with that organisation’s policies and procedures </w:t>
      </w:r>
    </w:p>
    <w:p w:rsidR="00000000" w:rsidRPr="00D33F15" w:rsidP="00D33F15">
      <w:pPr>
        <w:pStyle w:val="ListBullet2"/>
      </w:pPr>
      <w:r w:rsidRPr="00D33F15">
        <w:t>having consulted/had contact with an organisation undertaking the type of work being assessed within the last twelve months</w:t>
      </w:r>
      <w:r w:rsidRPr="00D33F15">
        <w:t xml:space="preserve">, the consultation/contact being related to assessment </w:t>
      </w:r>
    </w:p>
    <w:p w:rsidR="00000000" w:rsidRPr="00D33F15" w:rsidP="00D33F15">
      <w:pPr>
        <w:pStyle w:val="ListBullet2"/>
      </w:pPr>
      <w:r w:rsidRPr="00D33F15">
        <w:t xml:space="preserve">conducting on-the-job training/assessments of the type of work being assessed </w:t>
      </w:r>
    </w:p>
    <w:p w:rsidR="00000000" w:rsidRPr="00D33F15" w:rsidP="00D33F15">
      <w:pPr>
        <w:pStyle w:val="ListBullet2"/>
      </w:pPr>
      <w:r w:rsidRPr="00D33F15">
        <w:t>being an active member of a relevant professional body and participating in activities relevant to the assessment of this</w:t>
      </w:r>
      <w:r w:rsidRPr="00D33F15">
        <w:t xml:space="preserve"> type of work.</w:t>
      </w:r>
    </w:p>
    <w:p w:rsidR="00000000" w:rsidRPr="00D33F15" w:rsidP="00D33F15">
      <w:pPr>
        <w:pStyle w:val="AllowPageBreak"/>
      </w:pPr>
    </w:p>
    <w:p w:rsidR="00000000" w:rsidRPr="00D33F15" w:rsidP="00D33F15">
      <w:pPr>
        <w:pStyle w:val="Heading1"/>
      </w:pPr>
      <w:bookmarkStart w:id="5" w:name="O_908520"/>
      <w:bookmarkEnd w:id="5"/>
      <w:r w:rsidRPr="00D33F15">
        <w:t>Links</w:t>
      </w:r>
    </w:p>
    <w:p w:rsidR="00000000" w:rsidRPr="00D33F15" w:rsidP="00102D21">
      <w:pPr>
        <w:pStyle w:val="BodyText"/>
      </w:pPr>
      <w:r w:rsidRPr="00D33F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F335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33F15" w:rsidP="00D33F15"/>
    <w:sectPr w:rsidSect="00D33F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15" w:rsidRPr="00102D21" w:rsidP="00102D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D21" w:rsidP="00D33F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2D21" w:rsidP="00D33F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2D21" w:rsidP="00D33F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D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F15" w:rsidRPr="00102D21" w:rsidP="00102D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D21" w:rsidRPr="002D2AF8" w:rsidP="00D33F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PMAOPS522 Coordinate plant shutdown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102D21" w:rsidP="00D33F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C4DD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EE4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285F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F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F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F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F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F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F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F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F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F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F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F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F15"/>
  </w:style>
  <w:style w:type="character" w:customStyle="1" w:styleId="Heading1Char">
    <w:name w:val="Heading 1 Char"/>
    <w:basedOn w:val="DefaultParagraphFont"/>
    <w:link w:val="Heading1"/>
    <w:rsid w:val="00D33F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F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F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3F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3F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3F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F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3F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F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F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F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F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F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F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F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F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F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F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F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F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F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F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F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F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F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F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3F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3F15"/>
    <w:rPr>
      <w:b/>
      <w:spacing w:val="0"/>
    </w:rPr>
  </w:style>
  <w:style w:type="paragraph" w:customStyle="1" w:styleId="SuperTitle">
    <w:name w:val="SuperTitle"/>
    <w:basedOn w:val="Title"/>
    <w:rsid w:val="00D33F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F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F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3F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F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F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F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F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F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F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F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F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3F15"/>
    <w:rPr>
      <w:i/>
    </w:rPr>
  </w:style>
  <w:style w:type="paragraph" w:styleId="Caption">
    <w:name w:val="caption"/>
    <w:basedOn w:val="BodyText"/>
    <w:next w:val="Normal"/>
    <w:qFormat/>
    <w:rsid w:val="00D33F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F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F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F15"/>
  </w:style>
  <w:style w:type="paragraph" w:styleId="TableofFigures">
    <w:name w:val="table of figures"/>
    <w:basedOn w:val="Normal"/>
    <w:next w:val="Normal"/>
    <w:semiHidden/>
    <w:rsid w:val="00D33F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F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3F15"/>
    <w:rPr>
      <w:rFonts w:ascii="Wingdings" w:hAnsi="Wingdings"/>
    </w:rPr>
  </w:style>
  <w:style w:type="paragraph" w:customStyle="1" w:styleId="TableHeading">
    <w:name w:val="Table Heading"/>
    <w:basedOn w:val="HeadingBase"/>
    <w:rsid w:val="00D33F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F15"/>
    <w:rPr>
      <w:color w:val="0033CC"/>
      <w:u w:val="none"/>
    </w:rPr>
  </w:style>
  <w:style w:type="paragraph" w:customStyle="1" w:styleId="BodyTextRight">
    <w:name w:val="Body Text Right"/>
    <w:basedOn w:val="BodyText"/>
    <w:rsid w:val="00D33F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F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F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F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F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F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F15"/>
    <w:rPr>
      <w:sz w:val="32"/>
    </w:rPr>
  </w:style>
  <w:style w:type="paragraph" w:customStyle="1" w:styleId="HeadingProcedure">
    <w:name w:val="Heading Procedure"/>
    <w:basedOn w:val="HeadingBase"/>
    <w:next w:val="Normal"/>
    <w:rsid w:val="00D33F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F15"/>
    <w:pPr>
      <w:spacing w:before="60" w:after="60"/>
    </w:pPr>
  </w:style>
  <w:style w:type="paragraph" w:styleId="ListContinue">
    <w:name w:val="List Continue"/>
    <w:basedOn w:val="List"/>
    <w:rsid w:val="00D33F15"/>
    <w:pPr>
      <w:ind w:firstLine="0"/>
    </w:pPr>
  </w:style>
  <w:style w:type="paragraph" w:customStyle="1" w:styleId="ListNote">
    <w:name w:val="List Note"/>
    <w:basedOn w:val="List"/>
    <w:rsid w:val="00D33F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F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F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F15"/>
    <w:rPr>
      <w:rFonts w:ascii="Courier New" w:hAnsi="Courier New"/>
    </w:rPr>
  </w:style>
  <w:style w:type="paragraph" w:customStyle="1" w:styleId="NoteBullet">
    <w:name w:val="Note Bullet"/>
    <w:basedOn w:val="Note"/>
    <w:rsid w:val="00D33F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F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F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F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F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3F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F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F15"/>
    <w:rPr>
      <w:b/>
      <w:smallCaps/>
    </w:rPr>
  </w:style>
  <w:style w:type="paragraph" w:customStyle="1" w:styleId="TableListNumber">
    <w:name w:val="Table List Number"/>
    <w:basedOn w:val="ListNumber"/>
    <w:rsid w:val="00D33F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F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F15"/>
    <w:pPr>
      <w:numPr>
        <w:numId w:val="9"/>
      </w:numPr>
    </w:pPr>
  </w:style>
  <w:style w:type="paragraph" w:customStyle="1" w:styleId="ListAlpha2">
    <w:name w:val="List Alpha 2"/>
    <w:basedOn w:val="List2"/>
    <w:rsid w:val="00D33F15"/>
    <w:pPr>
      <w:numPr>
        <w:numId w:val="8"/>
      </w:numPr>
    </w:pPr>
  </w:style>
  <w:style w:type="paragraph" w:styleId="List2">
    <w:name w:val="List 2"/>
    <w:basedOn w:val="BodyText"/>
    <w:rsid w:val="00D33F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F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F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F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F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F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3F15"/>
    <w:pPr>
      <w:numPr>
        <w:numId w:val="4"/>
      </w:numPr>
    </w:pPr>
  </w:style>
  <w:style w:type="paragraph" w:styleId="ListContinue2">
    <w:name w:val="List Continue 2"/>
    <w:basedOn w:val="List2"/>
    <w:rsid w:val="00D33F15"/>
    <w:pPr>
      <w:ind w:firstLine="0"/>
    </w:pPr>
  </w:style>
  <w:style w:type="paragraph" w:styleId="ListContinue3">
    <w:name w:val="List Continue 3"/>
    <w:basedOn w:val="List3"/>
    <w:rsid w:val="00D33F15"/>
    <w:pPr>
      <w:ind w:left="1021" w:firstLine="0"/>
    </w:pPr>
  </w:style>
  <w:style w:type="paragraph" w:styleId="ListContinue4">
    <w:name w:val="List Continue 4"/>
    <w:basedOn w:val="List4"/>
    <w:rsid w:val="00D33F15"/>
    <w:pPr>
      <w:ind w:firstLine="0"/>
    </w:pPr>
  </w:style>
  <w:style w:type="paragraph" w:styleId="ListContinue5">
    <w:name w:val="List Continue 5"/>
    <w:basedOn w:val="List5"/>
    <w:rsid w:val="00D33F15"/>
    <w:pPr>
      <w:ind w:firstLine="0"/>
    </w:pPr>
  </w:style>
  <w:style w:type="paragraph" w:styleId="ListNumber3">
    <w:name w:val="List Number 3"/>
    <w:basedOn w:val="List3"/>
    <w:rsid w:val="00D33F15"/>
    <w:pPr>
      <w:numPr>
        <w:numId w:val="5"/>
      </w:numPr>
    </w:pPr>
  </w:style>
  <w:style w:type="paragraph" w:styleId="ListNumber4">
    <w:name w:val="List Number 4"/>
    <w:basedOn w:val="List4"/>
    <w:rsid w:val="00D33F15"/>
    <w:pPr>
      <w:numPr>
        <w:numId w:val="6"/>
      </w:numPr>
    </w:pPr>
  </w:style>
  <w:style w:type="paragraph" w:styleId="ListNumber5">
    <w:name w:val="List Number 5"/>
    <w:basedOn w:val="List5"/>
    <w:rsid w:val="00D33F15"/>
    <w:pPr>
      <w:numPr>
        <w:numId w:val="7"/>
      </w:numPr>
    </w:pPr>
  </w:style>
  <w:style w:type="paragraph" w:styleId="BlockText">
    <w:name w:val="Block Text"/>
    <w:basedOn w:val="Normal"/>
    <w:rsid w:val="00D33F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F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F15"/>
    <w:rPr>
      <w:sz w:val="16"/>
      <w:vertAlign w:val="superscript"/>
    </w:rPr>
  </w:style>
  <w:style w:type="character" w:customStyle="1" w:styleId="Symbols">
    <w:name w:val="Symbols"/>
    <w:basedOn w:val="DefaultParagraphFont"/>
    <w:rsid w:val="00D33F15"/>
    <w:rPr>
      <w:rFonts w:ascii="Symbol" w:hAnsi="Symbol"/>
    </w:rPr>
  </w:style>
  <w:style w:type="character" w:customStyle="1" w:styleId="MenuOptions">
    <w:name w:val="Menu Options"/>
    <w:basedOn w:val="DefaultParagraphFont"/>
    <w:rsid w:val="00D33F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F15"/>
    <w:rPr>
      <w:b/>
    </w:rPr>
  </w:style>
  <w:style w:type="character" w:customStyle="1" w:styleId="Underlined">
    <w:name w:val="Underlined"/>
    <w:basedOn w:val="DefaultParagraphFont"/>
    <w:rsid w:val="00D33F15"/>
    <w:rPr>
      <w:u w:val="single"/>
    </w:rPr>
  </w:style>
  <w:style w:type="paragraph" w:customStyle="1" w:styleId="TableBodyTextRight">
    <w:name w:val="Table Body Text Right"/>
    <w:basedOn w:val="TableBodyText"/>
    <w:rsid w:val="00D33F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F15"/>
    <w:rPr>
      <w:sz w:val="18"/>
    </w:rPr>
  </w:style>
  <w:style w:type="paragraph" w:customStyle="1" w:styleId="BodySmallRight">
    <w:name w:val="Body Small Right"/>
    <w:basedOn w:val="BodyTextRight"/>
    <w:rsid w:val="00D33F15"/>
    <w:rPr>
      <w:sz w:val="18"/>
      <w:szCs w:val="18"/>
    </w:rPr>
  </w:style>
  <w:style w:type="paragraph" w:customStyle="1" w:styleId="MarginEdition">
    <w:name w:val="Margin Edition"/>
    <w:basedOn w:val="MarginNote"/>
    <w:rsid w:val="00D33F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F15"/>
    <w:rPr>
      <w:sz w:val="2"/>
      <w:szCs w:val="2"/>
    </w:rPr>
  </w:style>
  <w:style w:type="character" w:customStyle="1" w:styleId="Small">
    <w:name w:val="Small"/>
    <w:basedOn w:val="DefaultParagraphFont"/>
    <w:rsid w:val="00D33F15"/>
    <w:rPr>
      <w:sz w:val="16"/>
    </w:rPr>
  </w:style>
  <w:style w:type="paragraph" w:customStyle="1" w:styleId="WideTable">
    <w:name w:val="Wide Table"/>
    <w:basedOn w:val="Normal"/>
    <w:rsid w:val="00D33F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F15"/>
  </w:style>
  <w:style w:type="paragraph" w:styleId="Quote">
    <w:name w:val="Quote"/>
    <w:basedOn w:val="Heading1"/>
    <w:link w:val="QuoteChar"/>
    <w:qFormat/>
    <w:rsid w:val="00D33F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F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F15"/>
    <w:pPr>
      <w:pageBreakBefore/>
    </w:pPr>
  </w:style>
  <w:style w:type="paragraph" w:customStyle="1" w:styleId="Border">
    <w:name w:val="Border"/>
    <w:basedOn w:val="Normal"/>
    <w:qFormat/>
    <w:rsid w:val="00D33F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F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F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F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F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F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F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F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F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F15"/>
    <w:rPr>
      <w:u w:val="single"/>
    </w:rPr>
  </w:style>
  <w:style w:type="character" w:customStyle="1" w:styleId="BoldandItalics">
    <w:name w:val="Bold and Italics"/>
    <w:qFormat/>
    <w:rsid w:val="00D33F15"/>
    <w:rPr>
      <w:b/>
      <w:i/>
      <w:u w:val="none"/>
    </w:rPr>
  </w:style>
  <w:style w:type="paragraph" w:styleId="BalloonText">
    <w:name w:val="Balloon Text"/>
    <w:basedOn w:val="Normal"/>
    <w:link w:val="BalloonTextChar"/>
    <w:rsid w:val="00D33F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F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F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F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F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F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F15"/>
    <w:pPr>
      <w:spacing w:before="0" w:after="0"/>
    </w:pPr>
  </w:style>
  <w:style w:type="paragraph" w:customStyle="1" w:styleId="BodyTextBold">
    <w:name w:val="Body Text Bold"/>
    <w:basedOn w:val="BodyText"/>
    <w:qFormat/>
    <w:rsid w:val="00D33F15"/>
    <w:rPr>
      <w:b/>
    </w:rPr>
  </w:style>
  <w:style w:type="character" w:styleId="Hyperlink">
    <w:name w:val="Hyperlink"/>
    <w:basedOn w:val="DefaultParagraphFont"/>
    <w:uiPriority w:val="99"/>
    <w:unhideWhenUsed/>
    <w:rsid w:val="00102D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4748</Characters>
  <Application>Microsoft Office Word</Application>
  <DocSecurity>0</DocSecurity>
  <Lines>96</Lines>
  <Paragraphs>57</Paragraphs>
  <ScaleCrop>false</ScaleCrop>
  <Company>Author-it Software Corporation Ltd.</Company>
  <LinksUpToDate>false</LinksUpToDate>
  <CharactersWithSpaces>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PMAOPS522 Coordinate plant shutdown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2022-09-21T04:42:00Z</dcterms:created>
  <dcterms:modified xsi:type="dcterms:W3CDTF">2022-09-21T04:42:00Z</dcterms:modified>
</cp:coreProperties>
</file>