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9C2" w:rsidP="00EF29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PMAOPS521 Plan plant shutdown</w:t>
      </w:r>
      <w:r>
        <w:fldChar w:fldCharType="end"/>
      </w:r>
    </w:p>
    <w:p w:rsidR="00EF29C2" w:rsidP="00EF29C2">
      <w:pPr>
        <w:pStyle w:val="Version"/>
        <w:sectPr w:rsidSect="00885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7A2" w:rsidP="008857A2">
      <w:pPr>
        <w:pStyle w:val="SuperHeading"/>
      </w:pPr>
      <w:r w:rsidRPr="008857A2">
        <w:t>Assessment Requirements for PMAOPS521 Plan plant shutdown</w:t>
      </w:r>
    </w:p>
    <w:p w:rsidR="00000000" w:rsidRPr="008857A2" w:rsidP="008857A2">
      <w:pPr>
        <w:pStyle w:val="Heading1"/>
      </w:pPr>
      <w:bookmarkStart w:id="1" w:name="O_908502"/>
      <w:bookmarkEnd w:id="1"/>
      <w:r w:rsidRPr="008857A2">
        <w:t>Modification History</w:t>
      </w:r>
    </w:p>
    <w:p w:rsidR="00000000" w:rsidRPr="008857A2" w:rsidP="00EF29C2">
      <w:pPr>
        <w:pStyle w:val="BodyText"/>
      </w:pPr>
      <w:r w:rsidRPr="008857A2">
        <w:t>Release 1. Supersedes and is equivalent to PMAOPS521C Plan plant shutdown</w:t>
      </w:r>
    </w:p>
    <w:p w:rsidR="00000000" w:rsidRPr="008857A2" w:rsidP="008857A2">
      <w:pPr>
        <w:pStyle w:val="Heading1"/>
      </w:pPr>
      <w:bookmarkStart w:id="2" w:name="O_908505"/>
      <w:bookmarkEnd w:id="2"/>
      <w:r w:rsidRPr="008857A2">
        <w:t>Performance Evidence</w:t>
      </w:r>
    </w:p>
    <w:p w:rsidR="00000000" w:rsidRPr="008857A2" w:rsidP="00EF29C2">
      <w:pPr>
        <w:pStyle w:val="BodyText"/>
      </w:pPr>
      <w:r w:rsidRPr="008857A2">
        <w:t>Evidence required to demonstrate competence in this unit must be relevant to and satisfy the requirements o</w:t>
      </w:r>
      <w:r w:rsidRPr="008857A2">
        <w:t>f the elements and performance criteria, and include the ability to:</w:t>
      </w:r>
    </w:p>
    <w:p w:rsidR="00000000" w:rsidRPr="008857A2" w:rsidP="008857A2">
      <w:pPr>
        <w:pStyle w:val="ListBullet"/>
      </w:pPr>
      <w:r w:rsidRPr="008857A2">
        <w:t>identify all necessary activities, tasks and logical sequences to ensure safe and efficient shutdown</w:t>
      </w:r>
    </w:p>
    <w:p w:rsidR="00000000" w:rsidRPr="008857A2" w:rsidP="008857A2">
      <w:pPr>
        <w:pStyle w:val="ListBullet"/>
      </w:pPr>
      <w:r w:rsidRPr="008857A2">
        <w:t>communicate and negotiate effectively with technical (process) experts, maintenance e</w:t>
      </w:r>
      <w:r w:rsidRPr="008857A2">
        <w:t>xperts, contractor representatives, production management and other stakeholders to obtain the best outcome for the shutdown from competing priorities</w:t>
      </w:r>
    </w:p>
    <w:p w:rsidR="00000000" w:rsidRPr="008857A2" w:rsidP="008857A2">
      <w:pPr>
        <w:pStyle w:val="ListBullet"/>
      </w:pPr>
      <w:r w:rsidRPr="008857A2">
        <w:t>use planning tools to develop, modify and optimise complex plans/schedules</w:t>
      </w:r>
    </w:p>
    <w:p w:rsidR="00000000" w:rsidRPr="008857A2" w:rsidP="008857A2">
      <w:pPr>
        <w:pStyle w:val="ListBullet"/>
      </w:pPr>
      <w:r w:rsidRPr="008857A2">
        <w:t>breakdown work tasks into step</w:t>
      </w:r>
      <w:r w:rsidRPr="008857A2">
        <w:t>s/stages/trades/contractors/ parts/designs/spares/tools</w:t>
      </w:r>
    </w:p>
    <w:p w:rsidR="00000000" w:rsidRPr="008857A2" w:rsidP="008857A2">
      <w:pPr>
        <w:pStyle w:val="ListBullet"/>
      </w:pPr>
      <w:r w:rsidRPr="008857A2">
        <w:t>monitor shutdown against plan and re-schedule/ adjust/update plans as required.</w:t>
      </w:r>
    </w:p>
    <w:p w:rsidR="00000000" w:rsidRPr="008857A2" w:rsidP="008857A2">
      <w:pPr>
        <w:pStyle w:val="AllowPageBreak"/>
      </w:pPr>
    </w:p>
    <w:p w:rsidR="00000000" w:rsidRPr="008857A2" w:rsidP="008857A2">
      <w:pPr>
        <w:pStyle w:val="Heading1"/>
      </w:pPr>
      <w:bookmarkStart w:id="3" w:name="O_908504"/>
      <w:bookmarkEnd w:id="3"/>
      <w:r w:rsidRPr="008857A2">
        <w:t>Knowledge Evidence</w:t>
      </w:r>
    </w:p>
    <w:p w:rsidR="00000000" w:rsidRPr="008857A2" w:rsidP="00EF29C2">
      <w:pPr>
        <w:pStyle w:val="BodyText"/>
      </w:pPr>
      <w:r w:rsidRPr="008857A2">
        <w:t>Evidence must be provided that demonstrates knowledge of:</w:t>
      </w:r>
    </w:p>
    <w:p w:rsidR="00000000" w:rsidRPr="008857A2" w:rsidP="008857A2">
      <w:pPr>
        <w:pStyle w:val="ListBullet"/>
      </w:pPr>
      <w:r w:rsidRPr="008857A2">
        <w:t>methods of task breakdown</w:t>
      </w:r>
      <w:r w:rsidRPr="008857A2">
        <w:t xml:space="preserve"> </w:t>
      </w:r>
    </w:p>
    <w:p w:rsidR="00000000" w:rsidRPr="008857A2" w:rsidP="008857A2">
      <w:pPr>
        <w:pStyle w:val="ListBullet"/>
      </w:pPr>
      <w:r w:rsidRPr="008857A2">
        <w:t xml:space="preserve">critical path (or similar) technique </w:t>
      </w:r>
    </w:p>
    <w:p w:rsidR="00000000" w:rsidRPr="008857A2" w:rsidP="008857A2">
      <w:pPr>
        <w:pStyle w:val="ListBullet"/>
      </w:pPr>
      <w:r w:rsidRPr="008857A2">
        <w:t>project scheduling techniques</w:t>
      </w:r>
    </w:p>
    <w:p w:rsidR="00000000" w:rsidRPr="008857A2" w:rsidP="008857A2">
      <w:pPr>
        <w:pStyle w:val="ListBullet"/>
      </w:pPr>
      <w:r w:rsidRPr="008857A2">
        <w:t>correct methods of shutting down plant items.</w:t>
      </w:r>
    </w:p>
    <w:p w:rsidR="00000000" w:rsidRPr="008857A2" w:rsidP="008857A2">
      <w:pPr>
        <w:pStyle w:val="AllowPageBreak"/>
      </w:pPr>
    </w:p>
    <w:p w:rsidR="00000000" w:rsidRPr="008857A2" w:rsidP="008857A2">
      <w:pPr>
        <w:pStyle w:val="Heading1"/>
      </w:pPr>
      <w:bookmarkStart w:id="4" w:name="O_908503"/>
      <w:bookmarkEnd w:id="4"/>
      <w:r w:rsidRPr="008857A2">
        <w:t>Assessment Conditions</w:t>
      </w:r>
    </w:p>
    <w:p w:rsidR="00000000" w:rsidRPr="008857A2" w:rsidP="008857A2">
      <w:pPr>
        <w:pStyle w:val="ListBullet"/>
      </w:pPr>
      <w:r w:rsidRPr="008857A2">
        <w:t>The unit should be assessed holistically and the judgement of competence based on a holistic assessm</w:t>
      </w:r>
      <w:r w:rsidRPr="008857A2">
        <w:t xml:space="preserve">ent of the evidence. </w:t>
      </w:r>
    </w:p>
    <w:p w:rsidR="00000000" w:rsidRPr="008857A2" w:rsidP="008857A2">
      <w:pPr>
        <w:pStyle w:val="ListBullet"/>
      </w:pPr>
      <w:r w:rsidRPr="008857A2">
        <w:t>The collection of performance evidence is best done from a report and/or folio of evidence drawn from:</w:t>
      </w:r>
    </w:p>
    <w:p w:rsidR="00000000" w:rsidRPr="008857A2" w:rsidP="008857A2">
      <w:pPr>
        <w:pStyle w:val="ListBullet2"/>
      </w:pPr>
      <w:r w:rsidRPr="008857A2">
        <w:t>a single project which provides sufficient evidence of the requirements of all the elements and performance criteria</w:t>
      </w:r>
    </w:p>
    <w:p w:rsidR="00000000" w:rsidRPr="008857A2" w:rsidP="008857A2">
      <w:pPr>
        <w:pStyle w:val="ListBullet2"/>
      </w:pPr>
      <w:r w:rsidRPr="008857A2">
        <w:t>multiple smaller projects which together provide sufficient evidence of the requirements of all the elements and performance criteria.</w:t>
      </w:r>
    </w:p>
    <w:p w:rsidR="00000000" w:rsidRPr="008857A2" w:rsidP="008857A2">
      <w:pPr>
        <w:pStyle w:val="ListBullet"/>
      </w:pPr>
      <w:r w:rsidRPr="008857A2">
        <w:t>A third-party report, or similar, may be needed to testify to the work done by the individual, particularly when the pro</w:t>
      </w:r>
      <w:r w:rsidRPr="008857A2">
        <w:t>ject has been done as part of a project team.</w:t>
      </w:r>
    </w:p>
    <w:p w:rsidR="00000000" w:rsidRPr="008857A2" w:rsidP="008857A2">
      <w:pPr>
        <w:pStyle w:val="ListBullet"/>
      </w:pPr>
      <w:r w:rsidRPr="008857A2">
        <w:t>Assessment should use a real project in an operational workplace. Where this is not possible or practical, or where it is desirable to test for competence before taking a major role in a shutdown, assessment mu</w:t>
      </w:r>
      <w:r w:rsidRPr="008857A2">
        <w:t>st occur using a sufficiently rigorous simulated environment reflecting realistic operational workplace conditions. This must cover all aspects of workplace performance, including environment, task skills, task management skills, contingency management ski</w:t>
      </w:r>
      <w:r w:rsidRPr="008857A2">
        <w:t>lls and job role environment skills.</w:t>
      </w:r>
    </w:p>
    <w:p w:rsidR="00000000" w:rsidRPr="008857A2" w:rsidP="008857A2">
      <w:pPr>
        <w:pStyle w:val="ListBullet"/>
      </w:pPr>
      <w:r w:rsidRPr="008857A2">
        <w:t>Knowledge evidence may be collected concurrently with performance evidence or through an independent process, such as workbooks, written assessments or interviews (provided a record is kept).</w:t>
      </w:r>
    </w:p>
    <w:p w:rsidR="00000000" w:rsidRPr="008857A2" w:rsidP="008857A2">
      <w:pPr>
        <w:pStyle w:val="ListBullet"/>
      </w:pPr>
      <w:r w:rsidRPr="008857A2">
        <w:t>Assessment processes and te</w:t>
      </w:r>
      <w:r w:rsidRPr="008857A2">
        <w:t>chniques must be appropriate to the language, literacy and numeracy requirements of the work being performed and the needs of the candidate.</w:t>
      </w:r>
    </w:p>
    <w:p w:rsidR="00000000" w:rsidRPr="008857A2" w:rsidP="008857A2">
      <w:pPr>
        <w:pStyle w:val="ListBullet"/>
      </w:pPr>
      <w:r w:rsidRPr="008857A2">
        <w:t>Conditions for assessment must include access to all tools, equipment, materials and documentation required, includ</w:t>
      </w:r>
      <w:r w:rsidRPr="008857A2">
        <w:t>ing relevant workplace procedures, product and manufacturing specifications associated with this unit.</w:t>
      </w:r>
    </w:p>
    <w:p w:rsidR="00000000" w:rsidRPr="008857A2" w:rsidP="008857A2">
      <w:pPr>
        <w:pStyle w:val="ListBullet"/>
      </w:pPr>
      <w:r w:rsidRPr="008857A2">
        <w:t>The regulatory framework will be reflected in workplace policies and procedures and is not required to be independently assessed.</w:t>
      </w:r>
    </w:p>
    <w:p w:rsidR="00000000" w:rsidRPr="008857A2" w:rsidP="008857A2">
      <w:pPr>
        <w:pStyle w:val="ListBullet"/>
      </w:pPr>
      <w:r w:rsidRPr="008857A2">
        <w:t>Foundation skills are i</w:t>
      </w:r>
      <w:r w:rsidRPr="008857A2">
        <w:t>ntegral to competent performance of the unit and should not be assessed separately.</w:t>
      </w:r>
    </w:p>
    <w:p w:rsidR="00000000" w:rsidRPr="008857A2" w:rsidP="008857A2">
      <w:pPr>
        <w:pStyle w:val="ListBullet"/>
      </w:pPr>
      <w:r w:rsidRPr="008857A2">
        <w:t>Assessors must satisfy the assessor competency requirements that are in place at the time of the assessment as set by the VET regulator.</w:t>
      </w:r>
    </w:p>
    <w:p w:rsidR="00000000" w:rsidRPr="008857A2" w:rsidP="008857A2">
      <w:pPr>
        <w:pStyle w:val="ListBullet"/>
      </w:pPr>
      <w:r w:rsidRPr="008857A2">
        <w:t>In addition, the assessor or anyone</w:t>
      </w:r>
      <w:r w:rsidRPr="008857A2">
        <w:t xml:space="preserve"> acting in subject matter expert role in assessment must demonstrate both technical competency and currency. If the assessor cannot demonstrate technical competency and currency they must assess with a subject matter expert who does meet these requirements</w:t>
      </w:r>
      <w:r w:rsidRPr="008857A2">
        <w:t xml:space="preserve">. </w:t>
      </w:r>
    </w:p>
    <w:p w:rsidR="00000000" w:rsidRPr="008857A2" w:rsidP="008857A2">
      <w:pPr>
        <w:pStyle w:val="ListBullet"/>
      </w:pPr>
      <w:r w:rsidRPr="008857A2">
        <w:t>Technical competence can be demonstrated through one or more of:</w:t>
      </w:r>
    </w:p>
    <w:p w:rsidR="00000000" w:rsidRPr="008857A2" w:rsidP="008857A2">
      <w:pPr>
        <w:pStyle w:val="ListBullet2"/>
      </w:pPr>
      <w:r w:rsidRPr="008857A2">
        <w:t xml:space="preserve">relevant VET or other qualification/Statement of Attainment </w:t>
      </w:r>
    </w:p>
    <w:p w:rsidR="00000000" w:rsidRPr="008857A2" w:rsidP="008857A2">
      <w:pPr>
        <w:pStyle w:val="ListBullet2"/>
      </w:pPr>
      <w:r w:rsidRPr="008857A2">
        <w:t xml:space="preserve">appropriate workplace experience undertaking the type of work being assessed under routine and non-routine conditions </w:t>
      </w:r>
    </w:p>
    <w:p w:rsidR="00000000" w:rsidRPr="008857A2" w:rsidP="008857A2">
      <w:pPr>
        <w:pStyle w:val="ListBullet2"/>
      </w:pPr>
      <w:r w:rsidRPr="008857A2">
        <w:t>appropr</w:t>
      </w:r>
      <w:r w:rsidRPr="008857A2">
        <w:t>iate workplace experience supervising/evaluating the type of work being assessed under routine and non-routine conditions</w:t>
      </w:r>
    </w:p>
    <w:p w:rsidR="00000000" w:rsidRPr="008857A2" w:rsidP="008857A2">
      <w:pPr>
        <w:pStyle w:val="ListBullet"/>
      </w:pPr>
      <w:r w:rsidRPr="008857A2">
        <w:t>Currency can be demonstrated through one or more of:</w:t>
      </w:r>
    </w:p>
    <w:p w:rsidR="00000000" w:rsidRPr="008857A2" w:rsidP="008857A2">
      <w:pPr>
        <w:pStyle w:val="ListBullet2"/>
      </w:pPr>
      <w:r w:rsidRPr="008857A2">
        <w:t xml:space="preserve">being currently employed undertaking the type of work being assessed </w:t>
      </w:r>
    </w:p>
    <w:p w:rsidR="00000000" w:rsidRPr="008857A2" w:rsidP="008857A2">
      <w:pPr>
        <w:pStyle w:val="ListBullet2"/>
      </w:pPr>
      <w:r w:rsidRPr="008857A2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8857A2" w:rsidP="008857A2">
      <w:pPr>
        <w:pStyle w:val="ListBullet2"/>
      </w:pPr>
      <w:r w:rsidRPr="008857A2">
        <w:t>having consulted/had contact with an organisation undertaking the type of work bei</w:t>
      </w:r>
      <w:r w:rsidRPr="008857A2">
        <w:t xml:space="preserve">ng assessed within the last twelve months, the consultation/contact being related to assessment </w:t>
      </w:r>
    </w:p>
    <w:p w:rsidR="00000000" w:rsidRPr="008857A2" w:rsidP="008857A2">
      <w:pPr>
        <w:pStyle w:val="ListBullet2"/>
      </w:pPr>
      <w:r w:rsidRPr="008857A2">
        <w:t xml:space="preserve">conducting on-the-job training/assessments of the type of work being assessed </w:t>
      </w:r>
    </w:p>
    <w:p w:rsidR="00000000" w:rsidRPr="008857A2" w:rsidP="008857A2">
      <w:pPr>
        <w:pStyle w:val="ListBullet2"/>
      </w:pPr>
      <w:r w:rsidRPr="008857A2">
        <w:t>being an active member of a relevant professional body and participating in acti</w:t>
      </w:r>
      <w:r w:rsidRPr="008857A2">
        <w:t>vities relevant to the assessment of this type of work.</w:t>
      </w:r>
    </w:p>
    <w:p w:rsidR="00000000" w:rsidRPr="008857A2" w:rsidP="008857A2">
      <w:pPr>
        <w:pStyle w:val="AllowPageBreak"/>
      </w:pPr>
    </w:p>
    <w:p w:rsidR="00000000" w:rsidRPr="008857A2" w:rsidP="008857A2">
      <w:pPr>
        <w:pStyle w:val="Heading1"/>
      </w:pPr>
      <w:bookmarkStart w:id="5" w:name="O_908501"/>
      <w:bookmarkEnd w:id="5"/>
      <w:r w:rsidRPr="008857A2">
        <w:t>Links</w:t>
      </w:r>
    </w:p>
    <w:p w:rsidR="00000000" w:rsidRPr="008857A2" w:rsidP="00EF29C2">
      <w:pPr>
        <w:pStyle w:val="BodyText"/>
      </w:pPr>
      <w:r w:rsidRPr="008857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E0F7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857A2" w:rsidP="008857A2"/>
    <w:sectPr w:rsidSect="008857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A2" w:rsidRPr="00EF29C2" w:rsidP="00EF29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C2" w:rsidP="00885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29C2" w:rsidP="00885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F29C2" w:rsidP="00885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7A2" w:rsidRPr="00EF29C2" w:rsidP="00EF29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C2" w:rsidRPr="002D2AF8" w:rsidP="00885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PMAOPS521 Plan plant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EF29C2" w:rsidP="00885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2C6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2AB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7CF9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7A2"/>
  </w:style>
  <w:style w:type="character" w:customStyle="1" w:styleId="Heading1Char">
    <w:name w:val="Heading 1 Char"/>
    <w:basedOn w:val="DefaultParagraphFont"/>
    <w:link w:val="Heading1"/>
    <w:rsid w:val="00885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7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7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57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7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7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57A2"/>
    <w:rPr>
      <w:b/>
      <w:spacing w:val="0"/>
    </w:rPr>
  </w:style>
  <w:style w:type="paragraph" w:customStyle="1" w:styleId="SuperTitle">
    <w:name w:val="SuperTitle"/>
    <w:basedOn w:val="Title"/>
    <w:rsid w:val="00885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7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7A2"/>
    <w:rPr>
      <w:i/>
    </w:rPr>
  </w:style>
  <w:style w:type="paragraph" w:styleId="Caption">
    <w:name w:val="caption"/>
    <w:basedOn w:val="BodyText"/>
    <w:next w:val="Normal"/>
    <w:qFormat/>
    <w:rsid w:val="00885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7A2"/>
  </w:style>
  <w:style w:type="paragraph" w:styleId="TableofFigures">
    <w:name w:val="table of figures"/>
    <w:basedOn w:val="Normal"/>
    <w:next w:val="Normal"/>
    <w:semiHidden/>
    <w:rsid w:val="00885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7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7A2"/>
    <w:rPr>
      <w:rFonts w:ascii="Wingdings" w:hAnsi="Wingdings"/>
    </w:rPr>
  </w:style>
  <w:style w:type="paragraph" w:customStyle="1" w:styleId="TableHeading">
    <w:name w:val="Table Heading"/>
    <w:basedOn w:val="HeadingBase"/>
    <w:rsid w:val="00885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7A2"/>
    <w:rPr>
      <w:color w:val="0033CC"/>
      <w:u w:val="none"/>
    </w:rPr>
  </w:style>
  <w:style w:type="paragraph" w:customStyle="1" w:styleId="BodyTextRight">
    <w:name w:val="Body Text Right"/>
    <w:basedOn w:val="BodyText"/>
    <w:rsid w:val="00885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7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7A2"/>
    <w:rPr>
      <w:sz w:val="32"/>
    </w:rPr>
  </w:style>
  <w:style w:type="paragraph" w:customStyle="1" w:styleId="HeadingProcedure">
    <w:name w:val="Heading Procedure"/>
    <w:basedOn w:val="HeadingBase"/>
    <w:next w:val="Normal"/>
    <w:rsid w:val="00885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7A2"/>
    <w:pPr>
      <w:spacing w:before="60" w:after="60"/>
    </w:pPr>
  </w:style>
  <w:style w:type="paragraph" w:styleId="ListContinue">
    <w:name w:val="List Continue"/>
    <w:basedOn w:val="List"/>
    <w:rsid w:val="008857A2"/>
    <w:pPr>
      <w:ind w:firstLine="0"/>
    </w:pPr>
  </w:style>
  <w:style w:type="paragraph" w:customStyle="1" w:styleId="ListNote">
    <w:name w:val="List Note"/>
    <w:basedOn w:val="List"/>
    <w:rsid w:val="00885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7A2"/>
    <w:rPr>
      <w:rFonts w:ascii="Courier New" w:hAnsi="Courier New"/>
    </w:rPr>
  </w:style>
  <w:style w:type="paragraph" w:customStyle="1" w:styleId="NoteBullet">
    <w:name w:val="Note Bullet"/>
    <w:basedOn w:val="Note"/>
    <w:rsid w:val="00885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7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7A2"/>
    <w:rPr>
      <w:b/>
      <w:smallCaps/>
    </w:rPr>
  </w:style>
  <w:style w:type="paragraph" w:customStyle="1" w:styleId="TableListNumber">
    <w:name w:val="Table List Number"/>
    <w:basedOn w:val="ListNumber"/>
    <w:rsid w:val="00885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7A2"/>
    <w:pPr>
      <w:numPr>
        <w:numId w:val="9"/>
      </w:numPr>
    </w:pPr>
  </w:style>
  <w:style w:type="paragraph" w:customStyle="1" w:styleId="ListAlpha2">
    <w:name w:val="List Alpha 2"/>
    <w:basedOn w:val="List2"/>
    <w:rsid w:val="008857A2"/>
    <w:pPr>
      <w:numPr>
        <w:numId w:val="8"/>
      </w:numPr>
    </w:pPr>
  </w:style>
  <w:style w:type="paragraph" w:styleId="List2">
    <w:name w:val="List 2"/>
    <w:basedOn w:val="BodyText"/>
    <w:rsid w:val="00885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7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7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7A2"/>
    <w:pPr>
      <w:numPr>
        <w:numId w:val="4"/>
      </w:numPr>
    </w:pPr>
  </w:style>
  <w:style w:type="paragraph" w:styleId="ListContinue2">
    <w:name w:val="List Continue 2"/>
    <w:basedOn w:val="List2"/>
    <w:rsid w:val="008857A2"/>
    <w:pPr>
      <w:ind w:firstLine="0"/>
    </w:pPr>
  </w:style>
  <w:style w:type="paragraph" w:styleId="ListContinue3">
    <w:name w:val="List Continue 3"/>
    <w:basedOn w:val="List3"/>
    <w:rsid w:val="008857A2"/>
    <w:pPr>
      <w:ind w:left="1021" w:firstLine="0"/>
    </w:pPr>
  </w:style>
  <w:style w:type="paragraph" w:styleId="ListContinue4">
    <w:name w:val="List Continue 4"/>
    <w:basedOn w:val="List4"/>
    <w:rsid w:val="008857A2"/>
    <w:pPr>
      <w:ind w:firstLine="0"/>
    </w:pPr>
  </w:style>
  <w:style w:type="paragraph" w:styleId="ListContinue5">
    <w:name w:val="List Continue 5"/>
    <w:basedOn w:val="List5"/>
    <w:rsid w:val="008857A2"/>
    <w:pPr>
      <w:ind w:firstLine="0"/>
    </w:pPr>
  </w:style>
  <w:style w:type="paragraph" w:styleId="ListNumber3">
    <w:name w:val="List Number 3"/>
    <w:basedOn w:val="List3"/>
    <w:rsid w:val="008857A2"/>
    <w:pPr>
      <w:numPr>
        <w:numId w:val="5"/>
      </w:numPr>
    </w:pPr>
  </w:style>
  <w:style w:type="paragraph" w:styleId="ListNumber4">
    <w:name w:val="List Number 4"/>
    <w:basedOn w:val="List4"/>
    <w:rsid w:val="008857A2"/>
    <w:pPr>
      <w:numPr>
        <w:numId w:val="6"/>
      </w:numPr>
    </w:pPr>
  </w:style>
  <w:style w:type="paragraph" w:styleId="ListNumber5">
    <w:name w:val="List Number 5"/>
    <w:basedOn w:val="List5"/>
    <w:rsid w:val="008857A2"/>
    <w:pPr>
      <w:numPr>
        <w:numId w:val="7"/>
      </w:numPr>
    </w:pPr>
  </w:style>
  <w:style w:type="paragraph" w:styleId="BlockText">
    <w:name w:val="Block Text"/>
    <w:basedOn w:val="Normal"/>
    <w:rsid w:val="00885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7A2"/>
    <w:rPr>
      <w:sz w:val="16"/>
      <w:vertAlign w:val="superscript"/>
    </w:rPr>
  </w:style>
  <w:style w:type="character" w:customStyle="1" w:styleId="Symbols">
    <w:name w:val="Symbols"/>
    <w:basedOn w:val="DefaultParagraphFont"/>
    <w:rsid w:val="008857A2"/>
    <w:rPr>
      <w:rFonts w:ascii="Symbol" w:hAnsi="Symbol"/>
    </w:rPr>
  </w:style>
  <w:style w:type="character" w:customStyle="1" w:styleId="MenuOptions">
    <w:name w:val="Menu Options"/>
    <w:basedOn w:val="DefaultParagraphFont"/>
    <w:rsid w:val="00885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7A2"/>
    <w:rPr>
      <w:b/>
    </w:rPr>
  </w:style>
  <w:style w:type="character" w:customStyle="1" w:styleId="Underlined">
    <w:name w:val="Underlined"/>
    <w:basedOn w:val="DefaultParagraphFont"/>
    <w:rsid w:val="008857A2"/>
    <w:rPr>
      <w:u w:val="single"/>
    </w:rPr>
  </w:style>
  <w:style w:type="paragraph" w:customStyle="1" w:styleId="TableBodyTextRight">
    <w:name w:val="Table Body Text Right"/>
    <w:basedOn w:val="TableBodyText"/>
    <w:rsid w:val="00885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7A2"/>
    <w:rPr>
      <w:sz w:val="18"/>
    </w:rPr>
  </w:style>
  <w:style w:type="paragraph" w:customStyle="1" w:styleId="BodySmallRight">
    <w:name w:val="Body Small Right"/>
    <w:basedOn w:val="BodyTextRight"/>
    <w:rsid w:val="008857A2"/>
    <w:rPr>
      <w:sz w:val="18"/>
      <w:szCs w:val="18"/>
    </w:rPr>
  </w:style>
  <w:style w:type="paragraph" w:customStyle="1" w:styleId="MarginEdition">
    <w:name w:val="Margin Edition"/>
    <w:basedOn w:val="MarginNote"/>
    <w:rsid w:val="00885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7A2"/>
    <w:rPr>
      <w:sz w:val="2"/>
      <w:szCs w:val="2"/>
    </w:rPr>
  </w:style>
  <w:style w:type="character" w:customStyle="1" w:styleId="Small">
    <w:name w:val="Small"/>
    <w:basedOn w:val="DefaultParagraphFont"/>
    <w:rsid w:val="008857A2"/>
    <w:rPr>
      <w:sz w:val="16"/>
    </w:rPr>
  </w:style>
  <w:style w:type="paragraph" w:customStyle="1" w:styleId="WideTable">
    <w:name w:val="Wide Table"/>
    <w:basedOn w:val="Normal"/>
    <w:rsid w:val="00885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7A2"/>
  </w:style>
  <w:style w:type="paragraph" w:styleId="Quote">
    <w:name w:val="Quote"/>
    <w:basedOn w:val="Heading1"/>
    <w:link w:val="QuoteChar"/>
    <w:qFormat/>
    <w:rsid w:val="00885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7A2"/>
    <w:pPr>
      <w:pageBreakBefore/>
    </w:pPr>
  </w:style>
  <w:style w:type="paragraph" w:customStyle="1" w:styleId="Border">
    <w:name w:val="Border"/>
    <w:basedOn w:val="Normal"/>
    <w:qFormat/>
    <w:rsid w:val="00885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7A2"/>
    <w:rPr>
      <w:u w:val="single"/>
    </w:rPr>
  </w:style>
  <w:style w:type="character" w:customStyle="1" w:styleId="BoldandItalics">
    <w:name w:val="Bold and Italics"/>
    <w:qFormat/>
    <w:rsid w:val="008857A2"/>
    <w:rPr>
      <w:b/>
      <w:i/>
      <w:u w:val="none"/>
    </w:rPr>
  </w:style>
  <w:style w:type="paragraph" w:styleId="BalloonText">
    <w:name w:val="Balloon Text"/>
    <w:basedOn w:val="Normal"/>
    <w:link w:val="BalloonTextChar"/>
    <w:rsid w:val="00885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7A2"/>
    <w:pPr>
      <w:spacing w:before="0" w:after="0"/>
    </w:pPr>
  </w:style>
  <w:style w:type="paragraph" w:customStyle="1" w:styleId="BodyTextBold">
    <w:name w:val="Body Text Bold"/>
    <w:basedOn w:val="BodyText"/>
    <w:qFormat/>
    <w:rsid w:val="008857A2"/>
    <w:rPr>
      <w:b/>
    </w:rPr>
  </w:style>
  <w:style w:type="character" w:styleId="Hyperlink">
    <w:name w:val="Hyperlink"/>
    <w:basedOn w:val="DefaultParagraphFont"/>
    <w:uiPriority w:val="99"/>
    <w:unhideWhenUsed/>
    <w:rsid w:val="00EF29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4336</Characters>
  <Application>Microsoft Office Word</Application>
  <DocSecurity>0</DocSecurity>
  <Lines>86</Lines>
  <Paragraphs>52</Paragraphs>
  <ScaleCrop>false</ScaleCrop>
  <Company>Author-it Software Corporation Ltd.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PMAOPS521 Plan plant shutdown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2022-09-21T04:52:00Z</dcterms:created>
  <dcterms:modified xsi:type="dcterms:W3CDTF">2022-09-21T04:52:00Z</dcterms:modified>
</cp:coreProperties>
</file>