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4D9" w:rsidP="00A77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PMAOPS511 Determine energy transfer loads</w:t>
      </w:r>
      <w:r>
        <w:fldChar w:fldCharType="end"/>
      </w:r>
    </w:p>
    <w:p w:rsidR="00A774D9" w:rsidP="00A774D9">
      <w:pPr>
        <w:pStyle w:val="Version"/>
        <w:sectPr w:rsidSect="00ED2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176" w:rsidP="00ED2176">
      <w:pPr>
        <w:pStyle w:val="SuperHeading"/>
      </w:pPr>
      <w:r w:rsidRPr="00ED2176">
        <w:t>PMAOPS511 Determine energy transfer loads</w:t>
      </w:r>
    </w:p>
    <w:p w:rsidR="00000000" w:rsidRPr="00ED2176" w:rsidP="00ED2176">
      <w:pPr>
        <w:pStyle w:val="Heading1"/>
      </w:pPr>
      <w:bookmarkStart w:id="1" w:name="O_908449"/>
      <w:bookmarkEnd w:id="1"/>
      <w:r w:rsidRPr="00ED2176">
        <w:t>Modification History</w:t>
      </w:r>
    </w:p>
    <w:p w:rsidR="00000000" w:rsidRPr="00ED2176" w:rsidP="00A774D9">
      <w:pPr>
        <w:pStyle w:val="BodyText"/>
      </w:pPr>
      <w:r w:rsidRPr="00ED2176">
        <w:t>Release 1. Supersedes and is equivalent to PMAOPS511B Determine energy transfer loads</w:t>
      </w:r>
    </w:p>
    <w:p w:rsidR="00000000" w:rsidRPr="00ED2176" w:rsidP="00ED2176">
      <w:pPr>
        <w:pStyle w:val="Heading1"/>
      </w:pPr>
      <w:bookmarkStart w:id="2" w:name="O_908457"/>
      <w:bookmarkEnd w:id="2"/>
      <w:r w:rsidRPr="00ED2176">
        <w:t>Application</w:t>
      </w:r>
    </w:p>
    <w:p w:rsidR="00000000" w:rsidRPr="00ED2176" w:rsidP="00A774D9">
      <w:pPr>
        <w:pStyle w:val="BodyText"/>
      </w:pPr>
      <w:r w:rsidRPr="00ED2176">
        <w:t>This unit of competency covers the skills and knowledge required to determine energy transfer loads. It applies to activ</w:t>
      </w:r>
      <w:r w:rsidRPr="00ED2176">
        <w:t>ities which aim to resolve identified plant or process problems, such as ensuring that systems are adequate for the load, improving heat/cooling efficiency or specification of new or modified equipment.</w:t>
      </w:r>
    </w:p>
    <w:p w:rsidR="00000000" w:rsidRPr="00ED2176" w:rsidP="00A774D9">
      <w:pPr>
        <w:pStyle w:val="BodyText"/>
      </w:pPr>
      <w:r w:rsidRPr="00ED2176">
        <w:t>This unit of competency applies to any heat transfer</w:t>
      </w:r>
      <w:r w:rsidRPr="00ED2176">
        <w:t xml:space="preserve"> mode, including conduction, convection (forced and natural), radiation, and combined conduction/convection/ radiation. It applies to sources of heating/cooling, such as:</w:t>
      </w:r>
    </w:p>
    <w:p w:rsidR="00000000" w:rsidRPr="00ED2176" w:rsidP="00ED2176">
      <w:pPr>
        <w:pStyle w:val="ListBullet"/>
      </w:pPr>
      <w:r w:rsidRPr="00ED2176">
        <w:t>chemical reaction (including combustion)</w:t>
      </w:r>
    </w:p>
    <w:p w:rsidR="00000000" w:rsidRPr="00ED2176" w:rsidP="00ED2176">
      <w:pPr>
        <w:pStyle w:val="ListBullet"/>
      </w:pPr>
      <w:r w:rsidRPr="00ED2176">
        <w:t>water cooling</w:t>
      </w:r>
    </w:p>
    <w:p w:rsidR="00000000" w:rsidRPr="00ED2176" w:rsidP="00ED2176">
      <w:pPr>
        <w:pStyle w:val="ListBullet"/>
      </w:pPr>
      <w:r w:rsidRPr="00ED2176">
        <w:t>air cooling</w:t>
      </w:r>
    </w:p>
    <w:p w:rsidR="00000000" w:rsidRPr="00ED2176" w:rsidP="00ED2176">
      <w:pPr>
        <w:pStyle w:val="ListBullet"/>
      </w:pPr>
      <w:r w:rsidRPr="00ED2176">
        <w:t>steam heating (ca</w:t>
      </w:r>
      <w:r w:rsidRPr="00ED2176">
        <w:t>lculations for saturated steam only)</w:t>
      </w:r>
    </w:p>
    <w:p w:rsidR="00000000" w:rsidRPr="00ED2176" w:rsidP="00ED2176">
      <w:pPr>
        <w:pStyle w:val="ListBullet"/>
      </w:pPr>
      <w:r w:rsidRPr="00ED2176">
        <w:t>evaporative cooling</w:t>
      </w:r>
    </w:p>
    <w:p w:rsidR="00000000" w:rsidRPr="00ED2176" w:rsidP="00ED2176">
      <w:pPr>
        <w:pStyle w:val="ListBullet"/>
      </w:pPr>
      <w:r w:rsidRPr="00ED2176">
        <w:t>hot fluid (e.g. oil) heating.</w:t>
      </w:r>
    </w:p>
    <w:p w:rsidR="00000000" w:rsidRPr="00ED2176" w:rsidP="00ED2176">
      <w:pPr>
        <w:pStyle w:val="BodyText"/>
      </w:pPr>
    </w:p>
    <w:p w:rsidR="00000000" w:rsidRPr="00ED2176" w:rsidP="00A774D9">
      <w:pPr>
        <w:pStyle w:val="BodyText"/>
      </w:pPr>
      <w:r w:rsidRPr="00ED2176">
        <w:t>This unit of competency applies to senior technicians or those in similar roles who are required to calculate heat transfer and temperature change for a plant item/plan</w:t>
      </w:r>
      <w:r w:rsidRPr="00ED2176">
        <w:t>t area in order to determine heating/cooling load or efficiency or losses from/gains to the system. This may be done as a step to improve efficiency, for plant/process design/improvement or other reasons.</w:t>
      </w:r>
    </w:p>
    <w:p w:rsidR="00000000" w:rsidRPr="00ED2176" w:rsidP="00A774D9">
      <w:pPr>
        <w:pStyle w:val="BodyText"/>
      </w:pPr>
      <w:r w:rsidRPr="00ED2176">
        <w:t>No licensing, legislative or certification require</w:t>
      </w:r>
      <w:r w:rsidRPr="00ED2176">
        <w:t>ments apply to this unit at the time of publication.</w:t>
      </w:r>
    </w:p>
    <w:p w:rsidR="00000000" w:rsidRPr="00ED2176" w:rsidP="00ED2176">
      <w:pPr>
        <w:pStyle w:val="Heading1"/>
      </w:pPr>
      <w:bookmarkStart w:id="3" w:name="O_908456"/>
      <w:bookmarkEnd w:id="3"/>
      <w:r w:rsidRPr="00ED2176">
        <w:t>Pre-requisite Unit</w:t>
      </w:r>
    </w:p>
    <w:p w:rsidR="00000000" w:rsidRPr="00ED2176" w:rsidP="00A774D9">
      <w:pPr>
        <w:pStyle w:val="BodyText"/>
      </w:pPr>
      <w:r w:rsidRPr="00ED2176">
        <w:t>Nil</w:t>
      </w:r>
    </w:p>
    <w:p w:rsidR="00000000" w:rsidRPr="00ED2176" w:rsidP="00ED2176">
      <w:pPr>
        <w:pStyle w:val="Heading1"/>
      </w:pPr>
      <w:bookmarkStart w:id="4" w:name="O_908455"/>
      <w:bookmarkEnd w:id="4"/>
      <w:r w:rsidRPr="00ED2176">
        <w:t>Competency Field</w:t>
      </w:r>
    </w:p>
    <w:p w:rsidR="00000000" w:rsidRPr="00ED2176" w:rsidP="00A774D9">
      <w:pPr>
        <w:pStyle w:val="BodyText"/>
      </w:pPr>
      <w:r w:rsidRPr="00ED2176">
        <w:t>Operations</w:t>
      </w:r>
    </w:p>
    <w:p w:rsidR="00000000" w:rsidRPr="00ED2176" w:rsidP="00ED2176">
      <w:pPr>
        <w:pStyle w:val="Heading1"/>
      </w:pPr>
      <w:bookmarkStart w:id="5" w:name="O_908454"/>
      <w:bookmarkEnd w:id="5"/>
      <w:r w:rsidRPr="00ED2176">
        <w:t>Unit Sector</w:t>
      </w:r>
    </w:p>
    <w:p w:rsidR="00000000" w:rsidRPr="00ED2176" w:rsidP="00ED2176">
      <w:pPr>
        <w:pStyle w:val="Heading1"/>
      </w:pPr>
      <w:bookmarkStart w:id="6" w:name="O_908453"/>
      <w:bookmarkEnd w:id="6"/>
      <w:r w:rsidRPr="00ED21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Performance criteria describe the performance needed to demonstrate achievement of the element.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rPr>
                <w:rStyle w:val="SpecialBold"/>
              </w:rPr>
              <w:t>Prepare for energy balance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Identify purpose of energy balance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Determine possible boundary for analysis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Identify plant and energy sources and sinks within boundary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rPr>
                <w:rStyle w:val="SpecialBold"/>
              </w:rPr>
              <w:t>Calculate heat transferred from/to items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Calculate conductive heat transfer to/from an object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Calculate convective heat transfer to/from an object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Calculate radiative heat transfer to/from an object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Calculate combined heat transfer to/from an object, including resistances in series and parallel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rPr>
                <w:rStyle w:val="SpecialBold"/>
              </w:rPr>
              <w:t>Calculate temperature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Calculate temperature change caused by heating/cooling of process materials in typical examples of processing equipment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Calculate change in heat content caused by chemical reaction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Calculate temperature rise caused by chemical reaction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rPr>
                <w:rStyle w:val="SpecialBold"/>
              </w:rPr>
              <w:t>Select appropriate heating and/or cooling mechanism for an application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Compare rates of heat transfer/overall heat transfer coefficients for major methods/media of heating and cooling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 xml:space="preserve">Determine appropriate methods of varying/controlling rates </w:t>
            </w:r>
            <w:r w:rsidRPr="00ED2176">
              <w:t>of heat transfer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Calculate heat transfer rates under a range of conditions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Recommend most appropriate heat transfer mechanism/medium for this application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rPr>
                <w:rStyle w:val="SpecialBold"/>
              </w:rPr>
              <w:t>Conduct energy balance over process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Determine desired boundaries for energy balance calculation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Determine possible sources of data required from the plant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Match and adjust sources of data to desired boundary for energy balance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Determine overall heating load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Determine overall cooling load</w:t>
            </w:r>
          </w:p>
        </w:tc>
      </w:tr>
      <w:tr w:rsidTr="00ED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t>Interpret results to meet purpose of the energy balance</w:t>
            </w:r>
          </w:p>
        </w:tc>
      </w:tr>
    </w:tbl>
    <w:p w:rsidR="00000000" w:rsidRPr="00ED2176" w:rsidP="00ED2176">
      <w:pPr>
        <w:pStyle w:val="BodyText"/>
      </w:pPr>
    </w:p>
    <w:p w:rsidR="00000000" w:rsidRPr="00ED2176" w:rsidP="00ED2176">
      <w:pPr>
        <w:pStyle w:val="AllowPageBreak"/>
      </w:pPr>
    </w:p>
    <w:p w:rsidR="00000000" w:rsidRPr="00ED2176" w:rsidP="00ED2176">
      <w:pPr>
        <w:pStyle w:val="Heading1"/>
      </w:pPr>
      <w:bookmarkStart w:id="7" w:name="O_908452"/>
      <w:bookmarkEnd w:id="7"/>
      <w:r w:rsidRPr="00ED2176">
        <w:t>Foundation Skills</w:t>
      </w:r>
    </w:p>
    <w:p w:rsidR="00000000" w:rsidRPr="00ED2176" w:rsidP="00A774D9">
      <w:pPr>
        <w:pStyle w:val="BodyText"/>
      </w:pPr>
      <w:r w:rsidRPr="00ED2176">
        <w:t>This section describes those language, literacy, numeracy and employment skills that are essential to performance.</w:t>
      </w:r>
    </w:p>
    <w:p w:rsidR="00000000" w:rsidRPr="00ED2176" w:rsidP="00A774D9">
      <w:pPr>
        <w:pStyle w:val="BodyText"/>
      </w:pPr>
      <w:r w:rsidRPr="00ED2176">
        <w:t>Foundatio</w:t>
      </w:r>
      <w:r w:rsidRPr="00ED2176">
        <w:t>n skills essential to performance are explicit in the performance criteria of this unit of competency.</w:t>
      </w:r>
    </w:p>
    <w:p w:rsidR="00000000" w:rsidRPr="00ED2176" w:rsidP="00ED2176">
      <w:pPr>
        <w:pStyle w:val="Heading1"/>
      </w:pPr>
      <w:bookmarkStart w:id="8" w:name="O_908451"/>
      <w:bookmarkEnd w:id="8"/>
      <w:r w:rsidRPr="00ED217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77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t>This field allows for different work environments and conditions that may affect performance. Essential operating co</w:t>
            </w:r>
            <w:r w:rsidRPr="00ED2176">
              <w:t>nditions that may be present (depending on the work situation, needs of the candidate, accessibility of the item, and local industry and regional contexts) are included.</w:t>
            </w:r>
          </w:p>
        </w:tc>
      </w:tr>
      <w:tr w:rsidTr="00A77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ED2176" w:rsidP="00ED2176">
            <w:pPr>
              <w:pStyle w:val="ListBullet"/>
            </w:pPr>
            <w:r w:rsidRPr="00ED2176">
              <w:t>legislative requirem</w:t>
            </w:r>
            <w:r w:rsidRPr="00ED2176">
              <w:t>ents, including work health and safety (WHS)</w:t>
            </w:r>
          </w:p>
          <w:p w:rsidR="00000000" w:rsidRPr="00ED2176" w:rsidP="00ED2176">
            <w:pPr>
              <w:pStyle w:val="ListBullet"/>
            </w:pPr>
            <w:r w:rsidRPr="00ED2176">
              <w:t>industry codes of practice and guidelines</w:t>
            </w:r>
          </w:p>
          <w:p w:rsidR="00000000" w:rsidRPr="00ED2176" w:rsidP="00ED2176">
            <w:pPr>
              <w:pStyle w:val="ListBullet"/>
            </w:pPr>
            <w:r w:rsidRPr="00ED2176">
              <w:t xml:space="preserve">environmental regulations and guidelines </w:t>
            </w:r>
          </w:p>
          <w:p w:rsidR="00000000" w:rsidRPr="00ED2176" w:rsidP="00ED2176">
            <w:pPr>
              <w:pStyle w:val="ListBullet"/>
            </w:pPr>
            <w:r w:rsidRPr="00ED2176">
              <w:t>Australian and other standards</w:t>
            </w:r>
          </w:p>
          <w:p w:rsidR="00000000" w:rsidRPr="00ED2176" w:rsidP="00ED2176">
            <w:pPr>
              <w:pStyle w:val="ListBullet"/>
            </w:pPr>
            <w:r w:rsidRPr="00ED2176">
              <w:t xml:space="preserve">licence and certification requirements </w:t>
            </w:r>
          </w:p>
          <w:p w:rsidR="00000000" w:rsidRPr="00ED2176" w:rsidP="00ED2176">
            <w:pPr>
              <w:pStyle w:val="BodyText"/>
            </w:pPr>
          </w:p>
          <w:p w:rsidR="00000000" w:rsidRPr="00ED2176" w:rsidP="00ED2176">
            <w:pPr>
              <w:pStyle w:val="BodyText"/>
            </w:pPr>
            <w:r w:rsidRPr="00ED2176">
              <w:t>All operations to which this unit applies are subject t</w:t>
            </w:r>
            <w:r w:rsidRPr="00ED2176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ED2176">
              <w:t>irements, the HSE requirements take precedence.</w:t>
            </w:r>
          </w:p>
          <w:p w:rsidR="00000000" w:rsidP="00ED2176">
            <w:pPr>
              <w:pStyle w:val="BodyText"/>
              <w:rPr>
                <w:lang w:val="en-NZ"/>
              </w:rPr>
            </w:pPr>
          </w:p>
        </w:tc>
      </w:tr>
      <w:tr w:rsidTr="00A77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76">
            <w:pPr>
              <w:pStyle w:val="BodyText"/>
              <w:rPr>
                <w:lang w:val="en-NZ"/>
              </w:rPr>
            </w:pPr>
            <w:r w:rsidRPr="00ED217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76" w:rsidP="00ED2176">
            <w:pPr>
              <w:pStyle w:val="BodyText"/>
            </w:pPr>
            <w:r w:rsidRPr="00ED2176">
              <w:t>All operations must be performed in accordance with relevant procedures.</w:t>
            </w:r>
          </w:p>
          <w:p w:rsidR="00000000" w:rsidRPr="00ED2176" w:rsidP="00ED2176">
            <w:pPr>
              <w:pStyle w:val="BodyText"/>
            </w:pPr>
            <w:r w:rsidRPr="00ED2176">
              <w:t>Procedures are written, verbal, visual, computer-based or in some other form, include one or more of the following:</w:t>
            </w:r>
          </w:p>
          <w:p w:rsidR="00000000" w:rsidRPr="00ED2176" w:rsidP="00ED2176">
            <w:pPr>
              <w:pStyle w:val="ListBullet"/>
            </w:pPr>
            <w:r w:rsidRPr="00ED2176">
              <w:t>emergency procedures</w:t>
            </w:r>
          </w:p>
          <w:p w:rsidR="00000000" w:rsidRPr="00ED2176" w:rsidP="00ED2176">
            <w:pPr>
              <w:pStyle w:val="ListBullet"/>
            </w:pPr>
            <w:r w:rsidRPr="00ED2176">
              <w:t>work instructions</w:t>
            </w:r>
          </w:p>
          <w:p w:rsidR="00000000" w:rsidRPr="00ED2176" w:rsidP="00ED2176">
            <w:pPr>
              <w:pStyle w:val="ListBullet"/>
            </w:pPr>
            <w:r w:rsidRPr="00ED2176">
              <w:t>standard operating procedures (SOPs)</w:t>
            </w:r>
          </w:p>
          <w:p w:rsidR="00000000" w:rsidRPr="00ED2176" w:rsidP="00ED2176">
            <w:pPr>
              <w:pStyle w:val="ListBullet"/>
            </w:pPr>
            <w:r w:rsidRPr="00ED2176">
              <w:t>safe work method statements (SWMS)</w:t>
            </w:r>
          </w:p>
          <w:p w:rsidR="00000000" w:rsidRPr="00ED2176" w:rsidP="00ED2176">
            <w:pPr>
              <w:pStyle w:val="ListBullet"/>
            </w:pPr>
            <w:r w:rsidRPr="00ED2176">
              <w:t>formulas/recipes</w:t>
            </w:r>
          </w:p>
          <w:p w:rsidR="00000000" w:rsidRPr="00ED2176" w:rsidP="00ED2176">
            <w:pPr>
              <w:pStyle w:val="ListBullet"/>
            </w:pPr>
            <w:r w:rsidRPr="00ED2176">
              <w:t>batch sheets</w:t>
            </w:r>
          </w:p>
          <w:p w:rsidR="00000000" w:rsidRPr="00ED2176" w:rsidP="00ED2176">
            <w:pPr>
              <w:pStyle w:val="ListBullet"/>
            </w:pPr>
            <w:r w:rsidRPr="00ED2176">
              <w:t>temporary instructions</w:t>
            </w:r>
          </w:p>
          <w:p w:rsidR="00000000" w:rsidRPr="00ED2176" w:rsidP="00ED2176">
            <w:pPr>
              <w:pStyle w:val="ListBullet"/>
            </w:pPr>
            <w:r w:rsidRPr="00ED2176">
              <w:t>any similar instructions provided for the smooth running of the plant</w:t>
            </w:r>
          </w:p>
        </w:tc>
      </w:tr>
    </w:tbl>
    <w:p w:rsidR="00000000" w:rsidRPr="00ED2176" w:rsidP="00ED2176">
      <w:pPr>
        <w:pStyle w:val="BodyText"/>
      </w:pPr>
    </w:p>
    <w:p w:rsidR="00000000" w:rsidRPr="00ED2176" w:rsidP="00ED2176">
      <w:pPr>
        <w:pStyle w:val="AllowPageBreak"/>
      </w:pPr>
    </w:p>
    <w:p w:rsidR="00000000" w:rsidRPr="00ED2176" w:rsidP="00ED2176">
      <w:pPr>
        <w:pStyle w:val="Heading1"/>
      </w:pPr>
      <w:bookmarkStart w:id="9" w:name="O_908450"/>
      <w:bookmarkEnd w:id="9"/>
      <w:r w:rsidRPr="00ED2176">
        <w:t>Uni</w:t>
      </w:r>
      <w:r w:rsidRPr="00ED2176">
        <w:t>t Mapping Information</w:t>
      </w:r>
    </w:p>
    <w:p w:rsidR="00000000" w:rsidRPr="00ED2176" w:rsidP="00A774D9">
      <w:pPr>
        <w:pStyle w:val="BodyText"/>
      </w:pPr>
      <w:r w:rsidRPr="00ED2176">
        <w:t>Release 1. Supersedes and is equivalent to PMAOPS511B Determine energy transfer loads</w:t>
      </w:r>
    </w:p>
    <w:p w:rsidR="00000000" w:rsidRPr="00ED2176" w:rsidP="00ED2176">
      <w:pPr>
        <w:pStyle w:val="Heading1"/>
      </w:pPr>
      <w:bookmarkStart w:id="10" w:name="O_908443"/>
      <w:bookmarkEnd w:id="10"/>
      <w:r w:rsidRPr="00ED2176">
        <w:t>Links</w:t>
      </w:r>
    </w:p>
    <w:p w:rsidR="00000000" w:rsidRPr="00ED2176" w:rsidP="00A774D9">
      <w:pPr>
        <w:pStyle w:val="BodyText"/>
      </w:pPr>
      <w:r w:rsidRPr="00ED21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70EE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D2176" w:rsidP="00ED2176"/>
    <w:sectPr w:rsidSect="00ED21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76" w:rsidRPr="00A774D9" w:rsidP="00A77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D9" w:rsidP="00ED2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4D9" w:rsidP="00ED2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74D9" w:rsidP="00ED2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176" w:rsidRPr="00A774D9" w:rsidP="00A77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D9" w:rsidRPr="002D2AF8" w:rsidP="00ED2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PMAOPS511 Determine energy transfer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774D9" w:rsidP="00ED2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50E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72F7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176"/>
  </w:style>
  <w:style w:type="character" w:customStyle="1" w:styleId="Heading1Char">
    <w:name w:val="Heading 1 Char"/>
    <w:basedOn w:val="DefaultParagraphFont"/>
    <w:link w:val="Heading1"/>
    <w:rsid w:val="00ED2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1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1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176"/>
    <w:rPr>
      <w:b/>
      <w:spacing w:val="0"/>
    </w:rPr>
  </w:style>
  <w:style w:type="paragraph" w:customStyle="1" w:styleId="SuperHeading">
    <w:name w:val="SuperHeading"/>
    <w:basedOn w:val="Normal"/>
    <w:rsid w:val="00ED2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1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1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1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1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176"/>
    <w:rPr>
      <w:i/>
    </w:rPr>
  </w:style>
  <w:style w:type="paragraph" w:styleId="Caption">
    <w:name w:val="caption"/>
    <w:basedOn w:val="BodyText"/>
    <w:next w:val="Normal"/>
    <w:qFormat/>
    <w:rsid w:val="00ED2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176"/>
  </w:style>
  <w:style w:type="paragraph" w:styleId="TableofFigures">
    <w:name w:val="table of figures"/>
    <w:basedOn w:val="Normal"/>
    <w:next w:val="Normal"/>
    <w:semiHidden/>
    <w:rsid w:val="00ED2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1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176"/>
    <w:rPr>
      <w:rFonts w:ascii="Wingdings" w:hAnsi="Wingdings"/>
    </w:rPr>
  </w:style>
  <w:style w:type="paragraph" w:customStyle="1" w:styleId="TableHeading">
    <w:name w:val="Table Heading"/>
    <w:basedOn w:val="HeadingBase"/>
    <w:rsid w:val="00ED2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176"/>
    <w:rPr>
      <w:color w:val="0033CC"/>
      <w:u w:val="none"/>
    </w:rPr>
  </w:style>
  <w:style w:type="paragraph" w:customStyle="1" w:styleId="BodyTextRight">
    <w:name w:val="Body Text Right"/>
    <w:basedOn w:val="BodyText"/>
    <w:rsid w:val="00ED2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1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176"/>
    <w:rPr>
      <w:sz w:val="32"/>
    </w:rPr>
  </w:style>
  <w:style w:type="paragraph" w:customStyle="1" w:styleId="HeadingProcedure">
    <w:name w:val="Heading Procedure"/>
    <w:basedOn w:val="HeadingBase"/>
    <w:next w:val="Normal"/>
    <w:rsid w:val="00ED2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176"/>
    <w:pPr>
      <w:spacing w:before="60" w:after="60"/>
    </w:pPr>
  </w:style>
  <w:style w:type="paragraph" w:styleId="ListContinue">
    <w:name w:val="List Continue"/>
    <w:basedOn w:val="List"/>
    <w:rsid w:val="00ED2176"/>
    <w:pPr>
      <w:ind w:firstLine="0"/>
    </w:pPr>
  </w:style>
  <w:style w:type="paragraph" w:customStyle="1" w:styleId="ListNote">
    <w:name w:val="List Note"/>
    <w:basedOn w:val="List"/>
    <w:rsid w:val="00ED2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176"/>
    <w:rPr>
      <w:rFonts w:ascii="Courier New" w:hAnsi="Courier New"/>
    </w:rPr>
  </w:style>
  <w:style w:type="paragraph" w:customStyle="1" w:styleId="NoteBullet">
    <w:name w:val="Note Bullet"/>
    <w:basedOn w:val="Note"/>
    <w:rsid w:val="00ED2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1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176"/>
    <w:rPr>
      <w:b/>
      <w:smallCaps/>
    </w:rPr>
  </w:style>
  <w:style w:type="paragraph" w:customStyle="1" w:styleId="TableListNumber">
    <w:name w:val="Table List Number"/>
    <w:basedOn w:val="ListNumber"/>
    <w:rsid w:val="00ED2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176"/>
    <w:pPr>
      <w:numPr>
        <w:numId w:val="8"/>
      </w:numPr>
    </w:pPr>
  </w:style>
  <w:style w:type="paragraph" w:customStyle="1" w:styleId="ListAlpha2">
    <w:name w:val="List Alpha 2"/>
    <w:basedOn w:val="List2"/>
    <w:rsid w:val="00ED2176"/>
    <w:pPr>
      <w:numPr>
        <w:numId w:val="7"/>
      </w:numPr>
    </w:pPr>
  </w:style>
  <w:style w:type="paragraph" w:styleId="List2">
    <w:name w:val="List 2"/>
    <w:basedOn w:val="BodyText"/>
    <w:rsid w:val="00ED2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1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1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1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176"/>
    <w:pPr>
      <w:numPr>
        <w:numId w:val="3"/>
      </w:numPr>
    </w:pPr>
  </w:style>
  <w:style w:type="paragraph" w:styleId="ListContinue2">
    <w:name w:val="List Continue 2"/>
    <w:basedOn w:val="List2"/>
    <w:rsid w:val="00ED2176"/>
    <w:pPr>
      <w:ind w:firstLine="0"/>
    </w:pPr>
  </w:style>
  <w:style w:type="paragraph" w:styleId="ListContinue3">
    <w:name w:val="List Continue 3"/>
    <w:basedOn w:val="List3"/>
    <w:rsid w:val="00ED2176"/>
    <w:pPr>
      <w:ind w:left="1021" w:firstLine="0"/>
    </w:pPr>
  </w:style>
  <w:style w:type="paragraph" w:styleId="ListContinue4">
    <w:name w:val="List Continue 4"/>
    <w:basedOn w:val="List4"/>
    <w:rsid w:val="00ED2176"/>
    <w:pPr>
      <w:ind w:firstLine="0"/>
    </w:pPr>
  </w:style>
  <w:style w:type="paragraph" w:styleId="ListContinue5">
    <w:name w:val="List Continue 5"/>
    <w:basedOn w:val="List5"/>
    <w:rsid w:val="00ED2176"/>
    <w:pPr>
      <w:ind w:firstLine="0"/>
    </w:pPr>
  </w:style>
  <w:style w:type="paragraph" w:styleId="ListNumber3">
    <w:name w:val="List Number 3"/>
    <w:basedOn w:val="List3"/>
    <w:rsid w:val="00ED2176"/>
    <w:pPr>
      <w:numPr>
        <w:numId w:val="4"/>
      </w:numPr>
    </w:pPr>
  </w:style>
  <w:style w:type="paragraph" w:styleId="ListNumber4">
    <w:name w:val="List Number 4"/>
    <w:basedOn w:val="List4"/>
    <w:rsid w:val="00ED2176"/>
    <w:pPr>
      <w:numPr>
        <w:numId w:val="5"/>
      </w:numPr>
    </w:pPr>
  </w:style>
  <w:style w:type="paragraph" w:styleId="ListNumber5">
    <w:name w:val="List Number 5"/>
    <w:basedOn w:val="List5"/>
    <w:rsid w:val="00ED2176"/>
    <w:pPr>
      <w:numPr>
        <w:numId w:val="6"/>
      </w:numPr>
    </w:pPr>
  </w:style>
  <w:style w:type="paragraph" w:styleId="BlockText">
    <w:name w:val="Block Text"/>
    <w:basedOn w:val="Normal"/>
    <w:rsid w:val="00ED2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176"/>
    <w:rPr>
      <w:sz w:val="16"/>
      <w:vertAlign w:val="superscript"/>
    </w:rPr>
  </w:style>
  <w:style w:type="character" w:customStyle="1" w:styleId="Symbols">
    <w:name w:val="Symbols"/>
    <w:basedOn w:val="DefaultParagraphFont"/>
    <w:rsid w:val="00ED2176"/>
    <w:rPr>
      <w:rFonts w:ascii="Symbol" w:hAnsi="Symbol"/>
    </w:rPr>
  </w:style>
  <w:style w:type="character" w:customStyle="1" w:styleId="MenuOptions">
    <w:name w:val="Menu Options"/>
    <w:basedOn w:val="DefaultParagraphFont"/>
    <w:rsid w:val="00ED2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176"/>
    <w:rPr>
      <w:b/>
    </w:rPr>
  </w:style>
  <w:style w:type="character" w:customStyle="1" w:styleId="Underlined">
    <w:name w:val="Underlined"/>
    <w:basedOn w:val="DefaultParagraphFont"/>
    <w:rsid w:val="00ED2176"/>
    <w:rPr>
      <w:u w:val="single"/>
    </w:rPr>
  </w:style>
  <w:style w:type="paragraph" w:customStyle="1" w:styleId="TableBodyTextRight">
    <w:name w:val="Table Body Text Right"/>
    <w:basedOn w:val="TableBodyText"/>
    <w:rsid w:val="00ED2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176"/>
    <w:rPr>
      <w:sz w:val="18"/>
    </w:rPr>
  </w:style>
  <w:style w:type="paragraph" w:customStyle="1" w:styleId="BodySmallRight">
    <w:name w:val="Body Small Right"/>
    <w:basedOn w:val="BodyTextRight"/>
    <w:rsid w:val="00ED2176"/>
    <w:rPr>
      <w:sz w:val="18"/>
      <w:szCs w:val="18"/>
    </w:rPr>
  </w:style>
  <w:style w:type="paragraph" w:customStyle="1" w:styleId="MarginEdition">
    <w:name w:val="Margin Edition"/>
    <w:basedOn w:val="MarginNote"/>
    <w:rsid w:val="00ED2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176"/>
    <w:rPr>
      <w:sz w:val="2"/>
      <w:szCs w:val="2"/>
    </w:rPr>
  </w:style>
  <w:style w:type="character" w:customStyle="1" w:styleId="Small">
    <w:name w:val="Small"/>
    <w:basedOn w:val="DefaultParagraphFont"/>
    <w:rsid w:val="00ED2176"/>
    <w:rPr>
      <w:sz w:val="16"/>
    </w:rPr>
  </w:style>
  <w:style w:type="paragraph" w:customStyle="1" w:styleId="WideTable">
    <w:name w:val="Wide Table"/>
    <w:basedOn w:val="Normal"/>
    <w:rsid w:val="00ED2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176"/>
  </w:style>
  <w:style w:type="paragraph" w:styleId="Quote">
    <w:name w:val="Quote"/>
    <w:basedOn w:val="Heading1"/>
    <w:link w:val="QuoteChar"/>
    <w:qFormat/>
    <w:rsid w:val="00ED2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176"/>
    <w:pPr>
      <w:pageBreakBefore/>
    </w:pPr>
  </w:style>
  <w:style w:type="paragraph" w:customStyle="1" w:styleId="Border">
    <w:name w:val="Border"/>
    <w:basedOn w:val="Normal"/>
    <w:qFormat/>
    <w:rsid w:val="00ED2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176"/>
    <w:rPr>
      <w:u w:val="single"/>
    </w:rPr>
  </w:style>
  <w:style w:type="character" w:customStyle="1" w:styleId="BoldandItalics">
    <w:name w:val="Bold and Italics"/>
    <w:qFormat/>
    <w:rsid w:val="00ED2176"/>
    <w:rPr>
      <w:b/>
      <w:i/>
      <w:u w:val="none"/>
    </w:rPr>
  </w:style>
  <w:style w:type="paragraph" w:styleId="BalloonText">
    <w:name w:val="Balloon Text"/>
    <w:basedOn w:val="Normal"/>
    <w:link w:val="BalloonTextChar"/>
    <w:rsid w:val="00ED2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176"/>
    <w:pPr>
      <w:spacing w:before="0" w:after="0"/>
    </w:pPr>
  </w:style>
  <w:style w:type="paragraph" w:customStyle="1" w:styleId="BodyTextBold">
    <w:name w:val="Body Text Bold"/>
    <w:basedOn w:val="BodyText"/>
    <w:qFormat/>
    <w:rsid w:val="00ED2176"/>
    <w:rPr>
      <w:b/>
    </w:rPr>
  </w:style>
  <w:style w:type="character" w:styleId="Hyperlink">
    <w:name w:val="Hyperlink"/>
    <w:basedOn w:val="DefaultParagraphFont"/>
    <w:uiPriority w:val="99"/>
    <w:unhideWhenUsed/>
    <w:rsid w:val="00A77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4777</Characters>
  <Application>Microsoft Office Word</Application>
  <DocSecurity>0</DocSecurity>
  <Lines>217</Lines>
  <Paragraphs>122</Paragraphs>
  <ScaleCrop>false</ScaleCrop>
  <Company>Author-it Software Corporation Ltd.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PMAOPS511 Determine energy transfer loads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2022-09-21T04:50:00Z</dcterms:created>
  <dcterms:modified xsi:type="dcterms:W3CDTF">2022-09-21T04:50:00Z</dcterms:modified>
</cp:coreProperties>
</file>