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56E2" w:rsidP="005356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PMAOPS511 Determine energy transfer loads</w:t>
      </w:r>
      <w:r>
        <w:fldChar w:fldCharType="end"/>
      </w:r>
    </w:p>
    <w:p w:rsidR="005356E2" w:rsidP="005356E2">
      <w:pPr>
        <w:pStyle w:val="Version"/>
        <w:sectPr w:rsidSect="00510E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0EA7" w:rsidP="00510EA7">
      <w:pPr>
        <w:pStyle w:val="SuperHeading"/>
      </w:pPr>
      <w:r w:rsidRPr="00510EA7">
        <w:t>Assessment Requirements for PMAOPS511 Determine energy transfer loads</w:t>
      </w:r>
    </w:p>
    <w:p w:rsidR="00000000" w:rsidRPr="00510EA7" w:rsidP="00510EA7">
      <w:pPr>
        <w:pStyle w:val="Heading1"/>
      </w:pPr>
      <w:bookmarkStart w:id="1" w:name="O_908445"/>
      <w:bookmarkEnd w:id="1"/>
      <w:r w:rsidRPr="00510EA7">
        <w:t>Modification History</w:t>
      </w:r>
    </w:p>
    <w:p w:rsidR="00000000" w:rsidRPr="00510EA7" w:rsidP="005356E2">
      <w:pPr>
        <w:pStyle w:val="BodyText"/>
      </w:pPr>
      <w:r w:rsidRPr="00510EA7">
        <w:t>Release 1. Supersedes and is equivalent to PMAOPS511B Determine energy transfer loads</w:t>
      </w:r>
    </w:p>
    <w:p w:rsidR="00000000" w:rsidRPr="00510EA7" w:rsidP="00510EA7">
      <w:pPr>
        <w:pStyle w:val="Heading1"/>
      </w:pPr>
      <w:bookmarkStart w:id="2" w:name="O_908448"/>
      <w:bookmarkEnd w:id="2"/>
      <w:r w:rsidRPr="00510EA7">
        <w:t>Performance Evidence</w:t>
      </w:r>
    </w:p>
    <w:p w:rsidR="00000000" w:rsidRPr="00510EA7" w:rsidP="005356E2">
      <w:pPr>
        <w:pStyle w:val="BodyText"/>
      </w:pPr>
      <w:r w:rsidRPr="00510EA7">
        <w:t>Evidence required to demonstrate competence in this unit must be relevant to and satisfy the requirements of the elements and performance criteria, and include the ability to:</w:t>
      </w:r>
    </w:p>
    <w:p w:rsidR="00000000" w:rsidRPr="00510EA7" w:rsidP="00510EA7">
      <w:pPr>
        <w:pStyle w:val="ListBullet"/>
      </w:pPr>
      <w:r w:rsidRPr="00510EA7">
        <w:t>determine the boundaries of the system to be studied</w:t>
      </w:r>
    </w:p>
    <w:p w:rsidR="00000000" w:rsidRPr="00510EA7" w:rsidP="00510EA7">
      <w:pPr>
        <w:pStyle w:val="ListBullet"/>
      </w:pPr>
      <w:r w:rsidRPr="00510EA7">
        <w:t>collect the required plant</w:t>
      </w:r>
      <w:r w:rsidRPr="00510EA7">
        <w:t xml:space="preserve"> data from measurements, readings or calculated quantities</w:t>
      </w:r>
    </w:p>
    <w:p w:rsidR="00000000" w:rsidRPr="00510EA7" w:rsidP="00510EA7">
      <w:pPr>
        <w:pStyle w:val="ListBullet"/>
      </w:pPr>
      <w:r w:rsidRPr="00510EA7">
        <w:t>calculate the energy transfer loads</w:t>
      </w:r>
    </w:p>
    <w:p w:rsidR="00000000" w:rsidRPr="00510EA7" w:rsidP="00510EA7">
      <w:pPr>
        <w:pStyle w:val="ListBullet"/>
      </w:pPr>
      <w:r w:rsidRPr="00510EA7">
        <w:t>calculate change in heat content from exothermic/endothermic reactions relevant to the plant</w:t>
      </w:r>
    </w:p>
    <w:p w:rsidR="00000000" w:rsidRPr="00510EA7" w:rsidP="00510EA7">
      <w:pPr>
        <w:pStyle w:val="ListBullet"/>
      </w:pPr>
      <w:r w:rsidRPr="00510EA7">
        <w:t xml:space="preserve">conduct energy balances </w:t>
      </w:r>
    </w:p>
    <w:p w:rsidR="00000000" w:rsidRPr="00510EA7" w:rsidP="00510EA7">
      <w:pPr>
        <w:pStyle w:val="ListBullet"/>
      </w:pPr>
      <w:r w:rsidRPr="00510EA7">
        <w:t>report the results as required by the purpo</w:t>
      </w:r>
      <w:r w:rsidRPr="00510EA7">
        <w:t>se of the energy balance.</w:t>
      </w:r>
    </w:p>
    <w:p w:rsidR="00000000" w:rsidRPr="00510EA7" w:rsidP="00510EA7">
      <w:pPr>
        <w:pStyle w:val="AllowPageBreak"/>
      </w:pPr>
    </w:p>
    <w:p w:rsidR="00000000" w:rsidRPr="00510EA7" w:rsidP="00510EA7">
      <w:pPr>
        <w:pStyle w:val="Heading1"/>
      </w:pPr>
      <w:bookmarkStart w:id="3" w:name="O_908447"/>
      <w:bookmarkEnd w:id="3"/>
      <w:r w:rsidRPr="00510EA7">
        <w:t>Knowledge Evidence</w:t>
      </w:r>
    </w:p>
    <w:p w:rsidR="00000000" w:rsidRPr="00510EA7" w:rsidP="005356E2">
      <w:pPr>
        <w:pStyle w:val="BodyText"/>
      </w:pPr>
      <w:r w:rsidRPr="00510EA7">
        <w:t>Evidence must be provided that demonstrates knowledge of:</w:t>
      </w:r>
    </w:p>
    <w:p w:rsidR="00000000" w:rsidRPr="00510EA7" w:rsidP="00510EA7">
      <w:pPr>
        <w:pStyle w:val="ListBullet"/>
      </w:pPr>
      <w:r w:rsidRPr="00510EA7">
        <w:t>conduction, convection and radiation</w:t>
      </w:r>
    </w:p>
    <w:p w:rsidR="00000000" w:rsidRPr="00510EA7" w:rsidP="00510EA7">
      <w:pPr>
        <w:pStyle w:val="ListBullet"/>
      </w:pPr>
      <w:r w:rsidRPr="00510EA7">
        <w:t>thermal properties of materials, particularly process materials</w:t>
      </w:r>
    </w:p>
    <w:p w:rsidR="00000000" w:rsidRPr="00510EA7" w:rsidP="00510EA7">
      <w:pPr>
        <w:pStyle w:val="ListBullet"/>
      </w:pPr>
      <w:r w:rsidRPr="00510EA7">
        <w:t>methods of heating process materia</w:t>
      </w:r>
      <w:r w:rsidRPr="00510EA7">
        <w:t>ls</w:t>
      </w:r>
    </w:p>
    <w:p w:rsidR="00000000" w:rsidRPr="00510EA7" w:rsidP="00510EA7">
      <w:pPr>
        <w:pStyle w:val="ListBullet"/>
      </w:pPr>
      <w:r w:rsidRPr="00510EA7">
        <w:t>cooling systems</w:t>
      </w:r>
    </w:p>
    <w:p w:rsidR="00000000" w:rsidRPr="00510EA7" w:rsidP="00510EA7">
      <w:pPr>
        <w:pStyle w:val="ListBullet"/>
      </w:pPr>
      <w:r w:rsidRPr="00510EA7">
        <w:t>energy balances</w:t>
      </w:r>
    </w:p>
    <w:p w:rsidR="00000000" w:rsidRPr="00510EA7" w:rsidP="00510EA7">
      <w:pPr>
        <w:pStyle w:val="ListBullet"/>
      </w:pPr>
      <w:r w:rsidRPr="00510EA7">
        <w:t>relevant process specific science.</w:t>
      </w:r>
    </w:p>
    <w:p w:rsidR="00000000" w:rsidRPr="00510EA7" w:rsidP="00510EA7">
      <w:pPr>
        <w:pStyle w:val="AllowPageBreak"/>
      </w:pPr>
    </w:p>
    <w:p w:rsidR="00000000" w:rsidRPr="00510EA7" w:rsidP="00510EA7">
      <w:pPr>
        <w:pStyle w:val="Heading1"/>
      </w:pPr>
      <w:bookmarkStart w:id="4" w:name="O_908446"/>
      <w:bookmarkEnd w:id="4"/>
      <w:r w:rsidRPr="00510EA7">
        <w:t>Assessment Conditions</w:t>
      </w:r>
    </w:p>
    <w:p w:rsidR="00000000" w:rsidRPr="00510EA7" w:rsidP="00510EA7">
      <w:pPr>
        <w:pStyle w:val="ListBullet"/>
      </w:pPr>
      <w:r w:rsidRPr="00510EA7">
        <w:t xml:space="preserve">The unit should be assessed holistically and the judgement of competence based on a holistic assessment of the evidence. </w:t>
      </w:r>
    </w:p>
    <w:p w:rsidR="00000000" w:rsidRPr="00510EA7" w:rsidP="00510EA7">
      <w:pPr>
        <w:pStyle w:val="ListBullet"/>
      </w:pPr>
      <w:r w:rsidRPr="00510EA7">
        <w:t>The collection of performance evidence is best done from a report and/or folio of evidence drawn from:</w:t>
      </w:r>
    </w:p>
    <w:p w:rsidR="00000000" w:rsidRPr="00510EA7" w:rsidP="00510EA7">
      <w:pPr>
        <w:pStyle w:val="ListBullet2"/>
      </w:pPr>
      <w:r w:rsidRPr="00510EA7">
        <w:t>a single project which provides sufficient evidence of the requirements of all the elements and performance criteria</w:t>
      </w:r>
    </w:p>
    <w:p w:rsidR="00000000" w:rsidRPr="00510EA7" w:rsidP="00510EA7">
      <w:pPr>
        <w:pStyle w:val="ListBullet2"/>
      </w:pPr>
      <w:r w:rsidRPr="00510EA7">
        <w:t>multiple smaller projects which tog</w:t>
      </w:r>
      <w:r w:rsidRPr="00510EA7">
        <w:t>ether provide sufficient evidence of the requirements of all the elements and performance criteria.</w:t>
      </w:r>
    </w:p>
    <w:p w:rsidR="00000000" w:rsidRPr="00510EA7" w:rsidP="00510EA7">
      <w:pPr>
        <w:pStyle w:val="ListBullet"/>
      </w:pPr>
      <w:r w:rsidRPr="00510EA7">
        <w:t>A third-party report, or similar, may be needed to testify to the work done by the individual, particularly when the project has been done as part of a pro</w:t>
      </w:r>
      <w:r w:rsidRPr="00510EA7">
        <w:t>ject team.</w:t>
      </w:r>
    </w:p>
    <w:p w:rsidR="00000000" w:rsidRPr="00510EA7" w:rsidP="00510EA7">
      <w:pPr>
        <w:pStyle w:val="ListBullet"/>
      </w:pPr>
      <w:r w:rsidRPr="00510EA7">
        <w:t>Assessment should use a real project in an operational workplace. Where this is not possible or practical, assessment must occur using a sufficiently rigorous simulated environment reflecting realistic operational workplace conditions. This must</w:t>
      </w:r>
      <w:r w:rsidRPr="00510EA7">
        <w:t xml:space="preserve"> cover all aspects of workplace performance, including environment, task skills, task management skills, contingency management skills and job role environment skills.</w:t>
      </w:r>
    </w:p>
    <w:p w:rsidR="00000000" w:rsidRPr="00510EA7" w:rsidP="00510EA7">
      <w:pPr>
        <w:pStyle w:val="ListBullet"/>
      </w:pPr>
      <w:r w:rsidRPr="00510EA7">
        <w:t>Knowledge evidence may be collected concurrently with performance evidence or through an</w:t>
      </w:r>
      <w:r w:rsidRPr="00510EA7">
        <w:t xml:space="preserve"> independent process, such as workbooks, written assessments or interviews (provided a record is kept).</w:t>
      </w:r>
    </w:p>
    <w:p w:rsidR="00000000" w:rsidRPr="00510EA7" w:rsidP="00510EA7">
      <w:pPr>
        <w:pStyle w:val="ListBullet"/>
      </w:pPr>
      <w:r w:rsidRPr="00510EA7">
        <w:t>Assessment processes and techniques must be appropriate to the language, literacy and numeracy requirements of the work being performed and the needs of</w:t>
      </w:r>
      <w:r w:rsidRPr="00510EA7">
        <w:t xml:space="preserve"> the candidate.</w:t>
      </w:r>
    </w:p>
    <w:p w:rsidR="00000000" w:rsidRPr="00510EA7" w:rsidP="00510EA7">
      <w:pPr>
        <w:pStyle w:val="ListBullet"/>
      </w:pPr>
      <w:r w:rsidRPr="00510EA7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510EA7" w:rsidP="00510EA7">
      <w:pPr>
        <w:pStyle w:val="ListBullet"/>
      </w:pPr>
      <w:r w:rsidRPr="00510EA7">
        <w:t>The regulatory framewo</w:t>
      </w:r>
      <w:r w:rsidRPr="00510EA7">
        <w:t>rk will be reflected in workplace policies and procedures and is not required to be independently assessed.</w:t>
      </w:r>
    </w:p>
    <w:p w:rsidR="00000000" w:rsidRPr="00510EA7" w:rsidP="00510EA7">
      <w:pPr>
        <w:pStyle w:val="ListBullet"/>
      </w:pPr>
      <w:r w:rsidRPr="00510EA7">
        <w:t>Foundation skills are integral to competent performance of the unit and should not be assessed separately.</w:t>
      </w:r>
    </w:p>
    <w:p w:rsidR="00000000" w:rsidRPr="00510EA7" w:rsidP="00510EA7">
      <w:pPr>
        <w:pStyle w:val="ListBullet"/>
      </w:pPr>
      <w:r w:rsidRPr="00510EA7">
        <w:t>Assessors must satisfy the assessor compe</w:t>
      </w:r>
      <w:r w:rsidRPr="00510EA7">
        <w:t>tency requirements that are in place at the time of the assessment as set by the VET regulator.</w:t>
      </w:r>
    </w:p>
    <w:p w:rsidR="00000000" w:rsidRPr="00510EA7" w:rsidP="00510EA7">
      <w:pPr>
        <w:pStyle w:val="ListBullet"/>
      </w:pPr>
      <w:r w:rsidRPr="00510EA7">
        <w:t xml:space="preserve">In addition, the assessor or anyone acting in subject matter expert role in assessment must demonstrate both technical competency and currency. If the assessor </w:t>
      </w:r>
      <w:r w:rsidRPr="00510EA7">
        <w:t xml:space="preserve">cannot demonstrate technical competency and currency they must assess with a subject matter expert who does meet these requirements. </w:t>
      </w:r>
    </w:p>
    <w:p w:rsidR="00000000" w:rsidRPr="00510EA7" w:rsidP="00510EA7">
      <w:pPr>
        <w:pStyle w:val="ListBullet"/>
      </w:pPr>
      <w:r w:rsidRPr="00510EA7">
        <w:t>Technical competence can be demonstrated through one or more of:</w:t>
      </w:r>
    </w:p>
    <w:p w:rsidR="00000000" w:rsidRPr="00510EA7" w:rsidP="00510EA7">
      <w:pPr>
        <w:pStyle w:val="ListBullet2"/>
      </w:pPr>
      <w:r w:rsidRPr="00510EA7">
        <w:t xml:space="preserve">relevant VET or other qualification/Statement of Attainment </w:t>
      </w:r>
    </w:p>
    <w:p w:rsidR="00000000" w:rsidRPr="00510EA7" w:rsidP="00510EA7">
      <w:pPr>
        <w:pStyle w:val="ListBullet2"/>
      </w:pPr>
      <w:r w:rsidRPr="00510EA7">
        <w:t xml:space="preserve">appropriate workplace experience undertaking the type of work being assessed under routine and non-routine conditions </w:t>
      </w:r>
    </w:p>
    <w:p w:rsidR="00000000" w:rsidRPr="00510EA7" w:rsidP="00510EA7">
      <w:pPr>
        <w:pStyle w:val="ListBullet2"/>
      </w:pPr>
      <w:r w:rsidRPr="00510EA7">
        <w:t>appropriate workplace experience supervising/evaluating the type of work bei</w:t>
      </w:r>
      <w:r w:rsidRPr="00510EA7">
        <w:t>ng assessed under routine and non-routine conditions</w:t>
      </w:r>
    </w:p>
    <w:p w:rsidR="00000000" w:rsidRPr="00510EA7" w:rsidP="00510EA7">
      <w:pPr>
        <w:pStyle w:val="ListBullet"/>
      </w:pPr>
      <w:r w:rsidRPr="00510EA7">
        <w:t>Currency can be demonstrated through one or more of:</w:t>
      </w:r>
    </w:p>
    <w:p w:rsidR="00000000" w:rsidRPr="00510EA7" w:rsidP="00510EA7">
      <w:pPr>
        <w:pStyle w:val="ListBullet2"/>
      </w:pPr>
      <w:r w:rsidRPr="00510EA7">
        <w:t xml:space="preserve">being currently employed undertaking the type of work being assessed </w:t>
      </w:r>
    </w:p>
    <w:p w:rsidR="00000000" w:rsidRPr="00510EA7" w:rsidP="00510EA7">
      <w:pPr>
        <w:pStyle w:val="ListBullet2"/>
      </w:pPr>
      <w:r w:rsidRPr="00510EA7">
        <w:t>being employed by the organisation undertaking the type of work being assessed</w:t>
      </w:r>
      <w:r w:rsidRPr="00510EA7">
        <w:t xml:space="preserve"> and having maintained currency in accordance with that organisation’s policies and procedures </w:t>
      </w:r>
    </w:p>
    <w:p w:rsidR="00000000" w:rsidRPr="00510EA7" w:rsidP="00510EA7">
      <w:pPr>
        <w:pStyle w:val="ListBullet2"/>
      </w:pPr>
      <w:r w:rsidRPr="00510EA7">
        <w:t>having consulted/had contact with an organisation undertaking the type of work being assessed within the last twelve months, the consultation/contact being rela</w:t>
      </w:r>
      <w:r w:rsidRPr="00510EA7">
        <w:t xml:space="preserve">ted to assessment </w:t>
      </w:r>
    </w:p>
    <w:p w:rsidR="00000000" w:rsidRPr="00510EA7" w:rsidP="00510EA7">
      <w:pPr>
        <w:pStyle w:val="ListBullet2"/>
      </w:pPr>
      <w:r w:rsidRPr="00510EA7">
        <w:t xml:space="preserve">conducting on-the-job training/assessments of the type of work being assessed </w:t>
      </w:r>
    </w:p>
    <w:p w:rsidR="00000000" w:rsidRPr="00510EA7" w:rsidP="00510EA7">
      <w:pPr>
        <w:pStyle w:val="ListBullet2"/>
      </w:pPr>
      <w:r w:rsidRPr="00510EA7">
        <w:t>being an active member of a relevant professional body and participating in activities relevant to the assessment of this type of work.</w:t>
      </w:r>
    </w:p>
    <w:p w:rsidR="00000000" w:rsidRPr="00510EA7" w:rsidP="00510EA7">
      <w:pPr>
        <w:pStyle w:val="AllowPageBreak"/>
      </w:pPr>
    </w:p>
    <w:p w:rsidR="00000000" w:rsidRPr="00510EA7" w:rsidP="00510EA7">
      <w:pPr>
        <w:pStyle w:val="Heading1"/>
      </w:pPr>
      <w:bookmarkStart w:id="5" w:name="O_908444"/>
      <w:bookmarkEnd w:id="5"/>
      <w:r w:rsidRPr="00510EA7">
        <w:t>Links</w:t>
      </w:r>
    </w:p>
    <w:p w:rsidR="00000000" w:rsidRPr="00510EA7" w:rsidP="005356E2">
      <w:pPr>
        <w:pStyle w:val="BodyText"/>
      </w:pPr>
      <w:r w:rsidRPr="00510E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412FFA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510EA7" w:rsidP="00510EA7"/>
    <w:sectPr w:rsidSect="00510E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E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EA7" w:rsidRPr="005356E2" w:rsidP="005356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E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6E2" w:rsidP="00510E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56E2" w:rsidP="00510E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356E2" w:rsidP="00510E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E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6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0EA7" w:rsidRPr="005356E2" w:rsidP="005356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E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6E2" w:rsidRPr="002D2AF8" w:rsidP="00510E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PMAOPS511 Determine energy transfer loads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5356E2" w:rsidP="00510E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FEDC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4CC4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BCC9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E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0E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0E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0E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0E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0E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0E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0E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0E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0E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0E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0EA7"/>
  </w:style>
  <w:style w:type="character" w:customStyle="1" w:styleId="Heading1Char">
    <w:name w:val="Heading 1 Char"/>
    <w:basedOn w:val="DefaultParagraphFont"/>
    <w:link w:val="Heading1"/>
    <w:rsid w:val="00510E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0E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0E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0E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0E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0E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0E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0E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0E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0E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0E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0E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0E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0E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0E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0E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0E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0E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0E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0E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0E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0E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0E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0E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0E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0E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0E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0EA7"/>
    <w:rPr>
      <w:b/>
      <w:spacing w:val="0"/>
    </w:rPr>
  </w:style>
  <w:style w:type="paragraph" w:customStyle="1" w:styleId="SuperTitle">
    <w:name w:val="SuperTitle"/>
    <w:basedOn w:val="Title"/>
    <w:rsid w:val="00510E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0E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0E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0E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0E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0E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0E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0E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0E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0E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0E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0E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0EA7"/>
    <w:rPr>
      <w:i/>
    </w:rPr>
  </w:style>
  <w:style w:type="paragraph" w:styleId="Caption">
    <w:name w:val="caption"/>
    <w:basedOn w:val="BodyText"/>
    <w:next w:val="Normal"/>
    <w:qFormat/>
    <w:rsid w:val="00510E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0E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0E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0EA7"/>
  </w:style>
  <w:style w:type="paragraph" w:styleId="TableofFigures">
    <w:name w:val="table of figures"/>
    <w:basedOn w:val="Normal"/>
    <w:next w:val="Normal"/>
    <w:semiHidden/>
    <w:rsid w:val="00510E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0E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0EA7"/>
    <w:rPr>
      <w:rFonts w:ascii="Wingdings" w:hAnsi="Wingdings"/>
    </w:rPr>
  </w:style>
  <w:style w:type="paragraph" w:customStyle="1" w:styleId="TableHeading">
    <w:name w:val="Table Heading"/>
    <w:basedOn w:val="HeadingBase"/>
    <w:rsid w:val="00510E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0EA7"/>
    <w:rPr>
      <w:color w:val="0033CC"/>
      <w:u w:val="none"/>
    </w:rPr>
  </w:style>
  <w:style w:type="paragraph" w:customStyle="1" w:styleId="BodyTextRight">
    <w:name w:val="Body Text Right"/>
    <w:basedOn w:val="BodyText"/>
    <w:rsid w:val="00510E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0E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0E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0E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0E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0E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0EA7"/>
    <w:rPr>
      <w:sz w:val="32"/>
    </w:rPr>
  </w:style>
  <w:style w:type="paragraph" w:customStyle="1" w:styleId="HeadingProcedure">
    <w:name w:val="Heading Procedure"/>
    <w:basedOn w:val="HeadingBase"/>
    <w:next w:val="Normal"/>
    <w:rsid w:val="00510E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0EA7"/>
    <w:pPr>
      <w:spacing w:before="60" w:after="60"/>
    </w:pPr>
  </w:style>
  <w:style w:type="paragraph" w:styleId="ListContinue">
    <w:name w:val="List Continue"/>
    <w:basedOn w:val="List"/>
    <w:rsid w:val="00510EA7"/>
    <w:pPr>
      <w:ind w:firstLine="0"/>
    </w:pPr>
  </w:style>
  <w:style w:type="paragraph" w:customStyle="1" w:styleId="ListNote">
    <w:name w:val="List Note"/>
    <w:basedOn w:val="List"/>
    <w:rsid w:val="00510E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0E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0E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0EA7"/>
    <w:rPr>
      <w:rFonts w:ascii="Courier New" w:hAnsi="Courier New"/>
    </w:rPr>
  </w:style>
  <w:style w:type="paragraph" w:customStyle="1" w:styleId="NoteBullet">
    <w:name w:val="Note Bullet"/>
    <w:basedOn w:val="Note"/>
    <w:rsid w:val="00510E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0E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0E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0E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0E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0E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0E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0EA7"/>
    <w:rPr>
      <w:b/>
      <w:smallCaps/>
    </w:rPr>
  </w:style>
  <w:style w:type="paragraph" w:customStyle="1" w:styleId="TableListNumber">
    <w:name w:val="Table List Number"/>
    <w:basedOn w:val="ListNumber"/>
    <w:rsid w:val="00510E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0E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0EA7"/>
    <w:pPr>
      <w:numPr>
        <w:numId w:val="9"/>
      </w:numPr>
    </w:pPr>
  </w:style>
  <w:style w:type="paragraph" w:customStyle="1" w:styleId="ListAlpha2">
    <w:name w:val="List Alpha 2"/>
    <w:basedOn w:val="List2"/>
    <w:rsid w:val="00510EA7"/>
    <w:pPr>
      <w:numPr>
        <w:numId w:val="8"/>
      </w:numPr>
    </w:pPr>
  </w:style>
  <w:style w:type="paragraph" w:styleId="List2">
    <w:name w:val="List 2"/>
    <w:basedOn w:val="BodyText"/>
    <w:rsid w:val="00510E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0E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0E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0E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0E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0E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0EA7"/>
    <w:pPr>
      <w:numPr>
        <w:numId w:val="4"/>
      </w:numPr>
    </w:pPr>
  </w:style>
  <w:style w:type="paragraph" w:styleId="ListContinue2">
    <w:name w:val="List Continue 2"/>
    <w:basedOn w:val="List2"/>
    <w:rsid w:val="00510EA7"/>
    <w:pPr>
      <w:ind w:firstLine="0"/>
    </w:pPr>
  </w:style>
  <w:style w:type="paragraph" w:styleId="ListContinue3">
    <w:name w:val="List Continue 3"/>
    <w:basedOn w:val="List3"/>
    <w:rsid w:val="00510EA7"/>
    <w:pPr>
      <w:ind w:left="1021" w:firstLine="0"/>
    </w:pPr>
  </w:style>
  <w:style w:type="paragraph" w:styleId="ListContinue4">
    <w:name w:val="List Continue 4"/>
    <w:basedOn w:val="List4"/>
    <w:rsid w:val="00510EA7"/>
    <w:pPr>
      <w:ind w:firstLine="0"/>
    </w:pPr>
  </w:style>
  <w:style w:type="paragraph" w:styleId="ListContinue5">
    <w:name w:val="List Continue 5"/>
    <w:basedOn w:val="List5"/>
    <w:rsid w:val="00510EA7"/>
    <w:pPr>
      <w:ind w:firstLine="0"/>
    </w:pPr>
  </w:style>
  <w:style w:type="paragraph" w:styleId="ListNumber3">
    <w:name w:val="List Number 3"/>
    <w:basedOn w:val="List3"/>
    <w:rsid w:val="00510EA7"/>
    <w:pPr>
      <w:numPr>
        <w:numId w:val="5"/>
      </w:numPr>
    </w:pPr>
  </w:style>
  <w:style w:type="paragraph" w:styleId="ListNumber4">
    <w:name w:val="List Number 4"/>
    <w:basedOn w:val="List4"/>
    <w:rsid w:val="00510EA7"/>
    <w:pPr>
      <w:numPr>
        <w:numId w:val="6"/>
      </w:numPr>
    </w:pPr>
  </w:style>
  <w:style w:type="paragraph" w:styleId="ListNumber5">
    <w:name w:val="List Number 5"/>
    <w:basedOn w:val="List5"/>
    <w:rsid w:val="00510EA7"/>
    <w:pPr>
      <w:numPr>
        <w:numId w:val="7"/>
      </w:numPr>
    </w:pPr>
  </w:style>
  <w:style w:type="paragraph" w:styleId="BlockText">
    <w:name w:val="Block Text"/>
    <w:basedOn w:val="Normal"/>
    <w:rsid w:val="00510E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0E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0EA7"/>
    <w:rPr>
      <w:sz w:val="16"/>
      <w:vertAlign w:val="superscript"/>
    </w:rPr>
  </w:style>
  <w:style w:type="character" w:customStyle="1" w:styleId="Symbols">
    <w:name w:val="Symbols"/>
    <w:basedOn w:val="DefaultParagraphFont"/>
    <w:rsid w:val="00510EA7"/>
    <w:rPr>
      <w:rFonts w:ascii="Symbol" w:hAnsi="Symbol"/>
    </w:rPr>
  </w:style>
  <w:style w:type="character" w:customStyle="1" w:styleId="MenuOptions">
    <w:name w:val="Menu Options"/>
    <w:basedOn w:val="DefaultParagraphFont"/>
    <w:rsid w:val="00510E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0EA7"/>
    <w:rPr>
      <w:b/>
    </w:rPr>
  </w:style>
  <w:style w:type="character" w:customStyle="1" w:styleId="Underlined">
    <w:name w:val="Underlined"/>
    <w:basedOn w:val="DefaultParagraphFont"/>
    <w:rsid w:val="00510EA7"/>
    <w:rPr>
      <w:u w:val="single"/>
    </w:rPr>
  </w:style>
  <w:style w:type="paragraph" w:customStyle="1" w:styleId="TableBodyTextRight">
    <w:name w:val="Table Body Text Right"/>
    <w:basedOn w:val="TableBodyText"/>
    <w:rsid w:val="00510E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0EA7"/>
    <w:rPr>
      <w:sz w:val="18"/>
    </w:rPr>
  </w:style>
  <w:style w:type="paragraph" w:customStyle="1" w:styleId="BodySmallRight">
    <w:name w:val="Body Small Right"/>
    <w:basedOn w:val="BodyTextRight"/>
    <w:rsid w:val="00510EA7"/>
    <w:rPr>
      <w:sz w:val="18"/>
      <w:szCs w:val="18"/>
    </w:rPr>
  </w:style>
  <w:style w:type="paragraph" w:customStyle="1" w:styleId="MarginEdition">
    <w:name w:val="Margin Edition"/>
    <w:basedOn w:val="MarginNote"/>
    <w:rsid w:val="00510E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0EA7"/>
    <w:rPr>
      <w:sz w:val="2"/>
      <w:szCs w:val="2"/>
    </w:rPr>
  </w:style>
  <w:style w:type="character" w:customStyle="1" w:styleId="Small">
    <w:name w:val="Small"/>
    <w:basedOn w:val="DefaultParagraphFont"/>
    <w:rsid w:val="00510EA7"/>
    <w:rPr>
      <w:sz w:val="16"/>
    </w:rPr>
  </w:style>
  <w:style w:type="paragraph" w:customStyle="1" w:styleId="WideTable">
    <w:name w:val="Wide Table"/>
    <w:basedOn w:val="Normal"/>
    <w:rsid w:val="00510E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0EA7"/>
  </w:style>
  <w:style w:type="paragraph" w:styleId="Quote">
    <w:name w:val="Quote"/>
    <w:basedOn w:val="Heading1"/>
    <w:link w:val="QuoteChar"/>
    <w:qFormat/>
    <w:rsid w:val="00510E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0E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0EA7"/>
    <w:pPr>
      <w:pageBreakBefore/>
    </w:pPr>
  </w:style>
  <w:style w:type="paragraph" w:customStyle="1" w:styleId="Border">
    <w:name w:val="Border"/>
    <w:basedOn w:val="Normal"/>
    <w:qFormat/>
    <w:rsid w:val="00510E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0E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E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E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0E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0E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0E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0E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0E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0EA7"/>
    <w:rPr>
      <w:u w:val="single"/>
    </w:rPr>
  </w:style>
  <w:style w:type="character" w:customStyle="1" w:styleId="BoldandItalics">
    <w:name w:val="Bold and Italics"/>
    <w:qFormat/>
    <w:rsid w:val="00510EA7"/>
    <w:rPr>
      <w:b/>
      <w:i/>
      <w:u w:val="none"/>
    </w:rPr>
  </w:style>
  <w:style w:type="paragraph" w:styleId="BalloonText">
    <w:name w:val="Balloon Text"/>
    <w:basedOn w:val="Normal"/>
    <w:link w:val="BalloonTextChar"/>
    <w:rsid w:val="00510E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0E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0E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0E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0E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0E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0EA7"/>
    <w:pPr>
      <w:spacing w:before="0" w:after="0"/>
    </w:pPr>
  </w:style>
  <w:style w:type="paragraph" w:customStyle="1" w:styleId="BodyTextBold">
    <w:name w:val="Body Text Bold"/>
    <w:basedOn w:val="BodyText"/>
    <w:qFormat/>
    <w:rsid w:val="00510EA7"/>
    <w:rPr>
      <w:b/>
    </w:rPr>
  </w:style>
  <w:style w:type="character" w:styleId="Hyperlink">
    <w:name w:val="Hyperlink"/>
    <w:basedOn w:val="DefaultParagraphFont"/>
    <w:uiPriority w:val="99"/>
    <w:unhideWhenUsed/>
    <w:rsid w:val="005356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4154</Characters>
  <Application>Microsoft Office Word</Application>
  <DocSecurity>0</DocSecurity>
  <Lines>88</Lines>
  <Paragraphs>55</Paragraphs>
  <ScaleCrop>false</ScaleCrop>
  <Company>Author-it Software Corporation Ltd.</Company>
  <LinksUpToDate>false</LinksUpToDate>
  <CharactersWithSpaces>4758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PMAOPS511 Determine energy transfer loads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2022-09-21T04:41:00Z</dcterms:created>
  <dcterms:modified xsi:type="dcterms:W3CDTF">2022-09-21T04:41:00Z</dcterms:modified>
</cp:coreProperties>
</file>