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791" w:rsidP="009227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PMAOPS450 Solve colour problems</w:t>
      </w:r>
      <w:r>
        <w:fldChar w:fldCharType="end"/>
      </w:r>
    </w:p>
    <w:p w:rsidR="00922791" w:rsidP="00922791">
      <w:pPr>
        <w:pStyle w:val="Version"/>
        <w:sectPr w:rsidSect="004A74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465" w:rsidP="004A7465">
      <w:pPr>
        <w:pStyle w:val="SuperHeading"/>
      </w:pPr>
      <w:r w:rsidRPr="004A7465">
        <w:t>PMAOPS450 Solve colour problems</w:t>
      </w:r>
    </w:p>
    <w:p w:rsidR="00000000" w:rsidRPr="004A7465" w:rsidP="004A7465">
      <w:pPr>
        <w:pStyle w:val="Heading1"/>
      </w:pPr>
      <w:bookmarkStart w:id="1" w:name="O_908354"/>
      <w:bookmarkEnd w:id="1"/>
      <w:r w:rsidRPr="004A7465">
        <w:t>Modification History</w:t>
      </w:r>
    </w:p>
    <w:p w:rsidR="00000000" w:rsidRPr="004A7465" w:rsidP="00922791">
      <w:pPr>
        <w:pStyle w:val="BodyText"/>
      </w:pPr>
      <w:r w:rsidRPr="004A7465">
        <w:t>Release 1. Supersedes and is equivalent to PMAOPS450B Solve colour problems</w:t>
      </w:r>
    </w:p>
    <w:p w:rsidR="00000000" w:rsidRPr="004A7465" w:rsidP="004A7465">
      <w:pPr>
        <w:pStyle w:val="Heading1"/>
      </w:pPr>
      <w:bookmarkStart w:id="2" w:name="O_908362"/>
      <w:bookmarkEnd w:id="2"/>
      <w:r w:rsidRPr="004A7465">
        <w:t>Application</w:t>
      </w:r>
    </w:p>
    <w:p w:rsidR="00000000" w:rsidRPr="004A7465" w:rsidP="00922791">
      <w:pPr>
        <w:pStyle w:val="BodyText"/>
      </w:pPr>
      <w:r w:rsidRPr="004A7465">
        <w:t>This unit of competency covers the skills and knowledge required to solve colour problems identified by internal and/or external c</w:t>
      </w:r>
      <w:r w:rsidRPr="004A7465">
        <w:t>ustomers. It applies to any colour problem, examples include:</w:t>
      </w:r>
    </w:p>
    <w:p w:rsidR="00000000" w:rsidRPr="004A7465" w:rsidP="004A7465">
      <w:pPr>
        <w:pStyle w:val="ListBullet"/>
      </w:pPr>
      <w:r w:rsidRPr="004A7465">
        <w:t>batches during manufacture do not conform to colour specification</w:t>
      </w:r>
    </w:p>
    <w:p w:rsidR="00000000" w:rsidRPr="004A7465" w:rsidP="004A7465">
      <w:pPr>
        <w:pStyle w:val="ListBullet"/>
      </w:pPr>
      <w:r w:rsidRPr="004A7465">
        <w:t>colour as supplied to customer does not conform</w:t>
      </w:r>
    </w:p>
    <w:p w:rsidR="00000000" w:rsidRPr="004A7465" w:rsidP="004A7465">
      <w:pPr>
        <w:pStyle w:val="ListBullet"/>
      </w:pPr>
      <w:r w:rsidRPr="004A7465">
        <w:t>colour as applied to substrate does not conform</w:t>
      </w:r>
    </w:p>
    <w:p w:rsidR="00000000" w:rsidRPr="004A7465" w:rsidP="004A7465">
      <w:pPr>
        <w:pStyle w:val="ListBullet"/>
      </w:pPr>
      <w:r w:rsidRPr="004A7465">
        <w:t>colour variation within the pro</w:t>
      </w:r>
      <w:r w:rsidRPr="004A7465">
        <w:t>duct</w:t>
      </w:r>
    </w:p>
    <w:p w:rsidR="00000000" w:rsidRPr="004A7465" w:rsidP="004A7465">
      <w:pPr>
        <w:pStyle w:val="ListBullet"/>
      </w:pPr>
      <w:r w:rsidRPr="004A7465">
        <w:t>colour was initially satisfactory but has changed over time.</w:t>
      </w:r>
    </w:p>
    <w:p w:rsidR="00000000" w:rsidRPr="004A7465" w:rsidP="004A7465">
      <w:pPr>
        <w:pStyle w:val="BodyText"/>
      </w:pPr>
    </w:p>
    <w:p w:rsidR="00000000" w:rsidRPr="004A7465" w:rsidP="00922791">
      <w:pPr>
        <w:pStyle w:val="BodyText"/>
      </w:pPr>
      <w:r w:rsidRPr="004A7465">
        <w:t>This unit of competency applies to senior technicians or those in similar roles who are required to apply in-depth knowledge of process and plant in order to gather and analyse data, determ</w:t>
      </w:r>
      <w:r w:rsidRPr="004A7465">
        <w:t>ine the cause of the problem and recommend a solution to the problem.</w:t>
      </w:r>
    </w:p>
    <w:p w:rsidR="00000000" w:rsidRPr="004A7465" w:rsidP="00922791">
      <w:pPr>
        <w:pStyle w:val="BodyText"/>
      </w:pPr>
      <w:r w:rsidRPr="004A7465">
        <w:t>No licensing, legislative or certification requirements apply to this unit at the time of publication.</w:t>
      </w:r>
    </w:p>
    <w:p w:rsidR="00000000" w:rsidRPr="004A7465" w:rsidP="004A7465">
      <w:pPr>
        <w:pStyle w:val="Heading1"/>
      </w:pPr>
      <w:bookmarkStart w:id="3" w:name="O_908361"/>
      <w:bookmarkEnd w:id="3"/>
      <w:r w:rsidRPr="004A7465">
        <w:t>Pre-requisite Unit</w:t>
      </w:r>
    </w:p>
    <w:p w:rsidR="00000000" w:rsidRPr="004A7465" w:rsidP="00922791">
      <w:pPr>
        <w:pStyle w:val="BodyText"/>
      </w:pPr>
      <w:r w:rsidRPr="004A7465">
        <w:t>Nil</w:t>
      </w:r>
    </w:p>
    <w:p w:rsidR="00000000" w:rsidRPr="004A7465" w:rsidP="004A7465">
      <w:pPr>
        <w:pStyle w:val="Heading1"/>
      </w:pPr>
      <w:bookmarkStart w:id="4" w:name="O_908360"/>
      <w:bookmarkEnd w:id="4"/>
      <w:r w:rsidRPr="004A7465">
        <w:t>Competency Field</w:t>
      </w:r>
    </w:p>
    <w:p w:rsidR="00000000" w:rsidRPr="004A7465" w:rsidP="00922791">
      <w:pPr>
        <w:pStyle w:val="BodyText"/>
      </w:pPr>
      <w:r w:rsidRPr="004A7465">
        <w:t>Operations</w:t>
      </w:r>
    </w:p>
    <w:p w:rsidR="00000000" w:rsidRPr="004A7465" w:rsidP="004A7465">
      <w:pPr>
        <w:pStyle w:val="Heading1"/>
      </w:pPr>
      <w:bookmarkStart w:id="5" w:name="O_908359"/>
      <w:bookmarkEnd w:id="5"/>
      <w:r w:rsidRPr="004A7465">
        <w:t>Unit Sector</w:t>
      </w:r>
    </w:p>
    <w:p w:rsidR="00000000" w:rsidRPr="004A7465" w:rsidP="004A7465">
      <w:pPr>
        <w:pStyle w:val="Heading1"/>
      </w:pPr>
      <w:bookmarkStart w:id="6" w:name="O_908358"/>
      <w:bookmarkEnd w:id="6"/>
      <w:r w:rsidRPr="004A74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Performance criteria describe the performance needed to demonstrate achievement of the element.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65" w:rsidP="004A7465">
            <w:pPr>
              <w:pStyle w:val="BodyText"/>
            </w:pPr>
            <w:r w:rsidRPr="004A746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rPr>
                <w:rStyle w:val="SpecialBold"/>
              </w:rPr>
              <w:t xml:space="preserve">Assist customer </w:t>
            </w:r>
            <w:r w:rsidRPr="004A7465">
              <w:rPr>
                <w:rStyle w:val="SpecialBold"/>
              </w:rPr>
              <w:t>to arti</w:t>
            </w:r>
            <w:r w:rsidRPr="004A7465">
              <w:rPr>
                <w:rStyle w:val="SpecialBold"/>
              </w:rPr>
              <w:t>culate problem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Clarify customer perception of problem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Assess opportunities for a targeted response to meet customer needs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Identify the rights and responsibilities of the customer and effectively communicate these to the customer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Clarify the history of the problem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Define problem and complete records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65" w:rsidP="004A7465">
            <w:pPr>
              <w:pStyle w:val="BodyText"/>
            </w:pPr>
            <w:r w:rsidRPr="004A746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rPr>
                <w:rStyle w:val="SpecialBold"/>
              </w:rPr>
              <w:t>Analyse possible problem causes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Examine the colour of the object/surface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Compare colour to standard to determine if colour faulty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Determine potential causes if colour faulty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Analyse history of problem for potential causes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Question customer to clarify issues revealed by examination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Take samples and arrange for tests as appropriate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Determine range of possible causes consistent with data available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Determine most likely cause of defined and observed problem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65" w:rsidP="004A7465">
            <w:pPr>
              <w:pStyle w:val="BodyText"/>
            </w:pPr>
            <w:r w:rsidRPr="004A746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rPr>
                <w:rStyle w:val="SpecialBold"/>
              </w:rPr>
              <w:t>Satisfy customer needs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Determine appropriate strategies and activities to resolve problem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Negotiate proposed solution with customers and other relevant parties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Identify potential areas of difficulty in customer service delivery and take actions to address them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Follow items initiated through until final resolution has occurred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Meet customer needs within the scope of area of responsibility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Report problems outside area of responsibility to designated person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Follow procedures where a decision is made to terminate a service</w:t>
            </w:r>
          </w:p>
        </w:tc>
      </w:tr>
      <w:tr w:rsidTr="004A7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65" w:rsidP="004A7465">
            <w:pPr>
              <w:pStyle w:val="BodyText"/>
            </w:pPr>
            <w:r w:rsidRPr="004A7465">
              <w:t>Complete reports to procedure</w:t>
            </w:r>
          </w:p>
        </w:tc>
      </w:tr>
    </w:tbl>
    <w:p w:rsidR="00000000" w:rsidRPr="004A7465" w:rsidP="004A7465">
      <w:pPr>
        <w:pStyle w:val="BodyText"/>
      </w:pPr>
    </w:p>
    <w:p w:rsidR="00000000" w:rsidRPr="004A7465" w:rsidP="004A7465">
      <w:pPr>
        <w:pStyle w:val="AllowPageBreak"/>
      </w:pPr>
    </w:p>
    <w:p w:rsidR="00000000" w:rsidRPr="004A7465" w:rsidP="004A7465">
      <w:pPr>
        <w:pStyle w:val="Heading1"/>
      </w:pPr>
      <w:bookmarkStart w:id="7" w:name="O_908357"/>
      <w:bookmarkEnd w:id="7"/>
      <w:r w:rsidRPr="004A7465">
        <w:t>Foundation Skills</w:t>
      </w:r>
    </w:p>
    <w:p w:rsidR="00000000" w:rsidRPr="004A7465" w:rsidP="00922791">
      <w:pPr>
        <w:pStyle w:val="BodyText"/>
      </w:pPr>
      <w:r w:rsidRPr="004A7465">
        <w:t>This section describes those language, literacy, numeracy and employment skills that are essential to performance.</w:t>
      </w:r>
    </w:p>
    <w:p w:rsidR="00000000" w:rsidRPr="004A7465" w:rsidP="00922791">
      <w:pPr>
        <w:pStyle w:val="BodyText"/>
      </w:pPr>
      <w:r w:rsidRPr="004A7465">
        <w:t>Foundation skills essential to performance are explicit in the performance criteria of this unit of compet</w:t>
      </w:r>
      <w:r w:rsidRPr="004A7465">
        <w:t>ency.</w:t>
      </w:r>
    </w:p>
    <w:p w:rsidR="00000000" w:rsidRPr="004A7465" w:rsidP="004A7465">
      <w:pPr>
        <w:pStyle w:val="Heading1"/>
      </w:pPr>
      <w:bookmarkStart w:id="8" w:name="O_908356"/>
      <w:bookmarkEnd w:id="8"/>
      <w:r w:rsidRPr="004A746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227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4A7465">
              <w:t>ity of the item, and local industry and regional contexts) are included.</w:t>
            </w:r>
          </w:p>
        </w:tc>
      </w:tr>
      <w:tr w:rsidTr="009227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65" w:rsidP="004A7465">
            <w:pPr>
              <w:pStyle w:val="BodyText"/>
            </w:pPr>
            <w:r w:rsidRPr="004A7465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65" w:rsidP="004A7465">
            <w:pPr>
              <w:pStyle w:val="BodyText"/>
            </w:pPr>
            <w:r w:rsidRPr="004A7465">
              <w:t xml:space="preserve">The latest version of all legislation, regulations, industry codes of practice and Australian/international standards, or the version specified by the local </w:t>
            </w:r>
            <w:r w:rsidRPr="004A7465">
              <w:t>regulatory authority, must be used, and include one or more of the following:</w:t>
            </w:r>
          </w:p>
          <w:p w:rsidR="00000000" w:rsidRPr="004A7465" w:rsidP="004A7465">
            <w:pPr>
              <w:pStyle w:val="ListBullet"/>
            </w:pPr>
            <w:r w:rsidRPr="004A7465">
              <w:t>legislative requirements, including work health and safety (WHS)</w:t>
            </w:r>
          </w:p>
          <w:p w:rsidR="00000000" w:rsidRPr="004A7465" w:rsidP="004A7465">
            <w:pPr>
              <w:pStyle w:val="ListBullet"/>
            </w:pPr>
            <w:r w:rsidRPr="004A7465">
              <w:t>industry codes of practice and guidelines</w:t>
            </w:r>
          </w:p>
          <w:p w:rsidR="00000000" w:rsidRPr="004A7465" w:rsidP="004A7465">
            <w:pPr>
              <w:pStyle w:val="ListBullet"/>
            </w:pPr>
            <w:r w:rsidRPr="004A7465">
              <w:t xml:space="preserve">environmental regulations and guidelines </w:t>
            </w:r>
          </w:p>
          <w:p w:rsidR="00000000" w:rsidRPr="004A7465" w:rsidP="004A7465">
            <w:pPr>
              <w:pStyle w:val="ListBullet"/>
            </w:pPr>
            <w:r w:rsidRPr="004A7465">
              <w:t>Australian and other standar</w:t>
            </w:r>
            <w:r w:rsidRPr="004A7465">
              <w:t>ds</w:t>
            </w:r>
          </w:p>
          <w:p w:rsidR="00000000" w:rsidRPr="004A7465" w:rsidP="004A7465">
            <w:pPr>
              <w:pStyle w:val="ListBullet"/>
            </w:pPr>
            <w:r w:rsidRPr="004A7465">
              <w:t xml:space="preserve">licence and certification requirements </w:t>
            </w:r>
          </w:p>
          <w:p w:rsidR="00000000" w:rsidRPr="004A7465" w:rsidP="004A7465">
            <w:pPr>
              <w:pStyle w:val="BodyText"/>
            </w:pPr>
          </w:p>
          <w:p w:rsidR="00000000" w:rsidRPr="004A7465" w:rsidP="004A7465">
            <w:pPr>
              <w:pStyle w:val="BodyText"/>
            </w:pPr>
            <w:r w:rsidRPr="004A7465">
              <w:t>All operations to which this unit applies are subject to stringent health, safety and environment (HSE) requirements, which may be imposed through state/territory or federal legislation, and these must not be com</w:t>
            </w:r>
            <w:r w:rsidRPr="004A7465">
              <w:t>promised at any time. Where there is an apparent conflict between performance criteria and HSE requirements, the HSE requirements take precedence.</w:t>
            </w:r>
          </w:p>
          <w:p w:rsidR="00000000" w:rsidP="004A7465">
            <w:pPr>
              <w:pStyle w:val="BodyText"/>
              <w:rPr>
                <w:lang w:val="en-NZ"/>
              </w:rPr>
            </w:pPr>
          </w:p>
        </w:tc>
      </w:tr>
      <w:tr w:rsidTr="009227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65" w:rsidP="004A7465">
            <w:pPr>
              <w:pStyle w:val="BodyText"/>
            </w:pPr>
            <w:r w:rsidRPr="004A7465">
              <w:t>Routine problems are predictable problems with known solutions and include one or more of the following:</w:t>
            </w:r>
          </w:p>
          <w:p w:rsidR="00000000" w:rsidRPr="004A7465" w:rsidP="004A7465">
            <w:pPr>
              <w:pStyle w:val="ListBullet"/>
            </w:pPr>
            <w:r w:rsidRPr="004A7465">
              <w:t>wrong colourant</w:t>
            </w:r>
          </w:p>
          <w:p w:rsidR="00000000" w:rsidRPr="004A7465" w:rsidP="004A7465">
            <w:pPr>
              <w:pStyle w:val="ListBullet"/>
            </w:pPr>
            <w:r w:rsidRPr="004A7465">
              <w:t xml:space="preserve">wrong colourant amount </w:t>
            </w:r>
          </w:p>
          <w:p w:rsidR="00000000" w:rsidRPr="004A7465" w:rsidP="004A7465">
            <w:pPr>
              <w:pStyle w:val="ListBullet"/>
            </w:pPr>
            <w:r w:rsidRPr="004A7465">
              <w:t>incorrect processing/mixing/dispersing</w:t>
            </w:r>
          </w:p>
          <w:p w:rsidR="00000000" w:rsidRPr="004A7465" w:rsidP="004A7465">
            <w:pPr>
              <w:pStyle w:val="ListBullet"/>
            </w:pPr>
            <w:r w:rsidRPr="004A7465">
              <w:t>incorrect substrate preparation (e.g. of painted/printed surface)</w:t>
            </w:r>
          </w:p>
          <w:p w:rsidR="00000000" w:rsidRPr="004A7465" w:rsidP="004A7465">
            <w:pPr>
              <w:pStyle w:val="ListBullet"/>
            </w:pPr>
            <w:r w:rsidRPr="004A7465">
              <w:t>incor</w:t>
            </w:r>
            <w:r w:rsidRPr="004A7465">
              <w:t>rect application (e.g. of paint/ink)</w:t>
            </w:r>
          </w:p>
          <w:p w:rsidR="00000000" w:rsidRPr="004A7465" w:rsidP="004A7465">
            <w:pPr>
              <w:pStyle w:val="ListBullet"/>
            </w:pPr>
            <w:r w:rsidRPr="004A7465">
              <w:t>incorrect colour measurement and testing</w:t>
            </w:r>
          </w:p>
          <w:p w:rsidR="00000000" w:rsidRPr="004A7465" w:rsidP="004A7465">
            <w:pPr>
              <w:pStyle w:val="ListBullet"/>
            </w:pPr>
            <w:r w:rsidRPr="004A7465">
              <w:t>defect standard</w:t>
            </w:r>
          </w:p>
          <w:p w:rsidR="00000000" w:rsidRPr="004A7465" w:rsidP="004A7465">
            <w:pPr>
              <w:pStyle w:val="ListBullet"/>
            </w:pPr>
            <w:r w:rsidRPr="004A7465">
              <w:t>process changes and variations</w:t>
            </w:r>
          </w:p>
          <w:p w:rsidR="00000000" w:rsidP="004A7465">
            <w:pPr>
              <w:pStyle w:val="BodyText"/>
              <w:rPr>
                <w:lang w:val="en-NZ"/>
              </w:rPr>
            </w:pPr>
          </w:p>
        </w:tc>
      </w:tr>
      <w:tr w:rsidTr="009227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rPr>
                <w:rStyle w:val="SpecialBold"/>
              </w:rPr>
              <w:t>Non-routine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65" w:rsidP="004A7465">
            <w:pPr>
              <w:pStyle w:val="BodyText"/>
            </w:pPr>
            <w:r w:rsidRPr="004A7465">
              <w:t>Non-routine problems are unexpected problems, or variations of previous problems and must be resolved by app</w:t>
            </w:r>
            <w:r w:rsidRPr="004A7465">
              <w:t>lying operational knowledge to develop new solutions, either individually or in collaboration with relevant experts, to:</w:t>
            </w:r>
          </w:p>
          <w:p w:rsidR="00000000" w:rsidRPr="004A7465" w:rsidP="004A7465">
            <w:pPr>
              <w:pStyle w:val="ListBullet"/>
            </w:pPr>
            <w:r w:rsidRPr="004A7465">
              <w:t>determine problems needing action</w:t>
            </w:r>
          </w:p>
          <w:p w:rsidR="00000000" w:rsidRPr="004A7465" w:rsidP="004A7465">
            <w:pPr>
              <w:pStyle w:val="ListBullet"/>
            </w:pPr>
            <w:r w:rsidRPr="004A7465">
              <w:t>determine possible fault causes</w:t>
            </w:r>
          </w:p>
          <w:p w:rsidR="00000000" w:rsidRPr="004A7465" w:rsidP="004A7465">
            <w:pPr>
              <w:pStyle w:val="ListBullet"/>
            </w:pPr>
            <w:r w:rsidRPr="004A7465">
              <w:t>develop solutions to problems which do not have a known solution</w:t>
            </w:r>
          </w:p>
          <w:p w:rsidR="00000000" w:rsidRPr="004A7465" w:rsidP="004A7465">
            <w:pPr>
              <w:pStyle w:val="ListBullet"/>
            </w:pPr>
            <w:r w:rsidRPr="004A7465">
              <w:t>follow through items initiated until final resolution has occurred</w:t>
            </w:r>
          </w:p>
          <w:p w:rsidR="00000000" w:rsidRPr="004A7465" w:rsidP="004A7465">
            <w:pPr>
              <w:pStyle w:val="ListBullet"/>
            </w:pPr>
            <w:r w:rsidRPr="004A7465">
              <w:t>report problems outside area of responsibility to designated person</w:t>
            </w:r>
          </w:p>
          <w:p w:rsidR="00000000" w:rsidRPr="004A7465" w:rsidP="004A7465">
            <w:pPr>
              <w:pStyle w:val="BodyText"/>
            </w:pPr>
          </w:p>
          <w:p w:rsidR="00000000" w:rsidRPr="004A7465" w:rsidP="004A7465">
            <w:pPr>
              <w:pStyle w:val="BodyText"/>
            </w:pPr>
            <w:r w:rsidRPr="004A7465">
              <w:t>Operational knowledge includes one or more of the following:</w:t>
            </w:r>
          </w:p>
          <w:p w:rsidR="00000000" w:rsidRPr="004A7465" w:rsidP="004A7465">
            <w:pPr>
              <w:pStyle w:val="ListBullet"/>
            </w:pPr>
            <w:r w:rsidRPr="004A7465">
              <w:t>procedures</w:t>
            </w:r>
          </w:p>
          <w:p w:rsidR="00000000" w:rsidRPr="004A7465" w:rsidP="004A7465">
            <w:pPr>
              <w:pStyle w:val="ListBullet"/>
            </w:pPr>
            <w:r w:rsidRPr="004A7465">
              <w:t>training</w:t>
            </w:r>
          </w:p>
          <w:p w:rsidR="00000000" w:rsidRPr="004A7465" w:rsidP="004A7465">
            <w:pPr>
              <w:pStyle w:val="ListBullet"/>
            </w:pPr>
            <w:r w:rsidRPr="004A7465">
              <w:t>technical information, such as journal</w:t>
            </w:r>
            <w:r w:rsidRPr="004A7465">
              <w:t>s and engineering specifications</w:t>
            </w:r>
          </w:p>
          <w:p w:rsidR="00000000" w:rsidRPr="004A7465" w:rsidP="004A7465">
            <w:pPr>
              <w:pStyle w:val="ListBullet"/>
            </w:pPr>
            <w:r w:rsidRPr="004A7465">
              <w:t>remembered experience</w:t>
            </w:r>
          </w:p>
          <w:p w:rsidR="00000000" w:rsidRPr="004A7465" w:rsidP="004A7465">
            <w:pPr>
              <w:pStyle w:val="ListBullet"/>
            </w:pPr>
            <w:r w:rsidRPr="004A7465">
              <w:t>relevant knowledge obtained from appropriate people</w:t>
            </w:r>
          </w:p>
          <w:p w:rsidR="00000000" w:rsidP="004A7465">
            <w:pPr>
              <w:pStyle w:val="BodyText"/>
              <w:rPr>
                <w:lang w:val="en-NZ"/>
              </w:rPr>
            </w:pPr>
          </w:p>
        </w:tc>
      </w:tr>
      <w:tr w:rsidTr="009227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65" w:rsidP="004A7465">
            <w:pPr>
              <w:pStyle w:val="BodyText"/>
            </w:pPr>
            <w:r w:rsidRPr="004A7465">
              <w:t>All operations must be performed in accordance with relevant procedures.</w:t>
            </w:r>
          </w:p>
          <w:p w:rsidR="00000000" w:rsidRPr="004A7465" w:rsidP="004A7465">
            <w:pPr>
              <w:pStyle w:val="BodyText"/>
            </w:pPr>
          </w:p>
          <w:p w:rsidR="00000000" w:rsidRPr="004A7465" w:rsidP="004A7465">
            <w:pPr>
              <w:pStyle w:val="BodyText"/>
            </w:pPr>
            <w:r w:rsidRPr="004A7465">
              <w:t>Procedures are written, verbal, visual, computer-based or in some other form, include one or more of the following:</w:t>
            </w:r>
          </w:p>
          <w:p w:rsidR="00000000" w:rsidRPr="004A7465" w:rsidP="004A7465">
            <w:pPr>
              <w:pStyle w:val="ListBullet"/>
            </w:pPr>
            <w:r w:rsidRPr="004A7465">
              <w:t>emergency procedures</w:t>
            </w:r>
          </w:p>
          <w:p w:rsidR="00000000" w:rsidRPr="004A7465" w:rsidP="004A7465">
            <w:pPr>
              <w:pStyle w:val="ListBullet"/>
            </w:pPr>
            <w:r w:rsidRPr="004A7465">
              <w:t>work instructions</w:t>
            </w:r>
          </w:p>
          <w:p w:rsidR="00000000" w:rsidRPr="004A7465" w:rsidP="004A7465">
            <w:pPr>
              <w:pStyle w:val="ListBullet"/>
            </w:pPr>
            <w:r w:rsidRPr="004A7465">
              <w:t>standard operating procedures (SOPs)</w:t>
            </w:r>
          </w:p>
          <w:p w:rsidR="00000000" w:rsidRPr="004A7465" w:rsidP="004A7465">
            <w:pPr>
              <w:pStyle w:val="ListBullet"/>
            </w:pPr>
            <w:r w:rsidRPr="004A7465">
              <w:t>safe work method statements (SWMS)</w:t>
            </w:r>
          </w:p>
          <w:p w:rsidR="00000000" w:rsidRPr="004A7465" w:rsidP="004A7465">
            <w:pPr>
              <w:pStyle w:val="ListBullet"/>
            </w:pPr>
            <w:r w:rsidRPr="004A7465">
              <w:t>formulas/recipes</w:t>
            </w:r>
          </w:p>
          <w:p w:rsidR="00000000" w:rsidRPr="004A7465" w:rsidP="004A7465">
            <w:pPr>
              <w:pStyle w:val="ListBullet"/>
            </w:pPr>
            <w:r w:rsidRPr="004A7465">
              <w:t>batch sheet</w:t>
            </w:r>
            <w:r w:rsidRPr="004A7465">
              <w:t>s</w:t>
            </w:r>
          </w:p>
          <w:p w:rsidR="00000000" w:rsidRPr="004A7465" w:rsidP="004A7465">
            <w:pPr>
              <w:pStyle w:val="ListBullet"/>
            </w:pPr>
            <w:r w:rsidRPr="004A7465">
              <w:t>temporary instructions</w:t>
            </w:r>
          </w:p>
          <w:p w:rsidR="00000000" w:rsidRPr="004A7465" w:rsidP="004A7465">
            <w:pPr>
              <w:pStyle w:val="ListBullet"/>
            </w:pPr>
            <w:r w:rsidRPr="004A7465">
              <w:t>any similar instructions provided for the smooth running of the plant</w:t>
            </w:r>
          </w:p>
          <w:p w:rsidR="00000000" w:rsidP="004A7465">
            <w:pPr>
              <w:pStyle w:val="BodyText"/>
              <w:rPr>
                <w:lang w:val="en-NZ"/>
              </w:rPr>
            </w:pPr>
          </w:p>
        </w:tc>
      </w:tr>
      <w:tr w:rsidTr="009227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465">
            <w:pPr>
              <w:pStyle w:val="BodyText"/>
              <w:rPr>
                <w:lang w:val="en-NZ"/>
              </w:rPr>
            </w:pPr>
            <w:r w:rsidRPr="004A7465">
              <w:rPr>
                <w:rStyle w:val="SpecialBold"/>
              </w:rPr>
              <w:t>Product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465" w:rsidP="004A7465">
            <w:pPr>
              <w:pStyle w:val="BodyText"/>
            </w:pPr>
            <w:r w:rsidRPr="004A7465">
              <w:t>Product includes anything produced by a process step and so includes:</w:t>
            </w:r>
          </w:p>
          <w:p w:rsidR="00000000" w:rsidRPr="004A7465" w:rsidP="004A7465">
            <w:pPr>
              <w:pStyle w:val="ListBullet"/>
            </w:pPr>
            <w:r w:rsidRPr="004A7465">
              <w:t>intermediate products, such as the product from one process step, which then becomes the feed for another</w:t>
            </w:r>
          </w:p>
        </w:tc>
      </w:tr>
    </w:tbl>
    <w:p w:rsidR="00000000" w:rsidRPr="004A7465" w:rsidP="004A7465">
      <w:pPr>
        <w:pStyle w:val="BodyText"/>
      </w:pPr>
    </w:p>
    <w:p w:rsidR="00000000" w:rsidRPr="004A7465" w:rsidP="004A7465">
      <w:pPr>
        <w:pStyle w:val="AllowPageBreak"/>
      </w:pPr>
    </w:p>
    <w:p w:rsidR="00000000" w:rsidRPr="004A7465" w:rsidP="004A7465">
      <w:pPr>
        <w:pStyle w:val="Heading1"/>
      </w:pPr>
      <w:bookmarkStart w:id="9" w:name="O_908355"/>
      <w:bookmarkEnd w:id="9"/>
      <w:r w:rsidRPr="004A7465">
        <w:t>Unit Mapping Information</w:t>
      </w:r>
    </w:p>
    <w:p w:rsidR="00000000" w:rsidRPr="004A7465" w:rsidP="00922791">
      <w:pPr>
        <w:pStyle w:val="BodyText"/>
      </w:pPr>
      <w:r w:rsidRPr="004A7465">
        <w:t>Release 1. Supersedes and is equivalent to PMAOPS450B Solve colour problems</w:t>
      </w:r>
    </w:p>
    <w:p w:rsidR="00000000" w:rsidRPr="004A7465" w:rsidP="004A7465">
      <w:pPr>
        <w:pStyle w:val="Heading1"/>
      </w:pPr>
      <w:bookmarkStart w:id="10" w:name="O_908348"/>
      <w:bookmarkEnd w:id="10"/>
      <w:r w:rsidRPr="004A7465">
        <w:t>Links</w:t>
      </w:r>
    </w:p>
    <w:p w:rsidR="00000000" w:rsidRPr="004A7465" w:rsidP="00922791">
      <w:pPr>
        <w:pStyle w:val="BodyText"/>
      </w:pPr>
      <w:r w:rsidRPr="004A7465">
        <w:t>Compani</w:t>
      </w:r>
      <w:r w:rsidRPr="004A7465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1156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A7465" w:rsidP="00922791">
      <w:pPr>
        <w:pStyle w:val="BodyText"/>
        <w:sectPr w:rsidSect="004A74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7465" w:rsidP="004A7465">
      <w:pPr>
        <w:pStyle w:val="SuperHeading"/>
      </w:pPr>
      <w:r w:rsidRPr="004A7465">
        <w:t>Assessment Requirements for PMAOPS450 Solve colour problems</w:t>
      </w:r>
    </w:p>
    <w:p w:rsidR="00000000" w:rsidRPr="004A7465" w:rsidP="004A7465">
      <w:pPr>
        <w:pStyle w:val="Heading1"/>
      </w:pPr>
      <w:bookmarkStart w:id="11" w:name="O_908350"/>
      <w:bookmarkEnd w:id="11"/>
      <w:r w:rsidRPr="004A7465">
        <w:t>Modification History</w:t>
      </w:r>
    </w:p>
    <w:p w:rsidR="00000000" w:rsidRPr="004A7465" w:rsidP="00922791">
      <w:pPr>
        <w:pStyle w:val="BodyText"/>
      </w:pPr>
      <w:r w:rsidRPr="004A7465">
        <w:t>Release 1. Supersedes and is equivalent to PMAOPS450B Solve colour problems</w:t>
      </w:r>
    </w:p>
    <w:p w:rsidR="00000000" w:rsidRPr="004A7465" w:rsidP="004A7465">
      <w:pPr>
        <w:pStyle w:val="Heading1"/>
      </w:pPr>
      <w:bookmarkStart w:id="12" w:name="O_908353"/>
      <w:bookmarkEnd w:id="12"/>
      <w:r w:rsidRPr="004A7465">
        <w:t>Performance Evidence</w:t>
      </w:r>
    </w:p>
    <w:p w:rsidR="00000000" w:rsidRPr="004A7465" w:rsidP="00922791">
      <w:pPr>
        <w:pStyle w:val="BodyText"/>
      </w:pPr>
      <w:r w:rsidRPr="004A7465">
        <w:t>Evidence required to demonstrate competence in this unit must be relevant to and satisfy the requirements of the elements and performance criteria, and include the ability to:</w:t>
      </w:r>
    </w:p>
    <w:p w:rsidR="00000000" w:rsidRPr="004A7465" w:rsidP="004A7465">
      <w:pPr>
        <w:pStyle w:val="ListBullet"/>
      </w:pPr>
      <w:r w:rsidRPr="004A7465">
        <w:t>communicate effectively with internal and external customers to obtain all rele</w:t>
      </w:r>
      <w:r w:rsidRPr="004A7465">
        <w:t>vant information and negotiate a solution</w:t>
      </w:r>
    </w:p>
    <w:p w:rsidR="00000000" w:rsidRPr="004A7465" w:rsidP="004A7465">
      <w:pPr>
        <w:pStyle w:val="ListBullet"/>
      </w:pPr>
      <w:r w:rsidRPr="004A7465">
        <w:t>isolate the causes of problems and distinguish between causes of colour variations, including:</w:t>
      </w:r>
    </w:p>
    <w:p w:rsidR="00000000" w:rsidRPr="004A7465" w:rsidP="004A7465">
      <w:pPr>
        <w:pStyle w:val="ListBullet2"/>
      </w:pPr>
      <w:r w:rsidRPr="004A7465">
        <w:t>materials errors</w:t>
      </w:r>
    </w:p>
    <w:p w:rsidR="00000000" w:rsidRPr="004A7465" w:rsidP="004A7465">
      <w:pPr>
        <w:pStyle w:val="ListBullet2"/>
      </w:pPr>
      <w:r w:rsidRPr="004A7465">
        <w:t>processing errors</w:t>
      </w:r>
    </w:p>
    <w:p w:rsidR="00000000" w:rsidRPr="004A7465" w:rsidP="004A7465">
      <w:pPr>
        <w:pStyle w:val="ListBullet2"/>
      </w:pPr>
      <w:r w:rsidRPr="004A7465">
        <w:t>faulty surface preparation/application</w:t>
      </w:r>
    </w:p>
    <w:p w:rsidR="00000000" w:rsidRPr="004A7465" w:rsidP="004A7465">
      <w:pPr>
        <w:pStyle w:val="ListBullet"/>
      </w:pPr>
      <w:r w:rsidRPr="004A7465">
        <w:t xml:space="preserve">discriminate differences in hue, value and chroma (or colour/tone, lightness/shade and saturation) </w:t>
      </w:r>
    </w:p>
    <w:p w:rsidR="00000000" w:rsidRPr="004A7465" w:rsidP="004A7465">
      <w:pPr>
        <w:pStyle w:val="ListBullet"/>
      </w:pPr>
      <w:r w:rsidRPr="004A7465">
        <w:t xml:space="preserve">recognise colourant addition and colourant dispersion differences </w:t>
      </w:r>
    </w:p>
    <w:p w:rsidR="00000000" w:rsidRPr="004A7465" w:rsidP="004A7465">
      <w:pPr>
        <w:pStyle w:val="ListBullet"/>
      </w:pPr>
      <w:r w:rsidRPr="004A7465">
        <w:t>make judgements based on:</w:t>
      </w:r>
    </w:p>
    <w:p w:rsidR="00000000" w:rsidRPr="004A7465" w:rsidP="004A7465">
      <w:pPr>
        <w:pStyle w:val="ListBullet2"/>
      </w:pPr>
      <w:r w:rsidRPr="004A7465">
        <w:t>perceptibility</w:t>
      </w:r>
    </w:p>
    <w:p w:rsidR="00000000" w:rsidRPr="004A7465" w:rsidP="004A7465">
      <w:pPr>
        <w:pStyle w:val="ListBullet2"/>
      </w:pPr>
      <w:r w:rsidRPr="004A7465">
        <w:t>acceptability/tolerance</w:t>
      </w:r>
    </w:p>
    <w:p w:rsidR="00000000" w:rsidRPr="004A7465" w:rsidP="004A7465">
      <w:pPr>
        <w:pStyle w:val="ListBullet2"/>
      </w:pPr>
      <w:r w:rsidRPr="004A7465">
        <w:t>grade 1, 2 or 3 match a</w:t>
      </w:r>
      <w:r w:rsidRPr="004A7465">
        <w:t>s required by specification.</w:t>
      </w:r>
    </w:p>
    <w:p w:rsidR="00000000" w:rsidRPr="004A7465" w:rsidP="004A7465">
      <w:pPr>
        <w:pStyle w:val="AllowPageBreak"/>
      </w:pPr>
    </w:p>
    <w:p w:rsidR="00000000" w:rsidRPr="004A7465" w:rsidP="004A7465">
      <w:pPr>
        <w:pStyle w:val="Heading1"/>
      </w:pPr>
      <w:bookmarkStart w:id="13" w:name="O_908352"/>
      <w:bookmarkEnd w:id="13"/>
      <w:r w:rsidRPr="004A7465">
        <w:t>Knowledge Evidence</w:t>
      </w:r>
    </w:p>
    <w:p w:rsidR="00000000" w:rsidRPr="004A7465" w:rsidP="00922791">
      <w:pPr>
        <w:pStyle w:val="BodyText"/>
      </w:pPr>
      <w:r w:rsidRPr="004A7465">
        <w:t>Evidence must be provided that demonstrates knowledge of:</w:t>
      </w:r>
    </w:p>
    <w:p w:rsidR="00000000" w:rsidRPr="004A7465" w:rsidP="004A7465">
      <w:pPr>
        <w:pStyle w:val="ListBullet"/>
      </w:pPr>
      <w:r w:rsidRPr="004A7465">
        <w:t>colour and the interaction of colour components during processing and in application</w:t>
      </w:r>
    </w:p>
    <w:p w:rsidR="00000000" w:rsidRPr="004A7465" w:rsidP="004A7465">
      <w:pPr>
        <w:pStyle w:val="ListBullet"/>
      </w:pPr>
      <w:r w:rsidRPr="004A7465">
        <w:t xml:space="preserve">impact of weathering/aging on </w:t>
      </w:r>
      <w:r w:rsidRPr="004A7465">
        <w:t xml:space="preserve">colour as appropriate to the product </w:t>
      </w:r>
    </w:p>
    <w:p w:rsidR="00000000" w:rsidRPr="004A7465" w:rsidP="004A7465">
      <w:pPr>
        <w:pStyle w:val="ListBullet"/>
      </w:pPr>
      <w:r w:rsidRPr="004A7465">
        <w:t>causes and remedies of common colour problems</w:t>
      </w:r>
    </w:p>
    <w:p w:rsidR="00000000" w:rsidRPr="004A7465" w:rsidP="004A7465">
      <w:pPr>
        <w:pStyle w:val="ListBullet"/>
      </w:pPr>
      <w:r w:rsidRPr="004A7465">
        <w:t>communication and negotiation techniques.</w:t>
      </w:r>
    </w:p>
    <w:p w:rsidR="00000000" w:rsidRPr="004A7465" w:rsidP="004A7465">
      <w:pPr>
        <w:pStyle w:val="AllowPageBreak"/>
      </w:pPr>
    </w:p>
    <w:p w:rsidR="00000000" w:rsidRPr="004A7465" w:rsidP="004A7465">
      <w:pPr>
        <w:pStyle w:val="Heading1"/>
      </w:pPr>
      <w:bookmarkStart w:id="14" w:name="O_908351"/>
      <w:bookmarkEnd w:id="14"/>
      <w:r w:rsidRPr="004A7465">
        <w:t>Assessment Conditions</w:t>
      </w:r>
    </w:p>
    <w:p w:rsidR="00000000" w:rsidRPr="004A7465" w:rsidP="004A7465">
      <w:pPr>
        <w:pStyle w:val="ListBullet"/>
      </w:pPr>
      <w:r w:rsidRPr="004A7465">
        <w:t>The unit should be assessed holistically and the judgement of competence based on a holist</w:t>
      </w:r>
      <w:r w:rsidRPr="004A7465">
        <w:t>ic assessment of the evidence.</w:t>
      </w:r>
    </w:p>
    <w:p w:rsidR="00000000" w:rsidRPr="004A7465" w:rsidP="004A7465">
      <w:pPr>
        <w:pStyle w:val="ListBullet"/>
      </w:pPr>
      <w:r w:rsidRPr="004A7465">
        <w:t>The collection of performance evidence:</w:t>
      </w:r>
    </w:p>
    <w:p w:rsidR="00000000" w:rsidRPr="004A7465" w:rsidP="004A7465">
      <w:pPr>
        <w:pStyle w:val="ListBullet2"/>
      </w:pPr>
      <w:r w:rsidRPr="004A7465">
        <w:t xml:space="preserve">should occur over a range of situations which include typical disruptions to normal, smooth operations </w:t>
      </w:r>
    </w:p>
    <w:p w:rsidR="00000000" w:rsidRPr="004A7465" w:rsidP="004A7465">
      <w:pPr>
        <w:pStyle w:val="ListBullet2"/>
      </w:pPr>
      <w:r w:rsidRPr="004A7465">
        <w:t>will typically include a supervisor/third-party report focusing on consistent pe</w:t>
      </w:r>
      <w:r w:rsidRPr="004A7465">
        <w:t>rformance and problem recognition and solving. A supervisor/third-party report must be prepared by someone who has a direct, relevant, current relationship with the person being assessed and who is in a position to form a judgement on workplace performance</w:t>
      </w:r>
      <w:r w:rsidRPr="004A7465">
        <w:t xml:space="preserve"> relevant to the unit of competency </w:t>
      </w:r>
    </w:p>
    <w:p w:rsidR="00000000" w:rsidRPr="004A7465" w:rsidP="004A7465">
      <w:pPr>
        <w:pStyle w:val="ListBullet2"/>
      </w:pPr>
      <w:r w:rsidRPr="004A7465">
        <w:t xml:space="preserve">must include the use of products which may have colour problems </w:t>
      </w:r>
    </w:p>
    <w:p w:rsidR="00000000" w:rsidRPr="004A7465" w:rsidP="004A7465">
      <w:pPr>
        <w:pStyle w:val="ListBullet2"/>
      </w:pPr>
      <w:r w:rsidRPr="004A7465">
        <w:t>may use industry-based simulation for all or part of the unit particularly where safety, lack of opportunity or significant cost is an issue.</w:t>
      </w:r>
    </w:p>
    <w:p w:rsidR="00000000" w:rsidRPr="004A7465" w:rsidP="004A7465">
      <w:pPr>
        <w:pStyle w:val="ListBullet"/>
      </w:pPr>
      <w:r w:rsidRPr="004A7465">
        <w:t xml:space="preserve">Assessment </w:t>
      </w:r>
      <w:r w:rsidRPr="004A7465">
        <w:t>should occur in operational workplace situations. Where this is not possible, or where personal safety or environmental damage are limiting factors, assessment must occur in a sufficiently rigorous simulated environment reflecting realistic operational wor</w:t>
      </w:r>
      <w:r w:rsidRPr="004A7465">
        <w:t xml:space="preserve">kplace conditions. This must cover all aspects of </w:t>
      </w:r>
      <w:r w:rsidRPr="004A7465">
        <w:t xml:space="preserve">workplace performance, including environment, task skills, task management skills, contingency management skills and job role environment skills. </w:t>
      </w:r>
    </w:p>
    <w:p w:rsidR="00000000" w:rsidRPr="004A7465" w:rsidP="004A7465">
      <w:pPr>
        <w:pStyle w:val="ListBullet"/>
      </w:pPr>
      <w:r w:rsidRPr="004A7465">
        <w:t>Assessment in a simulated environment should use evidence c</w:t>
      </w:r>
      <w:r w:rsidRPr="004A7465">
        <w:t xml:space="preserve">ollected from one or more of: </w:t>
      </w:r>
    </w:p>
    <w:p w:rsidR="00000000" w:rsidRPr="004A7465" w:rsidP="004A7465">
      <w:pPr>
        <w:pStyle w:val="ListBullet2"/>
      </w:pPr>
      <w:r w:rsidRPr="004A7465">
        <w:t>walk-throughs</w:t>
      </w:r>
    </w:p>
    <w:p w:rsidR="00000000" w:rsidRPr="004A7465" w:rsidP="004A7465">
      <w:pPr>
        <w:pStyle w:val="ListBullet2"/>
      </w:pPr>
      <w:r w:rsidRPr="004A7465">
        <w:t xml:space="preserve">pilot plant operation </w:t>
      </w:r>
    </w:p>
    <w:p w:rsidR="00000000" w:rsidRPr="004A7465" w:rsidP="004A7465">
      <w:pPr>
        <w:pStyle w:val="ListBullet2"/>
      </w:pPr>
      <w:r w:rsidRPr="004A7465">
        <w:t xml:space="preserve">demonstration of skills </w:t>
      </w:r>
    </w:p>
    <w:p w:rsidR="00000000" w:rsidRPr="004A7465" w:rsidP="004A7465">
      <w:pPr>
        <w:pStyle w:val="ListBullet2"/>
      </w:pPr>
      <w:r w:rsidRPr="004A7465">
        <w:t xml:space="preserve">industry-based case studies/scenarios </w:t>
      </w:r>
    </w:p>
    <w:p w:rsidR="00000000" w:rsidRPr="004A7465" w:rsidP="004A7465">
      <w:pPr>
        <w:pStyle w:val="ListBullet2"/>
      </w:pPr>
      <w:r w:rsidRPr="004A7465">
        <w:t>‘what ifs’.</w:t>
      </w:r>
    </w:p>
    <w:p w:rsidR="00000000" w:rsidRPr="004A7465" w:rsidP="004A7465">
      <w:pPr>
        <w:pStyle w:val="ListBullet"/>
      </w:pPr>
      <w:r w:rsidRPr="004A7465">
        <w:t xml:space="preserve">Knowledge evidence may be collected concurrently with performance evidence (provided a record is kept) </w:t>
      </w:r>
      <w:r w:rsidRPr="004A7465">
        <w:t>or through an independent process, such as workbooks, written assessments or interviews (provided a record is kept).</w:t>
      </w:r>
    </w:p>
    <w:p w:rsidR="00000000" w:rsidRPr="004A7465" w:rsidP="004A7465">
      <w:pPr>
        <w:pStyle w:val="ListBullet"/>
      </w:pPr>
      <w:r w:rsidRPr="004A7465">
        <w:t>Assessment processes and techniques must be appropriate to the language, literacy and numeracy requirements of the work being performed and</w:t>
      </w:r>
      <w:r w:rsidRPr="004A7465">
        <w:t xml:space="preserve"> the needs of the candidate.</w:t>
      </w:r>
    </w:p>
    <w:p w:rsidR="00000000" w:rsidRPr="004A7465" w:rsidP="004A7465">
      <w:pPr>
        <w:pStyle w:val="ListBullet"/>
      </w:pPr>
      <w:r w:rsidRPr="004A746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A7465" w:rsidP="004A7465">
      <w:pPr>
        <w:pStyle w:val="ListBullet"/>
      </w:pPr>
      <w:r w:rsidRPr="004A7465">
        <w:t>The regul</w:t>
      </w:r>
      <w:r w:rsidRPr="004A7465">
        <w:t>atory framework will be reflected in workplace policies and procedures and is not required to be independently assessed.</w:t>
      </w:r>
    </w:p>
    <w:p w:rsidR="00000000" w:rsidRPr="004A7465" w:rsidP="004A7465">
      <w:pPr>
        <w:pStyle w:val="ListBullet"/>
      </w:pPr>
      <w:r w:rsidRPr="004A7465">
        <w:t>Foundation skills are integral to competent performance of the unit and should not be assessed separately.</w:t>
      </w:r>
    </w:p>
    <w:p w:rsidR="00000000" w:rsidRPr="004A7465" w:rsidP="004A7465">
      <w:pPr>
        <w:pStyle w:val="ListBullet"/>
      </w:pPr>
      <w:r w:rsidRPr="004A7465">
        <w:t>Assessors must satisfy the a</w:t>
      </w:r>
      <w:r w:rsidRPr="004A7465">
        <w:t>ssessor competency requirements that are in place at the time of the assessment as set by the VET regulator.</w:t>
      </w:r>
    </w:p>
    <w:p w:rsidR="00000000" w:rsidRPr="004A7465" w:rsidP="004A7465">
      <w:pPr>
        <w:pStyle w:val="ListBullet"/>
      </w:pPr>
      <w:r w:rsidRPr="004A7465">
        <w:t xml:space="preserve">In addition, the assessor or anyone acting in subject matter expert role in assessment must demonstrate both technical competency and currency. If </w:t>
      </w:r>
      <w:r w:rsidRPr="004A7465">
        <w:t xml:space="preserve">the assessor cannot demonstrate technical competency and currency they must assess with a subject matter expert who does meet these requirements. </w:t>
      </w:r>
    </w:p>
    <w:p w:rsidR="00000000" w:rsidRPr="004A7465" w:rsidP="004A7465">
      <w:pPr>
        <w:pStyle w:val="ListBullet"/>
      </w:pPr>
      <w:r w:rsidRPr="004A7465">
        <w:t>Technical competence can be demonstrated through one or more of:</w:t>
      </w:r>
    </w:p>
    <w:p w:rsidR="00000000" w:rsidRPr="004A7465" w:rsidP="004A7465">
      <w:pPr>
        <w:pStyle w:val="ListBullet2"/>
      </w:pPr>
      <w:r w:rsidRPr="004A7465">
        <w:t xml:space="preserve">relevant VET or other qualification/Statement of Attainment </w:t>
      </w:r>
    </w:p>
    <w:p w:rsidR="00000000" w:rsidRPr="004A7465" w:rsidP="004A7465">
      <w:pPr>
        <w:pStyle w:val="ListBullet2"/>
      </w:pPr>
      <w:r w:rsidRPr="004A7465">
        <w:t xml:space="preserve">appropriate workplace experience undertaking the type of work being assessed under routine and non-routine conditions </w:t>
      </w:r>
    </w:p>
    <w:p w:rsidR="00000000" w:rsidRPr="004A7465" w:rsidP="004A7465">
      <w:pPr>
        <w:pStyle w:val="ListBullet2"/>
      </w:pPr>
      <w:r w:rsidRPr="004A7465">
        <w:t>appropriate workplace experience supervising/evaluating the type of work bei</w:t>
      </w:r>
      <w:r w:rsidRPr="004A7465">
        <w:t>ng assessed under routine and non-routine conditions</w:t>
      </w:r>
    </w:p>
    <w:p w:rsidR="00000000" w:rsidRPr="004A7465" w:rsidP="004A7465">
      <w:pPr>
        <w:pStyle w:val="ListBullet"/>
      </w:pPr>
      <w:r w:rsidRPr="004A7465">
        <w:t>Currency can be demonstrated through one or more of:</w:t>
      </w:r>
    </w:p>
    <w:p w:rsidR="00000000" w:rsidRPr="004A7465" w:rsidP="004A7465">
      <w:pPr>
        <w:pStyle w:val="ListBullet2"/>
      </w:pPr>
      <w:r w:rsidRPr="004A7465">
        <w:t xml:space="preserve">being currently employed undertaking the type of work being assessed </w:t>
      </w:r>
    </w:p>
    <w:p w:rsidR="00000000" w:rsidRPr="004A7465" w:rsidP="004A7465">
      <w:pPr>
        <w:pStyle w:val="ListBullet2"/>
      </w:pPr>
      <w:r w:rsidRPr="004A7465">
        <w:t>being employed by the organisation undertaking the type of work being assessed</w:t>
      </w:r>
      <w:r w:rsidRPr="004A7465">
        <w:t xml:space="preserve"> and having maintained currency in accordance with that organisation’s policies and procedures </w:t>
      </w:r>
    </w:p>
    <w:p w:rsidR="00000000" w:rsidRPr="004A7465" w:rsidP="004A7465">
      <w:pPr>
        <w:pStyle w:val="ListBullet2"/>
      </w:pPr>
      <w:r w:rsidRPr="004A7465">
        <w:t>having consulted/had contact with an organisation undertaking the type of work being assessed within the last twelve months, the consultation/contact being rela</w:t>
      </w:r>
      <w:r w:rsidRPr="004A7465">
        <w:t xml:space="preserve">ted to assessment </w:t>
      </w:r>
    </w:p>
    <w:p w:rsidR="00000000" w:rsidRPr="004A7465" w:rsidP="004A7465">
      <w:pPr>
        <w:pStyle w:val="ListBullet2"/>
      </w:pPr>
      <w:r w:rsidRPr="004A7465">
        <w:t xml:space="preserve">conducting on-the-job training/assessments of the type of work being assessed </w:t>
      </w:r>
    </w:p>
    <w:p w:rsidR="00000000" w:rsidRPr="004A7465" w:rsidP="004A7465">
      <w:pPr>
        <w:pStyle w:val="ListBullet2"/>
      </w:pPr>
      <w:r w:rsidRPr="004A7465">
        <w:t>being an active member of a relevant professional body and participating in activities relevant to the assessment of this type of work.</w:t>
      </w:r>
    </w:p>
    <w:p w:rsidR="00000000" w:rsidRPr="004A7465" w:rsidP="004A7465">
      <w:pPr>
        <w:pStyle w:val="AllowPageBreak"/>
      </w:pPr>
    </w:p>
    <w:p w:rsidR="00000000" w:rsidRPr="004A7465" w:rsidP="004A7465">
      <w:pPr>
        <w:pStyle w:val="Heading1"/>
      </w:pPr>
      <w:bookmarkStart w:id="15" w:name="O_908349"/>
      <w:bookmarkEnd w:id="15"/>
      <w:r w:rsidRPr="004A7465">
        <w:t>Links</w:t>
      </w:r>
    </w:p>
    <w:p w:rsidR="00000000" w:rsidRPr="004A7465" w:rsidP="00922791">
      <w:pPr>
        <w:pStyle w:val="BodyText"/>
      </w:pPr>
      <w:r w:rsidRPr="004A74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1156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A7465" w:rsidP="004A7465"/>
    <w:sectPr w:rsidSect="004A74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65" w:rsidRPr="00922791" w:rsidP="009227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791" w:rsidP="004A74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2791" w:rsidP="004A74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22791" w:rsidP="004A74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65" w:rsidP="004A74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2791">
      <w:t>Approved</w:t>
    </w:r>
    <w:r w:rsidR="009227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27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2791">
      <w:rPr>
        <w:noProof/>
      </w:rPr>
      <w:t>5</w:t>
    </w:r>
    <w:r>
      <w:rPr>
        <w:noProof/>
      </w:rPr>
      <w:fldChar w:fldCharType="end"/>
    </w:r>
  </w:p>
  <w:p w:rsidR="004A7465" w:rsidP="004A74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27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2791">
      <w:t>Manufacturing Industry Skills Alliance</w:t>
    </w:r>
    <w:r w:rsidR="00922791">
      <w:fldChar w:fldCharType="end"/>
    </w:r>
  </w:p>
  <w:p w:rsidR="004A7465" w:rsidP="004A74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7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465" w:rsidRPr="00922791" w:rsidP="009227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791" w:rsidRPr="002D2AF8" w:rsidP="004A74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PMAOPS450 Solve colour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2791" w:rsidP="004A74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65" w:rsidRPr="002D2AF8" w:rsidP="004A74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2791">
      <w:t>PMAOPS450 Solve colour problems</w:t>
    </w:r>
    <w:r w:rsidR="009227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2791">
      <w:rPr>
        <w:noProof/>
      </w:rPr>
      <w:t>2 March 2025</w:t>
    </w:r>
    <w:r>
      <w:fldChar w:fldCharType="end"/>
    </w:r>
  </w:p>
  <w:p w:rsidR="004A7465" w:rsidP="004A74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C89D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60FF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D0AC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4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4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4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4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4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4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4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4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4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4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4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465"/>
  </w:style>
  <w:style w:type="character" w:customStyle="1" w:styleId="Heading1Char">
    <w:name w:val="Heading 1 Char"/>
    <w:basedOn w:val="DefaultParagraphFont"/>
    <w:link w:val="Heading1"/>
    <w:rsid w:val="004A74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4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4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4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465"/>
    <w:rPr>
      <w:b/>
      <w:spacing w:val="0"/>
    </w:rPr>
  </w:style>
  <w:style w:type="paragraph" w:styleId="ListBullet2">
    <w:name w:val="List Bullet 2"/>
    <w:basedOn w:val="List2"/>
    <w:rsid w:val="004A74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74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4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4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4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4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4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4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4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4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4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4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4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4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4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4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4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4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4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4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4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4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74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4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4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4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4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4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4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4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4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465"/>
    <w:rPr>
      <w:i/>
    </w:rPr>
  </w:style>
  <w:style w:type="paragraph" w:styleId="Caption">
    <w:name w:val="caption"/>
    <w:basedOn w:val="BodyText"/>
    <w:next w:val="Normal"/>
    <w:qFormat/>
    <w:rsid w:val="004A74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4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4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465"/>
  </w:style>
  <w:style w:type="paragraph" w:styleId="TableofFigures">
    <w:name w:val="table of figures"/>
    <w:basedOn w:val="Normal"/>
    <w:next w:val="Normal"/>
    <w:semiHidden/>
    <w:rsid w:val="004A74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4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7465"/>
    <w:rPr>
      <w:rFonts w:ascii="Wingdings" w:hAnsi="Wingdings"/>
    </w:rPr>
  </w:style>
  <w:style w:type="paragraph" w:customStyle="1" w:styleId="TableHeading">
    <w:name w:val="Table Heading"/>
    <w:basedOn w:val="HeadingBase"/>
    <w:rsid w:val="004A74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465"/>
    <w:rPr>
      <w:color w:val="0033CC"/>
      <w:u w:val="none"/>
    </w:rPr>
  </w:style>
  <w:style w:type="paragraph" w:customStyle="1" w:styleId="BodyTextRight">
    <w:name w:val="Body Text Right"/>
    <w:basedOn w:val="BodyText"/>
    <w:rsid w:val="004A74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4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4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4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4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4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465"/>
    <w:rPr>
      <w:sz w:val="32"/>
    </w:rPr>
  </w:style>
  <w:style w:type="paragraph" w:customStyle="1" w:styleId="HeadingProcedure">
    <w:name w:val="Heading Procedure"/>
    <w:basedOn w:val="HeadingBase"/>
    <w:next w:val="Normal"/>
    <w:rsid w:val="004A74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465"/>
    <w:pPr>
      <w:spacing w:before="60" w:after="60"/>
    </w:pPr>
  </w:style>
  <w:style w:type="paragraph" w:styleId="ListContinue">
    <w:name w:val="List Continue"/>
    <w:basedOn w:val="List"/>
    <w:rsid w:val="004A7465"/>
    <w:pPr>
      <w:ind w:firstLine="0"/>
    </w:pPr>
  </w:style>
  <w:style w:type="paragraph" w:customStyle="1" w:styleId="ListNote">
    <w:name w:val="List Note"/>
    <w:basedOn w:val="List"/>
    <w:rsid w:val="004A74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4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4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465"/>
    <w:rPr>
      <w:rFonts w:ascii="Courier New" w:hAnsi="Courier New"/>
    </w:rPr>
  </w:style>
  <w:style w:type="paragraph" w:customStyle="1" w:styleId="NoteBullet">
    <w:name w:val="Note Bullet"/>
    <w:basedOn w:val="Note"/>
    <w:rsid w:val="004A74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4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4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4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4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74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4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465"/>
    <w:rPr>
      <w:b/>
      <w:smallCaps/>
    </w:rPr>
  </w:style>
  <w:style w:type="paragraph" w:customStyle="1" w:styleId="TableListNumber">
    <w:name w:val="Table List Number"/>
    <w:basedOn w:val="ListNumber"/>
    <w:rsid w:val="004A74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4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465"/>
    <w:pPr>
      <w:numPr>
        <w:numId w:val="9"/>
      </w:numPr>
    </w:pPr>
  </w:style>
  <w:style w:type="paragraph" w:customStyle="1" w:styleId="ListAlpha2">
    <w:name w:val="List Alpha 2"/>
    <w:basedOn w:val="List2"/>
    <w:rsid w:val="004A7465"/>
    <w:pPr>
      <w:numPr>
        <w:numId w:val="8"/>
      </w:numPr>
    </w:pPr>
  </w:style>
  <w:style w:type="paragraph" w:styleId="List2">
    <w:name w:val="List 2"/>
    <w:basedOn w:val="BodyText"/>
    <w:rsid w:val="004A74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4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4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4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4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4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7465"/>
    <w:pPr>
      <w:numPr>
        <w:numId w:val="4"/>
      </w:numPr>
    </w:pPr>
  </w:style>
  <w:style w:type="paragraph" w:styleId="ListContinue2">
    <w:name w:val="List Continue 2"/>
    <w:basedOn w:val="List2"/>
    <w:rsid w:val="004A7465"/>
    <w:pPr>
      <w:ind w:firstLine="0"/>
    </w:pPr>
  </w:style>
  <w:style w:type="paragraph" w:styleId="ListContinue3">
    <w:name w:val="List Continue 3"/>
    <w:basedOn w:val="List3"/>
    <w:rsid w:val="004A7465"/>
    <w:pPr>
      <w:ind w:left="1021" w:firstLine="0"/>
    </w:pPr>
  </w:style>
  <w:style w:type="paragraph" w:styleId="ListContinue4">
    <w:name w:val="List Continue 4"/>
    <w:basedOn w:val="List4"/>
    <w:rsid w:val="004A7465"/>
    <w:pPr>
      <w:ind w:firstLine="0"/>
    </w:pPr>
  </w:style>
  <w:style w:type="paragraph" w:styleId="ListContinue5">
    <w:name w:val="List Continue 5"/>
    <w:basedOn w:val="List5"/>
    <w:rsid w:val="004A7465"/>
    <w:pPr>
      <w:ind w:firstLine="0"/>
    </w:pPr>
  </w:style>
  <w:style w:type="paragraph" w:styleId="ListNumber3">
    <w:name w:val="List Number 3"/>
    <w:basedOn w:val="List3"/>
    <w:rsid w:val="004A7465"/>
    <w:pPr>
      <w:numPr>
        <w:numId w:val="5"/>
      </w:numPr>
    </w:pPr>
  </w:style>
  <w:style w:type="paragraph" w:styleId="ListNumber4">
    <w:name w:val="List Number 4"/>
    <w:basedOn w:val="List4"/>
    <w:rsid w:val="004A7465"/>
    <w:pPr>
      <w:numPr>
        <w:numId w:val="6"/>
      </w:numPr>
    </w:pPr>
  </w:style>
  <w:style w:type="paragraph" w:styleId="ListNumber5">
    <w:name w:val="List Number 5"/>
    <w:basedOn w:val="List5"/>
    <w:rsid w:val="004A7465"/>
    <w:pPr>
      <w:numPr>
        <w:numId w:val="7"/>
      </w:numPr>
    </w:pPr>
  </w:style>
  <w:style w:type="paragraph" w:styleId="BlockText">
    <w:name w:val="Block Text"/>
    <w:basedOn w:val="Normal"/>
    <w:rsid w:val="004A74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4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465"/>
    <w:rPr>
      <w:sz w:val="16"/>
      <w:vertAlign w:val="superscript"/>
    </w:rPr>
  </w:style>
  <w:style w:type="character" w:customStyle="1" w:styleId="Symbols">
    <w:name w:val="Symbols"/>
    <w:basedOn w:val="DefaultParagraphFont"/>
    <w:rsid w:val="004A7465"/>
    <w:rPr>
      <w:rFonts w:ascii="Symbol" w:hAnsi="Symbol"/>
    </w:rPr>
  </w:style>
  <w:style w:type="character" w:customStyle="1" w:styleId="MenuOptions">
    <w:name w:val="Menu Options"/>
    <w:basedOn w:val="DefaultParagraphFont"/>
    <w:rsid w:val="004A74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465"/>
    <w:rPr>
      <w:b/>
    </w:rPr>
  </w:style>
  <w:style w:type="character" w:customStyle="1" w:styleId="Underlined">
    <w:name w:val="Underlined"/>
    <w:basedOn w:val="DefaultParagraphFont"/>
    <w:rsid w:val="004A7465"/>
    <w:rPr>
      <w:u w:val="single"/>
    </w:rPr>
  </w:style>
  <w:style w:type="paragraph" w:customStyle="1" w:styleId="TableBodyTextRight">
    <w:name w:val="Table Body Text Right"/>
    <w:basedOn w:val="TableBodyText"/>
    <w:rsid w:val="004A74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465"/>
    <w:rPr>
      <w:sz w:val="18"/>
    </w:rPr>
  </w:style>
  <w:style w:type="paragraph" w:customStyle="1" w:styleId="BodySmallRight">
    <w:name w:val="Body Small Right"/>
    <w:basedOn w:val="BodyTextRight"/>
    <w:rsid w:val="004A7465"/>
    <w:rPr>
      <w:sz w:val="18"/>
      <w:szCs w:val="18"/>
    </w:rPr>
  </w:style>
  <w:style w:type="paragraph" w:customStyle="1" w:styleId="MarginEdition">
    <w:name w:val="Margin Edition"/>
    <w:basedOn w:val="MarginNote"/>
    <w:rsid w:val="004A74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465"/>
    <w:rPr>
      <w:sz w:val="2"/>
      <w:szCs w:val="2"/>
    </w:rPr>
  </w:style>
  <w:style w:type="character" w:customStyle="1" w:styleId="Small">
    <w:name w:val="Small"/>
    <w:basedOn w:val="DefaultParagraphFont"/>
    <w:rsid w:val="004A7465"/>
    <w:rPr>
      <w:sz w:val="16"/>
    </w:rPr>
  </w:style>
  <w:style w:type="paragraph" w:customStyle="1" w:styleId="WideTable">
    <w:name w:val="Wide Table"/>
    <w:basedOn w:val="Normal"/>
    <w:rsid w:val="004A74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465"/>
  </w:style>
  <w:style w:type="paragraph" w:styleId="Quote">
    <w:name w:val="Quote"/>
    <w:basedOn w:val="Heading1"/>
    <w:link w:val="QuoteChar"/>
    <w:qFormat/>
    <w:rsid w:val="004A74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4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465"/>
    <w:pPr>
      <w:pageBreakBefore/>
    </w:pPr>
  </w:style>
  <w:style w:type="paragraph" w:customStyle="1" w:styleId="Border">
    <w:name w:val="Border"/>
    <w:basedOn w:val="Normal"/>
    <w:qFormat/>
    <w:rsid w:val="004A74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4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4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4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4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4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4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4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4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465"/>
    <w:rPr>
      <w:u w:val="single"/>
    </w:rPr>
  </w:style>
  <w:style w:type="character" w:customStyle="1" w:styleId="BoldandItalics">
    <w:name w:val="Bold and Italics"/>
    <w:qFormat/>
    <w:rsid w:val="004A7465"/>
    <w:rPr>
      <w:b/>
      <w:i/>
      <w:u w:val="none"/>
    </w:rPr>
  </w:style>
  <w:style w:type="paragraph" w:styleId="BalloonText">
    <w:name w:val="Balloon Text"/>
    <w:basedOn w:val="Normal"/>
    <w:link w:val="BalloonTextChar"/>
    <w:rsid w:val="004A7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4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4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4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4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4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465"/>
    <w:pPr>
      <w:spacing w:before="0" w:after="0"/>
    </w:pPr>
  </w:style>
  <w:style w:type="paragraph" w:customStyle="1" w:styleId="BodyTextBold">
    <w:name w:val="Body Text Bold"/>
    <w:basedOn w:val="BodyText"/>
    <w:qFormat/>
    <w:rsid w:val="004A7465"/>
    <w:rPr>
      <w:b/>
    </w:rPr>
  </w:style>
  <w:style w:type="character" w:styleId="Hyperlink">
    <w:name w:val="Hyperlink"/>
    <w:basedOn w:val="DefaultParagraphFont"/>
    <w:uiPriority w:val="99"/>
    <w:unhideWhenUsed/>
    <w:rsid w:val="009227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1600</Words>
  <Characters>10083</Characters>
  <Application>Microsoft Office Word</Application>
  <DocSecurity>0</DocSecurity>
  <Lines>336</Lines>
  <Paragraphs>212</Paragraphs>
  <ScaleCrop>false</ScaleCrop>
  <Company>Author-it Software Corporation Ltd.</Company>
  <LinksUpToDate>false</LinksUpToDate>
  <CharactersWithSpaces>11471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PMAOPS450 Solve colour problems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