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A91" w:rsidP="00583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PMAOPS450 Solve colour problems</w:t>
      </w:r>
      <w:r>
        <w:fldChar w:fldCharType="end"/>
      </w:r>
    </w:p>
    <w:p w:rsidR="00583A91" w:rsidP="00583A91">
      <w:pPr>
        <w:pStyle w:val="Version"/>
        <w:sectPr w:rsidSect="00221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BDC" w:rsidP="00221BDC">
      <w:pPr>
        <w:pStyle w:val="SuperHeading"/>
      </w:pPr>
      <w:r w:rsidRPr="00221BDC">
        <w:t>Assessment Requirements for PMAOPS450 Solve colour problems</w:t>
      </w:r>
    </w:p>
    <w:p w:rsidR="00000000" w:rsidRPr="00221BDC" w:rsidP="00221BDC">
      <w:pPr>
        <w:pStyle w:val="Heading1"/>
      </w:pPr>
      <w:bookmarkStart w:id="1" w:name="O_908350"/>
      <w:bookmarkEnd w:id="1"/>
      <w:r w:rsidRPr="00221BDC">
        <w:t>Modification History</w:t>
      </w:r>
    </w:p>
    <w:p w:rsidR="00000000" w:rsidRPr="00221BDC" w:rsidP="00583A91">
      <w:pPr>
        <w:pStyle w:val="BodyText"/>
      </w:pPr>
      <w:r w:rsidRPr="00221BDC">
        <w:t>Release 1. Supersedes and is equivalent to PMAOPS450B Solve colour problems</w:t>
      </w:r>
    </w:p>
    <w:p w:rsidR="00000000" w:rsidRPr="00221BDC" w:rsidP="00221BDC">
      <w:pPr>
        <w:pStyle w:val="Heading1"/>
      </w:pPr>
      <w:bookmarkStart w:id="2" w:name="O_908353"/>
      <w:bookmarkEnd w:id="2"/>
      <w:r w:rsidRPr="00221BDC">
        <w:t>Performance Evidence</w:t>
      </w:r>
    </w:p>
    <w:p w:rsidR="00000000" w:rsidRPr="00221BDC" w:rsidP="00583A91">
      <w:pPr>
        <w:pStyle w:val="BodyText"/>
      </w:pPr>
      <w:r w:rsidRPr="00221BDC">
        <w:t>Evidence required to demonstrate competence in this unit must be relevant to and satisfy the requirements</w:t>
      </w:r>
      <w:r w:rsidRPr="00221BDC">
        <w:t xml:space="preserve"> of the elements and performance criteria, and include the ability to:</w:t>
      </w:r>
    </w:p>
    <w:p w:rsidR="00000000" w:rsidRPr="00221BDC" w:rsidP="00221BDC">
      <w:pPr>
        <w:pStyle w:val="ListBullet"/>
      </w:pPr>
      <w:r w:rsidRPr="00221BDC">
        <w:t>communicate effectively with internal and external customers to obtain all relevant information and negotiate a solution</w:t>
      </w:r>
    </w:p>
    <w:p w:rsidR="00000000" w:rsidRPr="00221BDC" w:rsidP="00221BDC">
      <w:pPr>
        <w:pStyle w:val="ListBullet"/>
      </w:pPr>
      <w:r w:rsidRPr="00221BDC">
        <w:t>isolate the causes of problems and distinguish between causes o</w:t>
      </w:r>
      <w:r w:rsidRPr="00221BDC">
        <w:t>f colour variations, including:</w:t>
      </w:r>
    </w:p>
    <w:p w:rsidR="00000000" w:rsidRPr="00221BDC" w:rsidP="00221BDC">
      <w:pPr>
        <w:pStyle w:val="ListBullet2"/>
      </w:pPr>
      <w:r w:rsidRPr="00221BDC">
        <w:t>materials errors</w:t>
      </w:r>
    </w:p>
    <w:p w:rsidR="00000000" w:rsidRPr="00221BDC" w:rsidP="00221BDC">
      <w:pPr>
        <w:pStyle w:val="ListBullet2"/>
      </w:pPr>
      <w:r w:rsidRPr="00221BDC">
        <w:t>processing errors</w:t>
      </w:r>
    </w:p>
    <w:p w:rsidR="00000000" w:rsidRPr="00221BDC" w:rsidP="00221BDC">
      <w:pPr>
        <w:pStyle w:val="ListBullet2"/>
      </w:pPr>
      <w:r w:rsidRPr="00221BDC">
        <w:t>faulty surface preparation/application</w:t>
      </w:r>
    </w:p>
    <w:p w:rsidR="00000000" w:rsidRPr="00221BDC" w:rsidP="00221BDC">
      <w:pPr>
        <w:pStyle w:val="ListBullet"/>
      </w:pPr>
      <w:r w:rsidRPr="00221BDC">
        <w:t xml:space="preserve">discriminate differences in hue, value and chroma (or colour/tone, lightness/shade and saturation) </w:t>
      </w:r>
    </w:p>
    <w:p w:rsidR="00000000" w:rsidRPr="00221BDC" w:rsidP="00221BDC">
      <w:pPr>
        <w:pStyle w:val="ListBullet"/>
      </w:pPr>
      <w:r w:rsidRPr="00221BDC">
        <w:t>recognise colourant addition and colourant dispe</w:t>
      </w:r>
      <w:r w:rsidRPr="00221BDC">
        <w:t xml:space="preserve">rsion differences </w:t>
      </w:r>
    </w:p>
    <w:p w:rsidR="00000000" w:rsidRPr="00221BDC" w:rsidP="00221BDC">
      <w:pPr>
        <w:pStyle w:val="ListBullet"/>
      </w:pPr>
      <w:r w:rsidRPr="00221BDC">
        <w:t>make judgements based on:</w:t>
      </w:r>
    </w:p>
    <w:p w:rsidR="00000000" w:rsidRPr="00221BDC" w:rsidP="00221BDC">
      <w:pPr>
        <w:pStyle w:val="ListBullet2"/>
      </w:pPr>
      <w:r w:rsidRPr="00221BDC">
        <w:t>perceptibility</w:t>
      </w:r>
    </w:p>
    <w:p w:rsidR="00000000" w:rsidRPr="00221BDC" w:rsidP="00221BDC">
      <w:pPr>
        <w:pStyle w:val="ListBullet2"/>
      </w:pPr>
      <w:r w:rsidRPr="00221BDC">
        <w:t>acceptability/tolerance</w:t>
      </w:r>
    </w:p>
    <w:p w:rsidR="00000000" w:rsidRPr="00221BDC" w:rsidP="00221BDC">
      <w:pPr>
        <w:pStyle w:val="ListBullet2"/>
      </w:pPr>
      <w:r w:rsidRPr="00221BDC">
        <w:t>grade 1, 2 or 3 match as required by specification.</w:t>
      </w:r>
    </w:p>
    <w:p w:rsidR="00000000" w:rsidRPr="00221BDC" w:rsidP="00221BDC">
      <w:pPr>
        <w:pStyle w:val="AllowPageBreak"/>
      </w:pPr>
    </w:p>
    <w:p w:rsidR="00000000" w:rsidRPr="00221BDC" w:rsidP="00221BDC">
      <w:pPr>
        <w:pStyle w:val="Heading1"/>
      </w:pPr>
      <w:bookmarkStart w:id="3" w:name="O_908352"/>
      <w:bookmarkEnd w:id="3"/>
      <w:r w:rsidRPr="00221BDC">
        <w:t>Knowledge Evidence</w:t>
      </w:r>
    </w:p>
    <w:p w:rsidR="00000000" w:rsidRPr="00221BDC" w:rsidP="00583A91">
      <w:pPr>
        <w:pStyle w:val="BodyText"/>
      </w:pPr>
      <w:r w:rsidRPr="00221BDC">
        <w:t>Evidence must be provided that demonstrates knowledge of:</w:t>
      </w:r>
    </w:p>
    <w:p w:rsidR="00000000" w:rsidRPr="00221BDC" w:rsidP="00221BDC">
      <w:pPr>
        <w:pStyle w:val="ListBullet"/>
      </w:pPr>
      <w:r w:rsidRPr="00221BDC">
        <w:t>colour and the interacti</w:t>
      </w:r>
      <w:r w:rsidRPr="00221BDC">
        <w:t>on of colour components during processing and in application</w:t>
      </w:r>
    </w:p>
    <w:p w:rsidR="00000000" w:rsidRPr="00221BDC" w:rsidP="00221BDC">
      <w:pPr>
        <w:pStyle w:val="ListBullet"/>
      </w:pPr>
      <w:r w:rsidRPr="00221BDC">
        <w:t xml:space="preserve">impact of weathering/aging on colour as appropriate to the product </w:t>
      </w:r>
    </w:p>
    <w:p w:rsidR="00000000" w:rsidRPr="00221BDC" w:rsidP="00221BDC">
      <w:pPr>
        <w:pStyle w:val="ListBullet"/>
      </w:pPr>
      <w:r w:rsidRPr="00221BDC">
        <w:t>causes and remedies of common colour problems</w:t>
      </w:r>
    </w:p>
    <w:p w:rsidR="00000000" w:rsidRPr="00221BDC" w:rsidP="00221BDC">
      <w:pPr>
        <w:pStyle w:val="ListBullet"/>
      </w:pPr>
      <w:r w:rsidRPr="00221BDC">
        <w:t>communication and negotiation techniques.</w:t>
      </w:r>
    </w:p>
    <w:p w:rsidR="00000000" w:rsidRPr="00221BDC" w:rsidP="00221BDC">
      <w:pPr>
        <w:pStyle w:val="AllowPageBreak"/>
      </w:pPr>
    </w:p>
    <w:p w:rsidR="00000000" w:rsidRPr="00221BDC" w:rsidP="00221BDC">
      <w:pPr>
        <w:pStyle w:val="Heading1"/>
      </w:pPr>
      <w:bookmarkStart w:id="4" w:name="O_908351"/>
      <w:bookmarkEnd w:id="4"/>
      <w:r w:rsidRPr="00221BDC">
        <w:t>Assessment Conditions</w:t>
      </w:r>
    </w:p>
    <w:p w:rsidR="00000000" w:rsidRPr="00221BDC" w:rsidP="00221BDC">
      <w:pPr>
        <w:pStyle w:val="ListBullet"/>
      </w:pPr>
      <w:r w:rsidRPr="00221BDC">
        <w:t>The unit should be assessed holistically and the judgement of competence based on a holistic assessment of the evidence.</w:t>
      </w:r>
    </w:p>
    <w:p w:rsidR="00000000" w:rsidRPr="00221BDC" w:rsidP="00221BDC">
      <w:pPr>
        <w:pStyle w:val="ListBullet"/>
      </w:pPr>
      <w:r w:rsidRPr="00221BDC">
        <w:t>The collection of performance evidence:</w:t>
      </w:r>
    </w:p>
    <w:p w:rsidR="00000000" w:rsidRPr="00221BDC" w:rsidP="00221BDC">
      <w:pPr>
        <w:pStyle w:val="ListBullet2"/>
      </w:pPr>
      <w:r w:rsidRPr="00221BDC">
        <w:t xml:space="preserve">should occur over a range of situations which include typical disruptions to normal, smooth operations </w:t>
      </w:r>
    </w:p>
    <w:p w:rsidR="00000000" w:rsidRPr="00221BDC" w:rsidP="00221BDC">
      <w:pPr>
        <w:pStyle w:val="ListBullet2"/>
      </w:pPr>
      <w:r w:rsidRPr="00221BDC">
        <w:t xml:space="preserve">will typically include a supervisor/third-party report focusing on consistent performance and problem recognition and solving. A supervisor/third-party </w:t>
      </w:r>
      <w:r w:rsidRPr="00221BDC">
        <w:t xml:space="preserve">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221BDC" w:rsidP="00221BDC">
      <w:pPr>
        <w:pStyle w:val="ListBullet2"/>
      </w:pPr>
      <w:r w:rsidRPr="00221BDC">
        <w:t>must include the use of products wh</w:t>
      </w:r>
      <w:r w:rsidRPr="00221BDC">
        <w:t xml:space="preserve">ich may have colour problems </w:t>
      </w:r>
    </w:p>
    <w:p w:rsidR="00000000" w:rsidRPr="00221BDC" w:rsidP="00221BDC">
      <w:pPr>
        <w:pStyle w:val="ListBullet2"/>
      </w:pPr>
      <w:r w:rsidRPr="00221BDC">
        <w:t>may use industry-based simulation for all or part of the unit particularly where safety, lack of opportunity or significant cost is an issue.</w:t>
      </w:r>
    </w:p>
    <w:p w:rsidR="00000000" w:rsidRPr="00221BDC" w:rsidP="00221BDC">
      <w:pPr>
        <w:pStyle w:val="ListBullet"/>
      </w:pPr>
      <w:r w:rsidRPr="00221BDC">
        <w:t>Assessment should occur in operational workplace situations. Where this is not poss</w:t>
      </w:r>
      <w:r w:rsidRPr="00221BDC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221BDC">
        <w:t xml:space="preserve"> including environment, task skills, task management skills, contingency management skills and job role environment skills. </w:t>
      </w:r>
    </w:p>
    <w:p w:rsidR="00000000" w:rsidRPr="00221BDC" w:rsidP="00221BDC">
      <w:pPr>
        <w:pStyle w:val="ListBullet"/>
      </w:pPr>
      <w:r w:rsidRPr="00221BDC">
        <w:t xml:space="preserve">Assessment in a simulated environment should use evidence collected from one or more of: </w:t>
      </w:r>
    </w:p>
    <w:p w:rsidR="00000000" w:rsidRPr="00221BDC" w:rsidP="00221BDC">
      <w:pPr>
        <w:pStyle w:val="ListBullet2"/>
      </w:pPr>
      <w:r w:rsidRPr="00221BDC">
        <w:t>walk-throughs</w:t>
      </w:r>
    </w:p>
    <w:p w:rsidR="00000000" w:rsidRPr="00221BDC" w:rsidP="00221BDC">
      <w:pPr>
        <w:pStyle w:val="ListBullet2"/>
      </w:pPr>
      <w:r w:rsidRPr="00221BDC">
        <w:t xml:space="preserve">pilot plant operation </w:t>
      </w:r>
    </w:p>
    <w:p w:rsidR="00000000" w:rsidRPr="00221BDC" w:rsidP="00221BDC">
      <w:pPr>
        <w:pStyle w:val="ListBullet2"/>
      </w:pPr>
      <w:r w:rsidRPr="00221BDC">
        <w:t>dem</w:t>
      </w:r>
      <w:r w:rsidRPr="00221BDC">
        <w:t xml:space="preserve">onstration of skills </w:t>
      </w:r>
    </w:p>
    <w:p w:rsidR="00000000" w:rsidRPr="00221BDC" w:rsidP="00221BDC">
      <w:pPr>
        <w:pStyle w:val="ListBullet2"/>
      </w:pPr>
      <w:r w:rsidRPr="00221BDC">
        <w:t xml:space="preserve">industry-based case studies/scenarios </w:t>
      </w:r>
    </w:p>
    <w:p w:rsidR="00000000" w:rsidRPr="00221BDC" w:rsidP="00221BDC">
      <w:pPr>
        <w:pStyle w:val="ListBullet2"/>
      </w:pPr>
      <w:r w:rsidRPr="00221BDC">
        <w:t>‘what ifs’.</w:t>
      </w:r>
    </w:p>
    <w:p w:rsidR="00000000" w:rsidRPr="00221BDC" w:rsidP="00221BDC">
      <w:pPr>
        <w:pStyle w:val="ListBullet"/>
      </w:pPr>
      <w:r w:rsidRPr="00221BDC">
        <w:t>Knowledge evidence may be collected concurrently with performance evidence (provided a record is kept) or through an independent process, such as workbooks, written assessments or in</w:t>
      </w:r>
      <w:r w:rsidRPr="00221BDC">
        <w:t>terviews (provided a record is kept).</w:t>
      </w:r>
    </w:p>
    <w:p w:rsidR="00000000" w:rsidRPr="00221BDC" w:rsidP="00221BDC">
      <w:pPr>
        <w:pStyle w:val="ListBullet"/>
      </w:pPr>
      <w:r w:rsidRPr="00221BDC">
        <w:t>Assessment processes and techniques must be appropriate to the language, literacy and numeracy requirements of the work being performed and the needs of the candidate.</w:t>
      </w:r>
    </w:p>
    <w:p w:rsidR="00000000" w:rsidRPr="00221BDC" w:rsidP="00221BDC">
      <w:pPr>
        <w:pStyle w:val="ListBullet"/>
      </w:pPr>
      <w:r w:rsidRPr="00221BDC">
        <w:t>Conditions for assessment must include access to a</w:t>
      </w:r>
      <w:r w:rsidRPr="00221BDC">
        <w:t>ll tools, equipment, materials and documentation required, including relevant workplace procedures, product and manufacturing specifications associated with this unit.</w:t>
      </w:r>
    </w:p>
    <w:p w:rsidR="00000000" w:rsidRPr="00221BDC" w:rsidP="00221BDC">
      <w:pPr>
        <w:pStyle w:val="ListBullet"/>
      </w:pPr>
      <w:r w:rsidRPr="00221BDC">
        <w:t>The regulatory framework will be reflected in workplace policies and procedures and is n</w:t>
      </w:r>
      <w:r w:rsidRPr="00221BDC">
        <w:t>ot required to be independently assessed.</w:t>
      </w:r>
    </w:p>
    <w:p w:rsidR="00000000" w:rsidRPr="00221BDC" w:rsidP="00221BDC">
      <w:pPr>
        <w:pStyle w:val="ListBullet"/>
      </w:pPr>
      <w:r w:rsidRPr="00221BDC">
        <w:t>Foundation skills are integral to competent performance of the unit and should not be assessed separately.</w:t>
      </w:r>
    </w:p>
    <w:p w:rsidR="00000000" w:rsidRPr="00221BDC" w:rsidP="00221BDC">
      <w:pPr>
        <w:pStyle w:val="ListBullet"/>
      </w:pPr>
      <w:r w:rsidRPr="00221BDC">
        <w:t>Assessors must satisfy the assessor competency requirements that are in place at the time of the assessment as set by the VET regulator.</w:t>
      </w:r>
    </w:p>
    <w:p w:rsidR="00000000" w:rsidRPr="00221BDC" w:rsidP="00221BDC">
      <w:pPr>
        <w:pStyle w:val="ListBullet"/>
      </w:pPr>
      <w:r w:rsidRPr="00221BDC">
        <w:t xml:space="preserve">In addition, the assessor or anyone acting in subject matter expert role in assessment must demonstrate both technical </w:t>
      </w:r>
      <w:r w:rsidRPr="00221BDC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221BDC" w:rsidP="00221BDC">
      <w:pPr>
        <w:pStyle w:val="ListBullet"/>
      </w:pPr>
      <w:r w:rsidRPr="00221BDC">
        <w:t>Technical competence can be demonstrated through one or more of:</w:t>
      </w:r>
    </w:p>
    <w:p w:rsidR="00000000" w:rsidRPr="00221BDC" w:rsidP="00221BDC">
      <w:pPr>
        <w:pStyle w:val="ListBullet2"/>
      </w:pPr>
      <w:r w:rsidRPr="00221BDC">
        <w:t>relevant VET or</w:t>
      </w:r>
      <w:r w:rsidRPr="00221BDC">
        <w:t xml:space="preserve"> other qualification/Statement of Attainment </w:t>
      </w:r>
    </w:p>
    <w:p w:rsidR="00000000" w:rsidRPr="00221BDC" w:rsidP="00221BDC">
      <w:pPr>
        <w:pStyle w:val="ListBullet2"/>
      </w:pPr>
      <w:r w:rsidRPr="00221BDC">
        <w:t xml:space="preserve">appropriate workplace experience undertaking the type of work being assessed under routine and non-routine conditions </w:t>
      </w:r>
    </w:p>
    <w:p w:rsidR="00000000" w:rsidRPr="00221BDC" w:rsidP="00221BDC">
      <w:pPr>
        <w:pStyle w:val="ListBullet2"/>
      </w:pPr>
      <w:r w:rsidRPr="00221BDC">
        <w:t>appropriate workplace experience supervising/evaluating the type of work being assessed und</w:t>
      </w:r>
      <w:r w:rsidRPr="00221BDC">
        <w:t>er routine and non-routine conditions</w:t>
      </w:r>
    </w:p>
    <w:p w:rsidR="00000000" w:rsidRPr="00221BDC" w:rsidP="00221BDC">
      <w:pPr>
        <w:pStyle w:val="ListBullet"/>
      </w:pPr>
      <w:r w:rsidRPr="00221BDC">
        <w:t>Currency can be demonstrated through one or more of:</w:t>
      </w:r>
    </w:p>
    <w:p w:rsidR="00000000" w:rsidRPr="00221BDC" w:rsidP="00221BDC">
      <w:pPr>
        <w:pStyle w:val="ListBullet2"/>
      </w:pPr>
      <w:r w:rsidRPr="00221BDC">
        <w:t xml:space="preserve">being currently employed undertaking the type of work being assessed </w:t>
      </w:r>
    </w:p>
    <w:p w:rsidR="00000000" w:rsidRPr="00221BDC" w:rsidP="00221BDC">
      <w:pPr>
        <w:pStyle w:val="ListBullet2"/>
      </w:pPr>
      <w:r w:rsidRPr="00221BDC">
        <w:t>being employed by the organisation undertaking the type of work being assessed and having mai</w:t>
      </w:r>
      <w:r w:rsidRPr="00221BDC">
        <w:t xml:space="preserve">ntained currency in accordance with that organisation’s policies and procedures </w:t>
      </w:r>
    </w:p>
    <w:p w:rsidR="00000000" w:rsidRPr="00221BDC" w:rsidP="00221BDC">
      <w:pPr>
        <w:pStyle w:val="ListBullet2"/>
      </w:pPr>
      <w:r w:rsidRPr="00221BDC">
        <w:t>having consulted/had contact with an organisation undertaking the type of work being assessed within the last twelve months, the consultation/contact being related to assessme</w:t>
      </w:r>
      <w:r w:rsidRPr="00221BDC">
        <w:t xml:space="preserve">nt </w:t>
      </w:r>
    </w:p>
    <w:p w:rsidR="00000000" w:rsidRPr="00221BDC" w:rsidP="00221BDC">
      <w:pPr>
        <w:pStyle w:val="ListBullet2"/>
      </w:pPr>
      <w:r w:rsidRPr="00221BDC">
        <w:t xml:space="preserve">conducting on-the-job training/assessments of the type of work being assessed </w:t>
      </w:r>
    </w:p>
    <w:p w:rsidR="00000000" w:rsidRPr="00221BDC" w:rsidP="00221BDC">
      <w:pPr>
        <w:pStyle w:val="ListBullet2"/>
      </w:pPr>
      <w:r w:rsidRPr="00221BDC">
        <w:t>being an active member of a relevant professional body and participating in activities relevant to the assessment of this type of work.</w:t>
      </w:r>
    </w:p>
    <w:p w:rsidR="00000000" w:rsidRPr="00221BDC" w:rsidP="00221BDC">
      <w:pPr>
        <w:pStyle w:val="AllowPageBreak"/>
      </w:pPr>
    </w:p>
    <w:p w:rsidR="00000000" w:rsidRPr="00221BDC" w:rsidP="00221BDC">
      <w:pPr>
        <w:pStyle w:val="Heading1"/>
      </w:pPr>
      <w:bookmarkStart w:id="5" w:name="O_908349"/>
      <w:bookmarkEnd w:id="5"/>
      <w:r w:rsidRPr="00221BDC">
        <w:t>Links</w:t>
      </w:r>
    </w:p>
    <w:p w:rsidR="00000000" w:rsidRPr="00221BDC" w:rsidP="00583A91">
      <w:pPr>
        <w:pStyle w:val="BodyText"/>
      </w:pPr>
      <w:r w:rsidRPr="00221B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5575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21BDC" w:rsidP="00221BDC"/>
    <w:sectPr w:rsidSect="00221B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C" w:rsidRPr="00583A91" w:rsidP="00583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91" w:rsidP="00221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A91" w:rsidP="00221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3A91" w:rsidP="00221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BDC" w:rsidRPr="00583A91" w:rsidP="00583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A91" w:rsidRPr="002D2AF8" w:rsidP="00221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PMAOPS450 Solve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3A91" w:rsidP="00221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8F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00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80F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BDC"/>
  </w:style>
  <w:style w:type="character" w:customStyle="1" w:styleId="Heading1Char">
    <w:name w:val="Heading 1 Char"/>
    <w:basedOn w:val="DefaultParagraphFont"/>
    <w:link w:val="Heading1"/>
    <w:rsid w:val="00221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B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B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BDC"/>
    <w:rPr>
      <w:b/>
      <w:spacing w:val="0"/>
    </w:rPr>
  </w:style>
  <w:style w:type="paragraph" w:customStyle="1" w:styleId="SuperTitle">
    <w:name w:val="SuperTitle"/>
    <w:basedOn w:val="Title"/>
    <w:rsid w:val="00221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BDC"/>
    <w:rPr>
      <w:i/>
    </w:rPr>
  </w:style>
  <w:style w:type="paragraph" w:styleId="Caption">
    <w:name w:val="caption"/>
    <w:basedOn w:val="BodyText"/>
    <w:next w:val="Normal"/>
    <w:qFormat/>
    <w:rsid w:val="00221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BDC"/>
  </w:style>
  <w:style w:type="paragraph" w:styleId="TableofFigures">
    <w:name w:val="table of figures"/>
    <w:basedOn w:val="Normal"/>
    <w:next w:val="Normal"/>
    <w:semiHidden/>
    <w:rsid w:val="00221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BDC"/>
    <w:rPr>
      <w:rFonts w:ascii="Wingdings" w:hAnsi="Wingdings"/>
    </w:rPr>
  </w:style>
  <w:style w:type="paragraph" w:customStyle="1" w:styleId="TableHeading">
    <w:name w:val="Table Heading"/>
    <w:basedOn w:val="HeadingBase"/>
    <w:rsid w:val="00221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BDC"/>
    <w:rPr>
      <w:color w:val="0033CC"/>
      <w:u w:val="none"/>
    </w:rPr>
  </w:style>
  <w:style w:type="paragraph" w:customStyle="1" w:styleId="BodyTextRight">
    <w:name w:val="Body Text Right"/>
    <w:basedOn w:val="BodyText"/>
    <w:rsid w:val="00221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BDC"/>
    <w:rPr>
      <w:sz w:val="32"/>
    </w:rPr>
  </w:style>
  <w:style w:type="paragraph" w:customStyle="1" w:styleId="HeadingProcedure">
    <w:name w:val="Heading Procedure"/>
    <w:basedOn w:val="HeadingBase"/>
    <w:next w:val="Normal"/>
    <w:rsid w:val="00221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BDC"/>
    <w:pPr>
      <w:spacing w:before="60" w:after="60"/>
    </w:pPr>
  </w:style>
  <w:style w:type="paragraph" w:styleId="ListContinue">
    <w:name w:val="List Continue"/>
    <w:basedOn w:val="List"/>
    <w:rsid w:val="00221BDC"/>
    <w:pPr>
      <w:ind w:firstLine="0"/>
    </w:pPr>
  </w:style>
  <w:style w:type="paragraph" w:customStyle="1" w:styleId="ListNote">
    <w:name w:val="List Note"/>
    <w:basedOn w:val="List"/>
    <w:rsid w:val="00221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BDC"/>
    <w:rPr>
      <w:rFonts w:ascii="Courier New" w:hAnsi="Courier New"/>
    </w:rPr>
  </w:style>
  <w:style w:type="paragraph" w:customStyle="1" w:styleId="NoteBullet">
    <w:name w:val="Note Bullet"/>
    <w:basedOn w:val="Note"/>
    <w:rsid w:val="00221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BDC"/>
    <w:rPr>
      <w:b/>
      <w:smallCaps/>
    </w:rPr>
  </w:style>
  <w:style w:type="paragraph" w:customStyle="1" w:styleId="TableListNumber">
    <w:name w:val="Table List Number"/>
    <w:basedOn w:val="ListNumber"/>
    <w:rsid w:val="00221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BDC"/>
    <w:pPr>
      <w:numPr>
        <w:numId w:val="9"/>
      </w:numPr>
    </w:pPr>
  </w:style>
  <w:style w:type="paragraph" w:customStyle="1" w:styleId="ListAlpha2">
    <w:name w:val="List Alpha 2"/>
    <w:basedOn w:val="List2"/>
    <w:rsid w:val="00221BDC"/>
    <w:pPr>
      <w:numPr>
        <w:numId w:val="8"/>
      </w:numPr>
    </w:pPr>
  </w:style>
  <w:style w:type="paragraph" w:styleId="List2">
    <w:name w:val="List 2"/>
    <w:basedOn w:val="BodyText"/>
    <w:rsid w:val="00221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BDC"/>
    <w:pPr>
      <w:numPr>
        <w:numId w:val="4"/>
      </w:numPr>
    </w:pPr>
  </w:style>
  <w:style w:type="paragraph" w:styleId="ListContinue2">
    <w:name w:val="List Continue 2"/>
    <w:basedOn w:val="List2"/>
    <w:rsid w:val="00221BDC"/>
    <w:pPr>
      <w:ind w:firstLine="0"/>
    </w:pPr>
  </w:style>
  <w:style w:type="paragraph" w:styleId="ListContinue3">
    <w:name w:val="List Continue 3"/>
    <w:basedOn w:val="List3"/>
    <w:rsid w:val="00221BDC"/>
    <w:pPr>
      <w:ind w:left="1021" w:firstLine="0"/>
    </w:pPr>
  </w:style>
  <w:style w:type="paragraph" w:styleId="ListContinue4">
    <w:name w:val="List Continue 4"/>
    <w:basedOn w:val="List4"/>
    <w:rsid w:val="00221BDC"/>
    <w:pPr>
      <w:ind w:firstLine="0"/>
    </w:pPr>
  </w:style>
  <w:style w:type="paragraph" w:styleId="ListContinue5">
    <w:name w:val="List Continue 5"/>
    <w:basedOn w:val="List5"/>
    <w:rsid w:val="00221BDC"/>
    <w:pPr>
      <w:ind w:firstLine="0"/>
    </w:pPr>
  </w:style>
  <w:style w:type="paragraph" w:styleId="ListNumber3">
    <w:name w:val="List Number 3"/>
    <w:basedOn w:val="List3"/>
    <w:rsid w:val="00221BDC"/>
    <w:pPr>
      <w:numPr>
        <w:numId w:val="5"/>
      </w:numPr>
    </w:pPr>
  </w:style>
  <w:style w:type="paragraph" w:styleId="ListNumber4">
    <w:name w:val="List Number 4"/>
    <w:basedOn w:val="List4"/>
    <w:rsid w:val="00221BDC"/>
    <w:pPr>
      <w:numPr>
        <w:numId w:val="6"/>
      </w:numPr>
    </w:pPr>
  </w:style>
  <w:style w:type="paragraph" w:styleId="ListNumber5">
    <w:name w:val="List Number 5"/>
    <w:basedOn w:val="List5"/>
    <w:rsid w:val="00221BDC"/>
    <w:pPr>
      <w:numPr>
        <w:numId w:val="7"/>
      </w:numPr>
    </w:pPr>
  </w:style>
  <w:style w:type="paragraph" w:styleId="BlockText">
    <w:name w:val="Block Text"/>
    <w:basedOn w:val="Normal"/>
    <w:rsid w:val="00221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BDC"/>
    <w:rPr>
      <w:sz w:val="16"/>
      <w:vertAlign w:val="superscript"/>
    </w:rPr>
  </w:style>
  <w:style w:type="character" w:customStyle="1" w:styleId="Symbols">
    <w:name w:val="Symbols"/>
    <w:basedOn w:val="DefaultParagraphFont"/>
    <w:rsid w:val="00221BDC"/>
    <w:rPr>
      <w:rFonts w:ascii="Symbol" w:hAnsi="Symbol"/>
    </w:rPr>
  </w:style>
  <w:style w:type="character" w:customStyle="1" w:styleId="MenuOptions">
    <w:name w:val="Menu Options"/>
    <w:basedOn w:val="DefaultParagraphFont"/>
    <w:rsid w:val="00221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BDC"/>
    <w:rPr>
      <w:b/>
    </w:rPr>
  </w:style>
  <w:style w:type="character" w:customStyle="1" w:styleId="Underlined">
    <w:name w:val="Underlined"/>
    <w:basedOn w:val="DefaultParagraphFont"/>
    <w:rsid w:val="00221BDC"/>
    <w:rPr>
      <w:u w:val="single"/>
    </w:rPr>
  </w:style>
  <w:style w:type="paragraph" w:customStyle="1" w:styleId="TableBodyTextRight">
    <w:name w:val="Table Body Text Right"/>
    <w:basedOn w:val="TableBodyText"/>
    <w:rsid w:val="00221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BDC"/>
    <w:rPr>
      <w:sz w:val="18"/>
    </w:rPr>
  </w:style>
  <w:style w:type="paragraph" w:customStyle="1" w:styleId="BodySmallRight">
    <w:name w:val="Body Small Right"/>
    <w:basedOn w:val="BodyTextRight"/>
    <w:rsid w:val="00221BDC"/>
    <w:rPr>
      <w:sz w:val="18"/>
      <w:szCs w:val="18"/>
    </w:rPr>
  </w:style>
  <w:style w:type="paragraph" w:customStyle="1" w:styleId="MarginEdition">
    <w:name w:val="Margin Edition"/>
    <w:basedOn w:val="MarginNote"/>
    <w:rsid w:val="00221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BDC"/>
    <w:rPr>
      <w:sz w:val="2"/>
      <w:szCs w:val="2"/>
    </w:rPr>
  </w:style>
  <w:style w:type="character" w:customStyle="1" w:styleId="Small">
    <w:name w:val="Small"/>
    <w:basedOn w:val="DefaultParagraphFont"/>
    <w:rsid w:val="00221BDC"/>
    <w:rPr>
      <w:sz w:val="16"/>
    </w:rPr>
  </w:style>
  <w:style w:type="paragraph" w:customStyle="1" w:styleId="WideTable">
    <w:name w:val="Wide Table"/>
    <w:basedOn w:val="Normal"/>
    <w:rsid w:val="00221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BDC"/>
  </w:style>
  <w:style w:type="paragraph" w:styleId="Quote">
    <w:name w:val="Quote"/>
    <w:basedOn w:val="Heading1"/>
    <w:link w:val="QuoteChar"/>
    <w:qFormat/>
    <w:rsid w:val="00221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BDC"/>
    <w:pPr>
      <w:pageBreakBefore/>
    </w:pPr>
  </w:style>
  <w:style w:type="paragraph" w:customStyle="1" w:styleId="Border">
    <w:name w:val="Border"/>
    <w:basedOn w:val="Normal"/>
    <w:qFormat/>
    <w:rsid w:val="00221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BDC"/>
    <w:rPr>
      <w:u w:val="single"/>
    </w:rPr>
  </w:style>
  <w:style w:type="character" w:customStyle="1" w:styleId="BoldandItalics">
    <w:name w:val="Bold and Italics"/>
    <w:qFormat/>
    <w:rsid w:val="00221BDC"/>
    <w:rPr>
      <w:b/>
      <w:i/>
      <w:u w:val="none"/>
    </w:rPr>
  </w:style>
  <w:style w:type="paragraph" w:styleId="BalloonText">
    <w:name w:val="Balloon Text"/>
    <w:basedOn w:val="Normal"/>
    <w:link w:val="BalloonTextChar"/>
    <w:rsid w:val="00221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BDC"/>
    <w:pPr>
      <w:spacing w:before="0" w:after="0"/>
    </w:pPr>
  </w:style>
  <w:style w:type="paragraph" w:customStyle="1" w:styleId="BodyTextBold">
    <w:name w:val="Body Text Bold"/>
    <w:basedOn w:val="BodyText"/>
    <w:qFormat/>
    <w:rsid w:val="00221BDC"/>
    <w:rPr>
      <w:b/>
    </w:rPr>
  </w:style>
  <w:style w:type="character" w:styleId="Hyperlink">
    <w:name w:val="Hyperlink"/>
    <w:basedOn w:val="DefaultParagraphFont"/>
    <w:uiPriority w:val="99"/>
    <w:unhideWhenUsed/>
    <w:rsid w:val="00583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4770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PMAOPS450 Solve colour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