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36F" w:rsidP="001B536F">
      <w:pPr>
        <w:pStyle w:val="Title"/>
      </w:pPr>
      <w:r>
        <w:fldChar w:fldCharType="begin"/>
      </w:r>
      <w:r>
        <w:instrText xml:space="preserve"> TITLE   \* MERGEFORMAT </w:instrText>
      </w:r>
      <w:r>
        <w:fldChar w:fldCharType="separate"/>
      </w:r>
      <w:r>
        <w:t>PMAOPS350 Match and adjust colour</w:t>
      </w:r>
      <w:r>
        <w:fldChar w:fldCharType="end"/>
      </w:r>
    </w:p>
    <w:p w:rsidR="001B536F" w:rsidP="001B536F">
      <w:pPr>
        <w:pStyle w:val="Version"/>
        <w:sectPr w:rsidSect="00A117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7AA" w:rsidP="00A117AA">
      <w:pPr>
        <w:pStyle w:val="SuperHeading"/>
      </w:pPr>
      <w:r w:rsidRPr="00A117AA">
        <w:t>PMAOPS350 Match and adjust colour</w:t>
      </w:r>
    </w:p>
    <w:p w:rsidR="00000000" w:rsidRPr="00A117AA" w:rsidP="00A117AA">
      <w:pPr>
        <w:pStyle w:val="Heading1"/>
      </w:pPr>
      <w:bookmarkStart w:id="1" w:name="O_908088"/>
      <w:bookmarkEnd w:id="1"/>
      <w:r w:rsidRPr="00A117AA">
        <w:t>Modification History</w:t>
      </w:r>
    </w:p>
    <w:p w:rsidR="00000000" w:rsidRPr="00A117AA" w:rsidP="001B536F">
      <w:pPr>
        <w:pStyle w:val="BodyText"/>
      </w:pPr>
      <w:r w:rsidRPr="00A117AA">
        <w:t>Release 1. Supersedes and is equivalent to PMAOPS350B Match and adjust colour</w:t>
      </w:r>
    </w:p>
    <w:p w:rsidR="00000000" w:rsidRPr="00A117AA" w:rsidP="00A117AA">
      <w:pPr>
        <w:pStyle w:val="Heading1"/>
      </w:pPr>
      <w:bookmarkStart w:id="2" w:name="O_908096"/>
      <w:bookmarkEnd w:id="2"/>
      <w:r w:rsidRPr="00A117AA">
        <w:t>Application</w:t>
      </w:r>
    </w:p>
    <w:p w:rsidR="00000000" w:rsidRPr="00A117AA" w:rsidP="001B536F">
      <w:pPr>
        <w:pStyle w:val="BodyText"/>
      </w:pPr>
      <w:r w:rsidRPr="00A117AA">
        <w:t>This unit of competency covers the skills and knowledge required to recommend adjustments to bring product colour into the accep</w:t>
      </w:r>
      <w:r w:rsidRPr="00A117AA">
        <w:t>table range using a mixture of colourants. It applies to products, such as:</w:t>
      </w:r>
    </w:p>
    <w:p w:rsidR="00000000" w:rsidRPr="00A117AA" w:rsidP="00A117AA">
      <w:pPr>
        <w:pStyle w:val="ListBullet"/>
      </w:pPr>
      <w:r w:rsidRPr="00A117AA">
        <w:t>paint</w:t>
      </w:r>
    </w:p>
    <w:p w:rsidR="00000000" w:rsidRPr="00A117AA" w:rsidP="00A117AA">
      <w:pPr>
        <w:pStyle w:val="ListBullet"/>
      </w:pPr>
      <w:r w:rsidRPr="00A117AA">
        <w:t>ink</w:t>
      </w:r>
    </w:p>
    <w:p w:rsidR="00000000" w:rsidRPr="00A117AA" w:rsidP="00A117AA">
      <w:pPr>
        <w:pStyle w:val="ListBullet"/>
      </w:pPr>
      <w:r w:rsidRPr="00A117AA">
        <w:t>concrete</w:t>
      </w:r>
    </w:p>
    <w:p w:rsidR="00000000" w:rsidRPr="00A117AA" w:rsidP="00A117AA">
      <w:pPr>
        <w:pStyle w:val="ListBullet"/>
      </w:pPr>
      <w:r w:rsidRPr="00A117AA">
        <w:t>rubber</w:t>
      </w:r>
    </w:p>
    <w:p w:rsidR="00000000" w:rsidRPr="00A117AA" w:rsidP="00A117AA">
      <w:pPr>
        <w:pStyle w:val="ListBullet"/>
      </w:pPr>
      <w:r w:rsidRPr="00A117AA">
        <w:t>plastic</w:t>
      </w:r>
    </w:p>
    <w:p w:rsidR="00000000" w:rsidRPr="00A117AA" w:rsidP="00A117AA">
      <w:pPr>
        <w:pStyle w:val="ListBullet"/>
      </w:pPr>
      <w:r w:rsidRPr="00A117AA">
        <w:t>dye mixes/dyed materials.</w:t>
      </w:r>
    </w:p>
    <w:p w:rsidR="00000000" w:rsidRPr="00A117AA" w:rsidP="00A117AA">
      <w:pPr>
        <w:pStyle w:val="BodyText"/>
      </w:pPr>
    </w:p>
    <w:p w:rsidR="00000000" w:rsidRPr="00A117AA" w:rsidP="001B536F">
      <w:pPr>
        <w:pStyle w:val="BodyText"/>
      </w:pPr>
      <w:r w:rsidRPr="00A117AA">
        <w:t>Any suitable colourants, such as those below may be used:</w:t>
      </w:r>
    </w:p>
    <w:p w:rsidR="00000000" w:rsidRPr="00A117AA" w:rsidP="00A117AA">
      <w:pPr>
        <w:pStyle w:val="ListBullet"/>
      </w:pPr>
      <w:r w:rsidRPr="00A117AA">
        <w:t>pigments</w:t>
      </w:r>
    </w:p>
    <w:p w:rsidR="00000000" w:rsidRPr="00A117AA" w:rsidP="00A117AA">
      <w:pPr>
        <w:pStyle w:val="ListBullet"/>
      </w:pPr>
      <w:r w:rsidRPr="00A117AA">
        <w:t>dyes</w:t>
      </w:r>
    </w:p>
    <w:p w:rsidR="00000000" w:rsidRPr="00A117AA" w:rsidP="00A117AA">
      <w:pPr>
        <w:pStyle w:val="ListBullet"/>
      </w:pPr>
      <w:r w:rsidRPr="00A117AA">
        <w:t>masterbatches</w:t>
      </w:r>
    </w:p>
    <w:p w:rsidR="00000000" w:rsidRPr="00A117AA" w:rsidP="00A117AA">
      <w:pPr>
        <w:pStyle w:val="ListBullet"/>
      </w:pPr>
      <w:r w:rsidRPr="00A117AA">
        <w:t>tinters.</w:t>
      </w:r>
    </w:p>
    <w:p w:rsidR="00000000" w:rsidRPr="00A117AA" w:rsidP="00A117AA">
      <w:pPr>
        <w:pStyle w:val="BodyText"/>
      </w:pPr>
    </w:p>
    <w:p w:rsidR="00000000" w:rsidRPr="00A117AA" w:rsidP="001B536F">
      <w:pPr>
        <w:pStyle w:val="BodyText"/>
      </w:pPr>
      <w:r w:rsidRPr="00A117AA">
        <w:t>This unit of competen</w:t>
      </w:r>
      <w:r w:rsidRPr="00A117AA">
        <w:t>cy applies to technicians who are required to apply a significant understanding of colour to prepare colour samples, compare the sample to the standard, and estimate colourant additions needed to bring the batch to standard. The comparison may be done usin</w:t>
      </w:r>
      <w:r w:rsidRPr="00A117AA">
        <w:t>g a ‘colour computer’ or by eye.</w:t>
      </w:r>
    </w:p>
    <w:p w:rsidR="00000000" w:rsidRPr="00A117AA" w:rsidP="001B536F">
      <w:pPr>
        <w:pStyle w:val="BodyText"/>
      </w:pPr>
      <w:r w:rsidRPr="00A117AA">
        <w:t>This unit of competency is typically performed by technicians working independently while in liaison with operators, paint/industrial chemists or other personnel.</w:t>
      </w:r>
    </w:p>
    <w:p w:rsidR="00000000" w:rsidRPr="00A117AA" w:rsidP="001B536F">
      <w:pPr>
        <w:pStyle w:val="BodyText"/>
      </w:pPr>
      <w:r w:rsidRPr="00A117AA">
        <w:t>No licensing, legislative or certification requirements apply to this unit at the time of publication.</w:t>
      </w:r>
    </w:p>
    <w:p w:rsidR="00000000" w:rsidRPr="00A117AA" w:rsidP="00A117AA">
      <w:pPr>
        <w:pStyle w:val="Heading1"/>
      </w:pPr>
      <w:bookmarkStart w:id="3" w:name="O_908095"/>
      <w:bookmarkEnd w:id="3"/>
      <w:r w:rsidRPr="00A117AA">
        <w:t>Pre-requisite Unit</w:t>
      </w:r>
    </w:p>
    <w:p w:rsidR="00000000" w:rsidRPr="00A117AA" w:rsidP="001B536F">
      <w:pPr>
        <w:pStyle w:val="BodyText"/>
      </w:pPr>
      <w:r w:rsidRPr="00A117AA">
        <w:t>Nil</w:t>
      </w:r>
    </w:p>
    <w:p w:rsidR="00000000" w:rsidRPr="00A117AA" w:rsidP="00A117AA">
      <w:pPr>
        <w:pStyle w:val="Heading1"/>
      </w:pPr>
      <w:bookmarkStart w:id="4" w:name="O_908094"/>
      <w:bookmarkEnd w:id="4"/>
      <w:r w:rsidRPr="00A117AA">
        <w:t>Competency Field</w:t>
      </w:r>
    </w:p>
    <w:p w:rsidR="00000000" w:rsidRPr="00A117AA" w:rsidP="001B536F">
      <w:pPr>
        <w:pStyle w:val="BodyText"/>
      </w:pPr>
      <w:r w:rsidRPr="00A117AA">
        <w:t>Operations</w:t>
      </w:r>
    </w:p>
    <w:p w:rsidR="00000000" w:rsidRPr="00A117AA" w:rsidP="00A117AA">
      <w:pPr>
        <w:pStyle w:val="Heading1"/>
      </w:pPr>
      <w:bookmarkStart w:id="5" w:name="O_908093"/>
      <w:bookmarkEnd w:id="5"/>
      <w:r w:rsidRPr="00A117AA">
        <w:t>Unit Sector</w:t>
      </w:r>
    </w:p>
    <w:p w:rsidR="00000000" w:rsidRPr="00A117AA" w:rsidP="00A117AA">
      <w:pPr>
        <w:pStyle w:val="Heading1"/>
      </w:pPr>
      <w:bookmarkStart w:id="6" w:name="O_908092"/>
      <w:bookmarkEnd w:id="6"/>
      <w:r w:rsidRPr="00A117AA">
        <w:t>Elements and Performanc</w:t>
      </w:r>
      <w:r w:rsidRPr="00A117AA">
        <w:t>e Criteria</w:t>
      </w:r>
    </w:p>
    <w:tbl>
      <w:tblPr>
        <w:tblW w:w="0" w:type="auto"/>
        <w:tblLayout w:type="fixed"/>
        <w:tblCellMar>
          <w:left w:w="62" w:type="dxa"/>
          <w:right w:w="62" w:type="dxa"/>
        </w:tblCellMar>
        <w:tblLook w:val="0000"/>
      </w:tblPr>
      <w:tblGrid>
        <w:gridCol w:w="678"/>
        <w:gridCol w:w="1962"/>
        <w:gridCol w:w="770"/>
        <w:gridCol w:w="5610"/>
      </w:tblGrid>
      <w:tr w:rsidTr="00A117A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Performance criteria describe the performance needed to demonstrate achievement of the element.</w:t>
            </w: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17AA" w:rsidP="00A117AA">
            <w:pPr>
              <w:pStyle w:val="BodyText"/>
            </w:pPr>
            <w:r w:rsidRPr="00A117AA">
              <w:t>1</w:t>
            </w:r>
          </w:p>
        </w:tc>
        <w:tc>
          <w:tcPr>
            <w:tcW w:w="1962" w:type="dxa"/>
            <w:vMerge w:val="restart"/>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rPr>
                <w:rStyle w:val="SpecialBold"/>
              </w:rPr>
              <w:t>Prepare colour sample</w:t>
            </w: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1.1</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Identify required sample properties</w:t>
            </w: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1.2</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Select sample preparation method</w:t>
            </w: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1.3</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Identify required sample preparation conditions</w:t>
            </w: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1.4</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Adjust and control sample preparation conditions</w:t>
            </w: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1.5</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Prepare colour sample</w:t>
            </w:r>
          </w:p>
        </w:tc>
      </w:tr>
      <w:tr w:rsidTr="00A117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17AA">
            <w:pPr>
              <w:pStyle w:val="BodyText"/>
              <w:rPr>
                <w:lang w:val="en-NZ"/>
              </w:rPr>
            </w:pP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17AA" w:rsidP="00A117AA">
            <w:pPr>
              <w:pStyle w:val="BodyText"/>
            </w:pPr>
            <w:r w:rsidRPr="00A117AA">
              <w:t>2</w:t>
            </w:r>
          </w:p>
        </w:tc>
        <w:tc>
          <w:tcPr>
            <w:tcW w:w="1962" w:type="dxa"/>
            <w:vMerge w:val="restart"/>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rPr>
                <w:rStyle w:val="SpecialBold"/>
              </w:rPr>
              <w:t>Compare colour sample to standard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2.1</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Identify light conditions for comparison</w:t>
            </w: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2.2</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 xml:space="preserve">Compare colour sample to standard using </w:t>
            </w:r>
            <w:r>
              <w:t>‘</w:t>
            </w:r>
            <w:r w:rsidRPr="00A117AA">
              <w:t>colour computer</w:t>
            </w:r>
            <w:r>
              <w:t>’</w:t>
            </w:r>
            <w:r w:rsidRPr="00A117AA">
              <w:t xml:space="preserve"> and/or by eye</w:t>
            </w: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2.3</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Reconcile data from comparison</w:t>
            </w:r>
          </w:p>
        </w:tc>
      </w:tr>
      <w:tr w:rsidTr="00A117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117AA">
            <w:pPr>
              <w:pStyle w:val="BodyText"/>
              <w:rPr>
                <w:lang w:val="en-NZ"/>
              </w:rPr>
            </w:pP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17AA" w:rsidP="00A117AA">
            <w:pPr>
              <w:pStyle w:val="BodyText"/>
            </w:pPr>
            <w:r w:rsidRPr="00A117AA">
              <w:t>3</w:t>
            </w:r>
          </w:p>
        </w:tc>
        <w:tc>
          <w:tcPr>
            <w:tcW w:w="1962" w:type="dxa"/>
            <w:vMerge w:val="restart"/>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rPr>
                <w:rStyle w:val="SpecialBold"/>
              </w:rPr>
              <w:t>Recommend adjustments to batch</w:t>
            </w: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3.1</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Estimate the colourant additions needed to bring batch to standard</w:t>
            </w: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3.2</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Recommend additions to relevant personnel</w:t>
            </w: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3.3</w:t>
            </w:r>
          </w:p>
        </w:tc>
        <w:tc>
          <w:tcPr>
            <w:tcW w:w="561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Recommend additional mixing/processing requirements to procedure</w:t>
            </w:r>
          </w:p>
        </w:tc>
      </w:tr>
      <w:tr w:rsidTr="00A117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3.4</w:t>
            </w:r>
          </w:p>
        </w:tc>
        <w:tc>
          <w:tcPr>
            <w:tcW w:w="5610" w:type="dxa"/>
            <w:tcBorders>
              <w:top w:val="nil"/>
              <w:left w:val="nil"/>
              <w:bottom w:val="nil"/>
              <w:right w:val="nil"/>
            </w:tcBorders>
            <w:tcMar>
              <w:top w:w="0" w:type="dxa"/>
              <w:left w:w="62" w:type="dxa"/>
              <w:bottom w:w="0" w:type="dxa"/>
              <w:right w:w="62" w:type="dxa"/>
            </w:tcMar>
          </w:tcPr>
          <w:p w:rsidR="00000000" w:rsidRPr="00A117AA" w:rsidP="00A117AA">
            <w:pPr>
              <w:pStyle w:val="BodyText"/>
            </w:pPr>
            <w:r w:rsidRPr="00A117AA">
              <w:t>Repeat sample preparation, colour matching and adjustment until correct colour is obtained</w:t>
            </w:r>
          </w:p>
        </w:tc>
      </w:tr>
    </w:tbl>
    <w:p w:rsidR="00000000" w:rsidRPr="00A117AA" w:rsidP="00A117AA">
      <w:pPr>
        <w:pStyle w:val="BodyText"/>
      </w:pPr>
    </w:p>
    <w:p w:rsidR="00000000" w:rsidRPr="00A117AA" w:rsidP="00A117AA">
      <w:pPr>
        <w:pStyle w:val="AllowPageBreak"/>
      </w:pPr>
    </w:p>
    <w:p w:rsidR="00000000" w:rsidRPr="00A117AA" w:rsidP="00A117AA">
      <w:pPr>
        <w:pStyle w:val="Heading1"/>
      </w:pPr>
      <w:bookmarkStart w:id="7" w:name="O_908091"/>
      <w:bookmarkEnd w:id="7"/>
      <w:r w:rsidRPr="00A117AA">
        <w:t>Foundation Skills</w:t>
      </w:r>
    </w:p>
    <w:p w:rsidR="00000000" w:rsidRPr="00A117AA" w:rsidP="001B536F">
      <w:pPr>
        <w:pStyle w:val="BodyText"/>
      </w:pPr>
      <w:r w:rsidRPr="00A117AA">
        <w:t>This section describes those language, literacy, numeracy and employment skills that are essential to performance.</w:t>
      </w:r>
    </w:p>
    <w:p w:rsidR="00000000" w:rsidRPr="00A117AA" w:rsidP="001B536F">
      <w:pPr>
        <w:pStyle w:val="BodyText"/>
      </w:pPr>
      <w:r w:rsidRPr="00A117AA">
        <w:t>Foundation skills essential to performance are explicit in the performance criteria of this unit of competency.</w:t>
      </w:r>
    </w:p>
    <w:p w:rsidR="00000000" w:rsidRPr="00A117AA" w:rsidP="00A117AA">
      <w:pPr>
        <w:pStyle w:val="Heading1"/>
      </w:pPr>
      <w:bookmarkStart w:id="8" w:name="O_908090"/>
      <w:bookmarkEnd w:id="8"/>
      <w:r w:rsidRPr="00A117AA">
        <w:t>Range of Co</w:t>
      </w:r>
      <w:r w:rsidRPr="00A117AA">
        <w:t>nditions</w:t>
      </w:r>
    </w:p>
    <w:tbl>
      <w:tblPr>
        <w:tblW w:w="0" w:type="auto"/>
        <w:tblCellMar>
          <w:left w:w="62" w:type="dxa"/>
          <w:right w:w="62" w:type="dxa"/>
        </w:tblCellMar>
        <w:tblLook w:val="0000"/>
      </w:tblPr>
      <w:tblGrid>
        <w:gridCol w:w="2163"/>
        <w:gridCol w:w="7033"/>
      </w:tblGrid>
      <w:tr w:rsidTr="001B53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t>This field allows for different work environments and conditions that may affect performance. Essential operating conditions that may be present (depending on the work situation, needs of the candidate, accessibility of the item, and local industr</w:t>
            </w:r>
            <w:r w:rsidRPr="00A117AA">
              <w:t>y and regional contexts) are included.</w:t>
            </w:r>
          </w:p>
        </w:tc>
      </w:tr>
      <w:tr w:rsidTr="001B5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17AA" w:rsidP="00A117AA">
            <w:pPr>
              <w:pStyle w:val="BodyText"/>
            </w:pPr>
            <w:r w:rsidRPr="00A117AA">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117AA" w:rsidP="00A117AA">
            <w:pPr>
              <w:pStyle w:val="BodyText"/>
            </w:pPr>
            <w:r w:rsidRPr="00A117AA">
              <w:t xml:space="preserve">The latest version of all legislation, regulations, industry codes of practice and Australian/international standards, or the version specified </w:t>
            </w:r>
            <w:r w:rsidRPr="00A117AA">
              <w:t>by the local regulatory authority, must be used, and include one or more of the following:</w:t>
            </w:r>
          </w:p>
          <w:p w:rsidR="00000000" w:rsidRPr="00A117AA" w:rsidP="00A117AA">
            <w:pPr>
              <w:pStyle w:val="ListBullet"/>
            </w:pPr>
            <w:r w:rsidRPr="00A117AA">
              <w:t>legislative requirements, including work health and safety (WHS)</w:t>
            </w:r>
          </w:p>
          <w:p w:rsidR="00000000" w:rsidRPr="00A117AA" w:rsidP="00A117AA">
            <w:pPr>
              <w:pStyle w:val="ListBullet"/>
            </w:pPr>
            <w:r w:rsidRPr="00A117AA">
              <w:t>industry codes of practice and guidelines</w:t>
            </w:r>
          </w:p>
          <w:p w:rsidR="00000000" w:rsidRPr="00A117AA" w:rsidP="00A117AA">
            <w:pPr>
              <w:pStyle w:val="ListBullet"/>
            </w:pPr>
            <w:r w:rsidRPr="00A117AA">
              <w:t xml:space="preserve">environmental regulations and guidelines </w:t>
            </w:r>
          </w:p>
          <w:p w:rsidR="00000000" w:rsidRPr="00A117AA" w:rsidP="00A117AA">
            <w:pPr>
              <w:pStyle w:val="ListBullet"/>
            </w:pPr>
            <w:r w:rsidRPr="00A117AA">
              <w:t xml:space="preserve">Australian and </w:t>
            </w:r>
            <w:r w:rsidRPr="00A117AA">
              <w:t>other standards</w:t>
            </w:r>
          </w:p>
          <w:p w:rsidR="00000000" w:rsidRPr="00A117AA" w:rsidP="00A117AA">
            <w:pPr>
              <w:pStyle w:val="ListBullet"/>
            </w:pPr>
            <w:r w:rsidRPr="00A117AA">
              <w:t xml:space="preserve">licence and certification requirements </w:t>
            </w:r>
          </w:p>
          <w:p w:rsidR="00000000" w:rsidRPr="00A117AA" w:rsidP="00A117AA">
            <w:pPr>
              <w:pStyle w:val="BodyText"/>
            </w:pPr>
          </w:p>
          <w:p w:rsidR="00000000" w:rsidRPr="00A117AA" w:rsidP="00A117AA">
            <w:pPr>
              <w:pStyle w:val="BodyText"/>
            </w:pPr>
            <w:r w:rsidRPr="00A117AA">
              <w:t>All operations to which this unit applies are subject to stringent health, safety and environment (HSE) requirements, which may be imposed through state/territory or federal legislation, and these mu</w:t>
            </w:r>
            <w:r w:rsidRPr="00A117AA">
              <w:t>st not be compromised at any time. Where there is an apparent conflict between performance criteria and HSE requirements, the HSE requirements take precedence.</w:t>
            </w:r>
          </w:p>
          <w:p w:rsidR="00000000" w:rsidP="00A117AA">
            <w:pPr>
              <w:pStyle w:val="BodyText"/>
              <w:rPr>
                <w:lang w:val="en-NZ"/>
              </w:rPr>
            </w:pPr>
          </w:p>
        </w:tc>
      </w:tr>
      <w:tr w:rsidTr="001B5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117AA" w:rsidP="00A117AA">
            <w:pPr>
              <w:pStyle w:val="BodyText"/>
            </w:pPr>
            <w:r w:rsidRPr="00A117AA">
              <w:t>Hazards include one or more of the following:</w:t>
            </w:r>
          </w:p>
          <w:p w:rsidR="00000000" w:rsidRPr="00A117AA" w:rsidP="00A117AA">
            <w:pPr>
              <w:pStyle w:val="ListBullet"/>
            </w:pPr>
            <w:r w:rsidRPr="00A117AA">
              <w:t>electricity</w:t>
            </w:r>
          </w:p>
          <w:p w:rsidR="00000000" w:rsidRPr="00A117AA" w:rsidP="00A117AA">
            <w:pPr>
              <w:pStyle w:val="ListBullet"/>
            </w:pPr>
            <w:r w:rsidRPr="00A117AA">
              <w:t>equipment failures</w:t>
            </w:r>
          </w:p>
          <w:p w:rsidR="00000000" w:rsidRPr="00A117AA" w:rsidP="00A117AA">
            <w:pPr>
              <w:pStyle w:val="ListBullet"/>
            </w:pPr>
            <w:r w:rsidRPr="00A117AA">
              <w:t>industrial (machinery, equipment and product)</w:t>
            </w:r>
          </w:p>
          <w:p w:rsidR="00000000" w:rsidRPr="00A117AA" w:rsidP="00A117AA">
            <w:pPr>
              <w:pStyle w:val="ListBullet"/>
            </w:pPr>
            <w:r w:rsidRPr="00A117AA">
              <w:t>noise, rotational equipment or vibration</w:t>
            </w:r>
          </w:p>
          <w:p w:rsidR="00000000" w:rsidRPr="00A117AA" w:rsidP="00A117AA">
            <w:pPr>
              <w:pStyle w:val="ListBullet"/>
            </w:pPr>
            <w:r w:rsidRPr="00A117AA">
              <w:t>plant services (steam, condensate and cooling water)</w:t>
            </w:r>
          </w:p>
          <w:p w:rsidR="00000000" w:rsidRPr="00A117AA" w:rsidP="00A117AA">
            <w:pPr>
              <w:pStyle w:val="ListBullet"/>
            </w:pPr>
            <w:r w:rsidRPr="00A117AA">
              <w:t xml:space="preserve">limited head spaces or overhangs </w:t>
            </w:r>
          </w:p>
          <w:p w:rsidR="00000000" w:rsidRPr="00A117AA" w:rsidP="00A117AA">
            <w:pPr>
              <w:pStyle w:val="ListBullet"/>
            </w:pPr>
            <w:r w:rsidRPr="00A117AA">
              <w:t>flammability and explosivity</w:t>
            </w:r>
          </w:p>
          <w:p w:rsidR="00000000" w:rsidRPr="00A117AA" w:rsidP="00A117AA">
            <w:pPr>
              <w:pStyle w:val="ListBullet"/>
            </w:pPr>
            <w:r w:rsidRPr="00A117AA">
              <w:t>hazardous products and materials</w:t>
            </w:r>
          </w:p>
          <w:p w:rsidR="00000000" w:rsidRPr="00A117AA" w:rsidP="00A117AA">
            <w:pPr>
              <w:pStyle w:val="ListBullet"/>
            </w:pPr>
            <w:r w:rsidRPr="00A117AA">
              <w:t>unauthorised personn</w:t>
            </w:r>
            <w:r w:rsidRPr="00A117AA">
              <w:t>el</w:t>
            </w:r>
          </w:p>
          <w:p w:rsidR="00000000" w:rsidRPr="00A117AA" w:rsidP="00A117AA">
            <w:pPr>
              <w:pStyle w:val="ListBullet"/>
            </w:pPr>
            <w:r w:rsidRPr="00A117AA">
              <w:t>slippery surfaces, spills or leaks</w:t>
            </w:r>
          </w:p>
          <w:p w:rsidR="00000000" w:rsidRPr="00A117AA" w:rsidP="00A117AA">
            <w:pPr>
              <w:pStyle w:val="ListBullet"/>
            </w:pPr>
            <w:r w:rsidRPr="00A117AA">
              <w:t>other hazards that might arise</w:t>
            </w:r>
          </w:p>
          <w:p w:rsidR="00000000" w:rsidP="00A117AA">
            <w:pPr>
              <w:pStyle w:val="BodyText"/>
              <w:rPr>
                <w:lang w:val="en-NZ"/>
              </w:rPr>
            </w:pPr>
          </w:p>
        </w:tc>
      </w:tr>
      <w:tr w:rsidTr="001B53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7AA">
            <w:pPr>
              <w:pStyle w:val="BodyText"/>
              <w:rPr>
                <w:lang w:val="en-NZ"/>
              </w:rPr>
            </w:pPr>
            <w:r w:rsidRPr="00A117A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117AA" w:rsidP="00A117AA">
            <w:pPr>
              <w:pStyle w:val="BodyText"/>
            </w:pPr>
            <w:r w:rsidRPr="00A117AA">
              <w:t>All operations must be performed in accordance with relevant procedures.</w:t>
            </w:r>
          </w:p>
          <w:p w:rsidR="00000000" w:rsidRPr="00A117AA" w:rsidP="00A117AA">
            <w:pPr>
              <w:pStyle w:val="BodyText"/>
            </w:pPr>
          </w:p>
          <w:p w:rsidR="00000000" w:rsidRPr="00A117AA" w:rsidP="00A117AA">
            <w:pPr>
              <w:pStyle w:val="BodyText"/>
            </w:pPr>
            <w:r w:rsidRPr="00A117AA">
              <w:t>Procedures are written, verbal, visual, computer-based or in some other form</w:t>
            </w:r>
            <w:r w:rsidRPr="00A117AA">
              <w:t>, include one or more of the following:</w:t>
            </w:r>
          </w:p>
          <w:p w:rsidR="00000000" w:rsidRPr="00A117AA" w:rsidP="00A117AA">
            <w:pPr>
              <w:pStyle w:val="ListBullet"/>
            </w:pPr>
            <w:r w:rsidRPr="00A117AA">
              <w:t>work instructions</w:t>
            </w:r>
          </w:p>
          <w:p w:rsidR="00000000" w:rsidRPr="00A117AA" w:rsidP="00A117AA">
            <w:pPr>
              <w:pStyle w:val="ListBullet"/>
            </w:pPr>
            <w:r w:rsidRPr="00A117AA">
              <w:t>standard operating procedures (SOPs)</w:t>
            </w:r>
          </w:p>
          <w:p w:rsidR="00000000" w:rsidRPr="00A117AA" w:rsidP="00A117AA">
            <w:pPr>
              <w:pStyle w:val="ListBullet"/>
            </w:pPr>
            <w:r w:rsidRPr="00A117AA">
              <w:t>safe work method statements (SWMS)</w:t>
            </w:r>
          </w:p>
          <w:p w:rsidR="00000000" w:rsidRPr="00A117AA" w:rsidP="00A117AA">
            <w:pPr>
              <w:pStyle w:val="ListBullet"/>
            </w:pPr>
            <w:r w:rsidRPr="00A117AA">
              <w:t>formulas/recipes</w:t>
            </w:r>
          </w:p>
          <w:p w:rsidR="00000000" w:rsidRPr="00A117AA" w:rsidP="00A117AA">
            <w:pPr>
              <w:pStyle w:val="ListBullet"/>
            </w:pPr>
            <w:r w:rsidRPr="00A117AA">
              <w:t>batch sheets</w:t>
            </w:r>
          </w:p>
          <w:p w:rsidR="00000000" w:rsidRPr="00A117AA" w:rsidP="00A117AA">
            <w:pPr>
              <w:pStyle w:val="ListBullet"/>
            </w:pPr>
            <w:r w:rsidRPr="00A117AA">
              <w:t>temporary instructions</w:t>
            </w:r>
          </w:p>
          <w:p w:rsidR="00000000" w:rsidRPr="00A117AA" w:rsidP="00A117AA">
            <w:pPr>
              <w:pStyle w:val="ListBullet"/>
            </w:pPr>
            <w:r w:rsidRPr="00A117AA">
              <w:t>any similar instructions provided for the smooth running of the plant</w:t>
            </w:r>
          </w:p>
        </w:tc>
      </w:tr>
    </w:tbl>
    <w:p w:rsidR="00000000" w:rsidRPr="00A117AA" w:rsidP="00A117AA">
      <w:pPr>
        <w:pStyle w:val="BodyText"/>
      </w:pPr>
    </w:p>
    <w:p w:rsidR="00000000" w:rsidRPr="00A117AA" w:rsidP="00A117AA">
      <w:pPr>
        <w:pStyle w:val="AllowPageBreak"/>
      </w:pPr>
    </w:p>
    <w:p w:rsidR="00000000" w:rsidRPr="00A117AA" w:rsidP="00A117AA">
      <w:pPr>
        <w:pStyle w:val="Heading1"/>
      </w:pPr>
      <w:bookmarkStart w:id="9" w:name="O_908089"/>
      <w:bookmarkEnd w:id="9"/>
      <w:r w:rsidRPr="00A117AA">
        <w:t>Unit Mapping Information</w:t>
      </w:r>
    </w:p>
    <w:p w:rsidR="00000000" w:rsidRPr="00A117AA" w:rsidP="001B536F">
      <w:pPr>
        <w:pStyle w:val="BodyText"/>
      </w:pPr>
      <w:r w:rsidRPr="00A117AA">
        <w:t>Release 1. Supersedes and is equivalent to PMAOPS350B Match and adjust colour</w:t>
      </w:r>
    </w:p>
    <w:p w:rsidR="00000000" w:rsidRPr="00A117AA" w:rsidP="00A117AA">
      <w:pPr>
        <w:pStyle w:val="Heading1"/>
      </w:pPr>
      <w:bookmarkStart w:id="10" w:name="O_908082"/>
      <w:bookmarkEnd w:id="10"/>
      <w:r w:rsidRPr="00A117AA">
        <w:t>Links</w:t>
      </w:r>
    </w:p>
    <w:p w:rsidR="00000000" w:rsidRPr="00A117AA" w:rsidP="001B536F">
      <w:pPr>
        <w:pStyle w:val="BodyText"/>
      </w:pPr>
      <w:r w:rsidRPr="00A117AA">
        <w:t xml:space="preserve">Companion </w:t>
      </w:r>
      <w:r w:rsidRPr="00A117AA">
        <w:t xml:space="preserve">Volume implementation guides are found in VETNet - </w:t>
      </w:r>
      <w:r>
        <w:fldChar w:fldCharType="begin"/>
      </w:r>
      <w:r>
        <w:instrText xml:space="preserve"> HYPERLINK "https://vetnet.gov.au/Pages/TrainingDocs.aspx?q=9fc2cf53-e570-4e9f-ad6a-b228ffdb6875" </w:instrText>
      </w:r>
      <w:r>
        <w:fldChar w:fldCharType="separate"/>
      </w:r>
      <w:r w:rsidRPr="009B5687">
        <w:rPr>
          <w:rStyle w:val="Hyperlink"/>
        </w:rPr>
        <w:t>https://vetnet.gov.au/Pages/TrainingDocs.aspx?q=9fc2cf53-e570-4e9f-ad6a-b228ffdb6875</w:t>
      </w:r>
      <w:r>
        <w:fldChar w:fldCharType="end"/>
      </w:r>
    </w:p>
    <w:p w:rsidR="00000000" w:rsidRPr="00A117AA" w:rsidP="00A117AA"/>
    <w:sectPr w:rsidSect="00A117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AA" w:rsidRPr="001B536F" w:rsidP="001B5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36F" w:rsidP="00A117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536F" w:rsidP="00A117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536F" w:rsidP="00A117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3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7AA" w:rsidRPr="001B536F" w:rsidP="001B53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36F" w:rsidRPr="002D2AF8" w:rsidP="00A117AA">
    <w:pPr>
      <w:pStyle w:val="Header"/>
      <w:framePr w:wrap="around"/>
    </w:pPr>
    <w:r>
      <w:fldChar w:fldCharType="begin"/>
    </w:r>
    <w:r>
      <w:instrText xml:space="preserve"> TITLE   \* MERGEFORMAT </w:instrText>
    </w:r>
    <w:r>
      <w:fldChar w:fldCharType="separate"/>
    </w:r>
    <w:r>
      <w:t>PMAOPS350 Match and adjust colour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1B536F" w:rsidP="00A117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A20B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76F0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7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7AA"/>
    <w:pPr>
      <w:spacing w:before="360" w:after="60"/>
      <w:outlineLvl w:val="0"/>
    </w:pPr>
    <w:rPr>
      <w:sz w:val="32"/>
    </w:rPr>
  </w:style>
  <w:style w:type="paragraph" w:styleId="Heading2">
    <w:name w:val="heading 2"/>
    <w:basedOn w:val="HeadingBase"/>
    <w:next w:val="BodyText"/>
    <w:link w:val="Heading2Char"/>
    <w:qFormat/>
    <w:rsid w:val="00A117AA"/>
    <w:pPr>
      <w:keepLines/>
      <w:spacing w:before="240" w:after="120"/>
      <w:outlineLvl w:val="1"/>
    </w:pPr>
    <w:rPr>
      <w:sz w:val="28"/>
      <w:szCs w:val="40"/>
    </w:rPr>
  </w:style>
  <w:style w:type="paragraph" w:styleId="Heading3">
    <w:name w:val="heading 3"/>
    <w:basedOn w:val="HeadingBase"/>
    <w:next w:val="BodyText"/>
    <w:link w:val="Heading3Char"/>
    <w:qFormat/>
    <w:rsid w:val="00A117AA"/>
    <w:pPr>
      <w:spacing w:before="180" w:after="120"/>
      <w:outlineLvl w:val="2"/>
    </w:pPr>
    <w:rPr>
      <w:spacing w:val="-10"/>
      <w:kern w:val="32"/>
    </w:rPr>
  </w:style>
  <w:style w:type="paragraph" w:styleId="Heading4">
    <w:name w:val="heading 4"/>
    <w:basedOn w:val="HeadingBase"/>
    <w:next w:val="BodyText"/>
    <w:link w:val="Heading4Char"/>
    <w:qFormat/>
    <w:rsid w:val="00A117AA"/>
    <w:pPr>
      <w:spacing w:before="160" w:after="120"/>
      <w:outlineLvl w:val="3"/>
    </w:pPr>
    <w:rPr>
      <w:sz w:val="22"/>
    </w:rPr>
  </w:style>
  <w:style w:type="paragraph" w:styleId="Heading5">
    <w:name w:val="heading 5"/>
    <w:basedOn w:val="HeadingBase"/>
    <w:next w:val="Normal"/>
    <w:link w:val="Heading5Char"/>
    <w:qFormat/>
    <w:rsid w:val="00A117AA"/>
    <w:pPr>
      <w:spacing w:before="80"/>
      <w:outlineLvl w:val="4"/>
    </w:pPr>
    <w:rPr>
      <w:color w:val="918585"/>
      <w:sz w:val="20"/>
    </w:rPr>
  </w:style>
  <w:style w:type="paragraph" w:styleId="Heading6">
    <w:name w:val="heading 6"/>
    <w:basedOn w:val="HeadingBase"/>
    <w:next w:val="Normal"/>
    <w:link w:val="Heading6Char"/>
    <w:qFormat/>
    <w:rsid w:val="00A117AA"/>
    <w:pPr>
      <w:spacing w:before="60"/>
      <w:outlineLvl w:val="5"/>
    </w:pPr>
    <w:rPr>
      <w:color w:val="918585"/>
      <w:sz w:val="20"/>
    </w:rPr>
  </w:style>
  <w:style w:type="paragraph" w:styleId="Heading7">
    <w:name w:val="heading 7"/>
    <w:basedOn w:val="Normal"/>
    <w:next w:val="Normal"/>
    <w:link w:val="Heading7Char"/>
    <w:qFormat/>
    <w:rsid w:val="00A117AA"/>
    <w:pPr>
      <w:ind w:left="720"/>
      <w:outlineLvl w:val="6"/>
    </w:pPr>
    <w:rPr>
      <w:i/>
    </w:rPr>
  </w:style>
  <w:style w:type="paragraph" w:styleId="Heading8">
    <w:name w:val="heading 8"/>
    <w:basedOn w:val="Normal"/>
    <w:next w:val="Normal"/>
    <w:link w:val="Heading8Char"/>
    <w:qFormat/>
    <w:rsid w:val="00A117AA"/>
    <w:pPr>
      <w:ind w:left="720"/>
      <w:outlineLvl w:val="7"/>
    </w:pPr>
    <w:rPr>
      <w:i/>
    </w:rPr>
  </w:style>
  <w:style w:type="paragraph" w:styleId="Heading9">
    <w:name w:val="heading 9"/>
    <w:basedOn w:val="Normal"/>
    <w:next w:val="Normal"/>
    <w:link w:val="Heading9Char"/>
    <w:qFormat/>
    <w:rsid w:val="00A117AA"/>
    <w:pPr>
      <w:ind w:left="720"/>
      <w:outlineLvl w:val="8"/>
    </w:pPr>
    <w:rPr>
      <w:i/>
    </w:rPr>
  </w:style>
  <w:style w:type="character" w:default="1" w:styleId="DefaultParagraphFont">
    <w:name w:val="Default Paragraph Font"/>
    <w:uiPriority w:val="1"/>
    <w:unhideWhenUsed/>
    <w:rsid w:val="00A11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7AA"/>
  </w:style>
  <w:style w:type="character" w:customStyle="1" w:styleId="Heading1Char">
    <w:name w:val="Heading 1 Char"/>
    <w:basedOn w:val="DefaultParagraphFont"/>
    <w:link w:val="Heading1"/>
    <w:rsid w:val="00A117AA"/>
    <w:rPr>
      <w:rFonts w:ascii="Times New Roman" w:eastAsia="Times New Roman" w:hAnsi="Times New Roman" w:cs="Times New Roman"/>
      <w:b/>
      <w:sz w:val="32"/>
      <w:szCs w:val="20"/>
      <w:lang w:eastAsia="en-US"/>
    </w:rPr>
  </w:style>
  <w:style w:type="paragraph" w:styleId="BodyText">
    <w:name w:val="Body Text"/>
    <w:basedOn w:val="Normal"/>
    <w:link w:val="BodyTextChar"/>
    <w:rsid w:val="00A117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7AA"/>
    <w:rPr>
      <w:rFonts w:ascii="Times New Roman" w:eastAsia="Times New Roman" w:hAnsi="Times New Roman" w:cs="Times New Roman"/>
      <w:sz w:val="24"/>
      <w:lang w:eastAsia="en-US"/>
    </w:rPr>
  </w:style>
  <w:style w:type="paragraph" w:styleId="ListBullet">
    <w:name w:val="List Bullet"/>
    <w:basedOn w:val="List"/>
    <w:rsid w:val="00A117AA"/>
    <w:pPr>
      <w:numPr>
        <w:numId w:val="11"/>
      </w:numPr>
      <w:tabs>
        <w:tab w:val="clear" w:pos="340"/>
      </w:tabs>
      <w:spacing w:before="40" w:after="40"/>
    </w:pPr>
  </w:style>
  <w:style w:type="character" w:customStyle="1" w:styleId="SpecialBold">
    <w:name w:val="Special Bold"/>
    <w:basedOn w:val="DefaultParagraphFont"/>
    <w:rsid w:val="00A117AA"/>
    <w:rPr>
      <w:b/>
      <w:spacing w:val="0"/>
    </w:rPr>
  </w:style>
  <w:style w:type="paragraph" w:customStyle="1" w:styleId="SuperHeading">
    <w:name w:val="SuperHeading"/>
    <w:basedOn w:val="Normal"/>
    <w:rsid w:val="00A117AA"/>
    <w:pPr>
      <w:spacing w:before="240" w:after="120"/>
      <w:outlineLvl w:val="0"/>
    </w:pPr>
    <w:rPr>
      <w:rFonts w:ascii="Times New Roman" w:hAnsi="Times New Roman"/>
      <w:b/>
      <w:sz w:val="32"/>
    </w:rPr>
  </w:style>
  <w:style w:type="paragraph" w:customStyle="1" w:styleId="AllowPageBreak">
    <w:name w:val="AllowPageBreak"/>
    <w:rsid w:val="00A117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1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7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7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7AA"/>
    <w:rPr>
      <w:rFonts w:ascii="Courier New" w:eastAsia="Times New Roman" w:hAnsi="Courier New" w:cs="Times New Roman"/>
      <w:i/>
      <w:szCs w:val="20"/>
      <w:lang w:eastAsia="en-US"/>
    </w:rPr>
  </w:style>
  <w:style w:type="paragraph" w:customStyle="1" w:styleId="HeadingBase">
    <w:name w:val="Heading Base"/>
    <w:rsid w:val="00A11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7AA"/>
    <w:pPr>
      <w:tabs>
        <w:tab w:val="right" w:leader="dot" w:pos="9072"/>
      </w:tabs>
      <w:ind w:left="567"/>
    </w:pPr>
    <w:rPr>
      <w:szCs w:val="22"/>
    </w:rPr>
  </w:style>
  <w:style w:type="paragraph" w:customStyle="1" w:styleId="TOCBase">
    <w:name w:val="TOC Base"/>
    <w:rsid w:val="00A11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7AA"/>
    <w:pPr>
      <w:tabs>
        <w:tab w:val="right" w:leader="dot" w:pos="9072"/>
      </w:tabs>
      <w:spacing w:before="40" w:after="40"/>
      <w:ind w:left="284"/>
    </w:pPr>
    <w:rPr>
      <w:rFonts w:ascii="Times New Roman" w:hAnsi="Times New Roman"/>
    </w:rPr>
  </w:style>
  <w:style w:type="paragraph" w:styleId="TOC1">
    <w:name w:val="toc 1"/>
    <w:basedOn w:val="TOCBase"/>
    <w:next w:val="Normal"/>
    <w:rsid w:val="00A117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7AA"/>
    <w:rPr>
      <w:rFonts w:ascii="Times New Roman" w:eastAsia="Times New Roman" w:hAnsi="Times New Roman" w:cs="Times New Roman"/>
      <w:sz w:val="16"/>
      <w:lang w:eastAsia="en-US"/>
    </w:rPr>
  </w:style>
  <w:style w:type="paragraph" w:styleId="Title">
    <w:name w:val="Title"/>
    <w:basedOn w:val="HeadingBase"/>
    <w:link w:val="TitleChar"/>
    <w:qFormat/>
    <w:rsid w:val="00A117AA"/>
    <w:pPr>
      <w:spacing w:before="5040"/>
      <w:jc w:val="center"/>
    </w:pPr>
    <w:rPr>
      <w:sz w:val="48"/>
      <w:szCs w:val="72"/>
      <w:lang w:val="en-US"/>
    </w:rPr>
  </w:style>
  <w:style w:type="character" w:customStyle="1" w:styleId="TitleChar">
    <w:name w:val="Title Char"/>
    <w:basedOn w:val="DefaultParagraphFont"/>
    <w:link w:val="Title"/>
    <w:rsid w:val="00A11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7AA"/>
    <w:pPr>
      <w:tabs>
        <w:tab w:val="left" w:pos="3600"/>
        <w:tab w:val="left" w:pos="3958"/>
      </w:tabs>
    </w:pPr>
  </w:style>
  <w:style w:type="paragraph" w:styleId="List">
    <w:name w:val="List"/>
    <w:basedOn w:val="BodyText"/>
    <w:next w:val="BodyText"/>
    <w:rsid w:val="00A117AA"/>
    <w:pPr>
      <w:tabs>
        <w:tab w:val="left" w:pos="340"/>
      </w:tabs>
      <w:spacing w:before="60" w:after="60"/>
      <w:ind w:left="340" w:hanging="340"/>
    </w:pPr>
  </w:style>
  <w:style w:type="paragraph" w:customStyle="1" w:styleId="Note">
    <w:name w:val="Note"/>
    <w:basedOn w:val="BodyText"/>
    <w:rsid w:val="00A11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7AA"/>
    <w:pPr>
      <w:framePr w:wrap="auto" w:hAnchor="text" w:y="6049"/>
    </w:pPr>
    <w:rPr>
      <w:color w:val="000000"/>
      <w:sz w:val="40"/>
    </w:rPr>
  </w:style>
  <w:style w:type="paragraph" w:customStyle="1" w:styleId="TOCTitle">
    <w:name w:val="TOCTitle"/>
    <w:basedOn w:val="Heading1"/>
    <w:rsid w:val="00A117AA"/>
    <w:pPr>
      <w:spacing w:after="240"/>
      <w:jc w:val="center"/>
      <w:outlineLvl w:val="9"/>
    </w:pPr>
    <w:rPr>
      <w:caps/>
    </w:rPr>
  </w:style>
  <w:style w:type="paragraph" w:customStyle="1" w:styleId="Version">
    <w:name w:val="Version"/>
    <w:rsid w:val="00A117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17AA"/>
    <w:pPr>
      <w:numPr>
        <w:numId w:val="12"/>
      </w:numPr>
      <w:tabs>
        <w:tab w:val="clear" w:pos="680"/>
      </w:tabs>
    </w:pPr>
  </w:style>
  <w:style w:type="paragraph" w:styleId="Index1">
    <w:name w:val="index 1"/>
    <w:basedOn w:val="Normal"/>
    <w:next w:val="Normal"/>
    <w:semiHidden/>
    <w:rsid w:val="00A117AA"/>
    <w:pPr>
      <w:keepNext w:val="0"/>
      <w:tabs>
        <w:tab w:val="right" w:pos="4176"/>
      </w:tabs>
      <w:ind w:left="198" w:hanging="198"/>
    </w:pPr>
    <w:rPr>
      <w:rFonts w:ascii="Garamond" w:hAnsi="Garamond"/>
    </w:rPr>
  </w:style>
  <w:style w:type="paragraph" w:styleId="IndexHeading">
    <w:name w:val="index heading"/>
    <w:basedOn w:val="Normal"/>
    <w:next w:val="Index1"/>
    <w:semiHidden/>
    <w:rsid w:val="00A117AA"/>
    <w:pPr>
      <w:spacing w:before="120" w:after="120"/>
    </w:pPr>
    <w:rPr>
      <w:rFonts w:ascii="Arial" w:hAnsi="Arial"/>
      <w:b/>
      <w:color w:val="918585"/>
      <w:sz w:val="24"/>
    </w:rPr>
  </w:style>
  <w:style w:type="paragraph" w:styleId="Header">
    <w:name w:val="header"/>
    <w:basedOn w:val="Normal"/>
    <w:link w:val="HeaderChar"/>
    <w:rsid w:val="00A11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7AA"/>
    <w:rPr>
      <w:rFonts w:ascii="Times New Roman" w:eastAsia="Times New Roman" w:hAnsi="Times New Roman" w:cs="Times New Roman"/>
      <w:sz w:val="16"/>
      <w:szCs w:val="20"/>
      <w:lang w:val="en-GB" w:eastAsia="en-US"/>
    </w:rPr>
  </w:style>
  <w:style w:type="paragraph" w:customStyle="1" w:styleId="Chapter">
    <w:name w:val="Chapter"/>
    <w:basedOn w:val="Normal"/>
    <w:rsid w:val="00A117AA"/>
    <w:pPr>
      <w:spacing w:before="240"/>
    </w:pPr>
    <w:rPr>
      <w:rFonts w:ascii="Times New Roman" w:hAnsi="Times New Roman"/>
      <w:smallCaps/>
      <w:spacing w:val="80"/>
      <w:sz w:val="28"/>
    </w:rPr>
  </w:style>
  <w:style w:type="paragraph" w:customStyle="1" w:styleId="InChapter">
    <w:name w:val="InChapter"/>
    <w:basedOn w:val="Heading3"/>
    <w:rsid w:val="00A117AA"/>
    <w:pPr>
      <w:spacing w:after="240"/>
      <w:outlineLvl w:val="9"/>
    </w:pPr>
    <w:rPr>
      <w:noProof/>
    </w:rPr>
  </w:style>
  <w:style w:type="paragraph" w:styleId="Index2">
    <w:name w:val="index 2"/>
    <w:basedOn w:val="Normal"/>
    <w:next w:val="Normal"/>
    <w:semiHidden/>
    <w:rsid w:val="00A117AA"/>
    <w:pPr>
      <w:tabs>
        <w:tab w:val="right" w:pos="4176"/>
      </w:tabs>
      <w:ind w:left="568" w:hanging="284"/>
    </w:pPr>
    <w:rPr>
      <w:rFonts w:ascii="Garamond" w:hAnsi="Garamond"/>
    </w:rPr>
  </w:style>
  <w:style w:type="paragraph" w:customStyle="1" w:styleId="Byline">
    <w:name w:val="Byline"/>
    <w:rsid w:val="00A11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7AA"/>
    <w:pPr>
      <w:tabs>
        <w:tab w:val="clear" w:pos="3600"/>
        <w:tab w:val="clear" w:pos="3958"/>
      </w:tabs>
      <w:jc w:val="right"/>
    </w:pPr>
  </w:style>
  <w:style w:type="character" w:styleId="Emphasis">
    <w:name w:val="Emphasis"/>
    <w:basedOn w:val="DefaultParagraphFont"/>
    <w:qFormat/>
    <w:rsid w:val="00A117AA"/>
    <w:rPr>
      <w:i/>
    </w:rPr>
  </w:style>
  <w:style w:type="paragraph" w:styleId="Caption">
    <w:name w:val="caption"/>
    <w:basedOn w:val="BodyText"/>
    <w:next w:val="Normal"/>
    <w:qFormat/>
    <w:rsid w:val="00A117AA"/>
    <w:pPr>
      <w:framePr w:w="2268" w:hSpace="181" w:vSpace="181" w:wrap="around" w:vAnchor="text" w:hAnchor="page" w:x="1135" w:y="285" w:anchorLock="1"/>
    </w:pPr>
    <w:rPr>
      <w:i/>
    </w:rPr>
  </w:style>
  <w:style w:type="paragraph" w:customStyle="1" w:styleId="MiniTOCTitle">
    <w:name w:val="MiniTOCTitle"/>
    <w:basedOn w:val="Heading4"/>
    <w:rsid w:val="00A117AA"/>
    <w:pPr>
      <w:spacing w:before="240"/>
      <w:outlineLvl w:val="9"/>
    </w:pPr>
    <w:rPr>
      <w:noProof/>
      <w:sz w:val="24"/>
    </w:rPr>
  </w:style>
  <w:style w:type="paragraph" w:customStyle="1" w:styleId="MiniTOCItem">
    <w:name w:val="MiniTOCItem"/>
    <w:basedOn w:val="ListBullet"/>
    <w:rsid w:val="00A117AA"/>
    <w:pPr>
      <w:numPr>
        <w:numId w:val="0"/>
      </w:numPr>
      <w:tabs>
        <w:tab w:val="right" w:leader="dot" w:pos="6521"/>
      </w:tabs>
      <w:spacing w:before="0" w:after="0"/>
    </w:pPr>
  </w:style>
  <w:style w:type="paragraph" w:customStyle="1" w:styleId="TOFTitle">
    <w:name w:val="TOFTitle"/>
    <w:basedOn w:val="TOCTitle"/>
    <w:rsid w:val="00A117AA"/>
  </w:style>
  <w:style w:type="paragraph" w:styleId="TableofFigures">
    <w:name w:val="table of figures"/>
    <w:basedOn w:val="Normal"/>
    <w:next w:val="Normal"/>
    <w:semiHidden/>
    <w:rsid w:val="00A117AA"/>
    <w:pPr>
      <w:tabs>
        <w:tab w:val="right" w:leader="dot" w:pos="9072"/>
      </w:tabs>
      <w:ind w:left="970" w:hanging="403"/>
    </w:pPr>
    <w:rPr>
      <w:rFonts w:ascii="Times New Roman" w:hAnsi="Times New Roman"/>
      <w:b/>
    </w:rPr>
  </w:style>
  <w:style w:type="paragraph" w:styleId="ListNumber">
    <w:name w:val="List Number"/>
    <w:basedOn w:val="List"/>
    <w:rsid w:val="00A117AA"/>
    <w:pPr>
      <w:numPr>
        <w:numId w:val="14"/>
      </w:numPr>
      <w:tabs>
        <w:tab w:val="clear" w:pos="340"/>
      </w:tabs>
    </w:pPr>
  </w:style>
  <w:style w:type="character" w:customStyle="1" w:styleId="WingdingSymbols">
    <w:name w:val="Wingding Symbols"/>
    <w:rsid w:val="00A117AA"/>
    <w:rPr>
      <w:rFonts w:ascii="Wingdings" w:hAnsi="Wingdings"/>
    </w:rPr>
  </w:style>
  <w:style w:type="paragraph" w:customStyle="1" w:styleId="TableHeading">
    <w:name w:val="Table Heading"/>
    <w:basedOn w:val="HeadingBase"/>
    <w:rsid w:val="00A117AA"/>
    <w:pPr>
      <w:keepLines/>
      <w:pBdr>
        <w:bottom w:val="single" w:sz="6" w:space="1" w:color="918585"/>
      </w:pBdr>
      <w:spacing w:before="240"/>
    </w:pPr>
  </w:style>
  <w:style w:type="character" w:customStyle="1" w:styleId="HotSpot">
    <w:name w:val="HotSpot"/>
    <w:rsid w:val="00A117AA"/>
    <w:rPr>
      <w:color w:val="0033CC"/>
      <w:u w:val="none"/>
    </w:rPr>
  </w:style>
  <w:style w:type="paragraph" w:customStyle="1" w:styleId="BodyTextRight">
    <w:name w:val="Body Text Right"/>
    <w:basedOn w:val="BodyText"/>
    <w:rsid w:val="00A117AA"/>
    <w:pPr>
      <w:spacing w:before="0" w:after="0"/>
      <w:jc w:val="right"/>
    </w:pPr>
  </w:style>
  <w:style w:type="paragraph" w:styleId="Index3">
    <w:name w:val="index 3"/>
    <w:basedOn w:val="ListNumber2"/>
    <w:next w:val="Normal"/>
    <w:semiHidden/>
    <w:rsid w:val="00A117AA"/>
    <w:pPr>
      <w:numPr>
        <w:numId w:val="0"/>
      </w:numPr>
      <w:tabs>
        <w:tab w:val="right" w:leader="dot" w:pos="4176"/>
      </w:tabs>
    </w:pPr>
  </w:style>
  <w:style w:type="paragraph" w:styleId="ListNumber2">
    <w:name w:val="List Number 2"/>
    <w:basedOn w:val="List2"/>
    <w:rsid w:val="00A117AA"/>
    <w:pPr>
      <w:numPr>
        <w:numId w:val="9"/>
      </w:numPr>
      <w:tabs>
        <w:tab w:val="clear" w:pos="1060"/>
      </w:tabs>
    </w:pPr>
  </w:style>
  <w:style w:type="paragraph" w:customStyle="1" w:styleId="MarginNote">
    <w:name w:val="Margin Note"/>
    <w:basedOn w:val="BodyText"/>
    <w:rsid w:val="00A11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7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7AA"/>
    <w:rPr>
      <w:sz w:val="32"/>
    </w:rPr>
  </w:style>
  <w:style w:type="paragraph" w:customStyle="1" w:styleId="HeadingProcedure">
    <w:name w:val="Heading Procedure"/>
    <w:basedOn w:val="HeadingBase"/>
    <w:next w:val="Normal"/>
    <w:rsid w:val="00A117AA"/>
    <w:pPr>
      <w:tabs>
        <w:tab w:val="left" w:pos="0"/>
      </w:tabs>
      <w:spacing w:before="120" w:after="60"/>
    </w:pPr>
    <w:rPr>
      <w:i/>
      <w:color w:val="918585"/>
      <w:sz w:val="22"/>
    </w:rPr>
  </w:style>
  <w:style w:type="paragraph" w:customStyle="1" w:styleId="TableBodyText">
    <w:name w:val="Table Body Text"/>
    <w:basedOn w:val="BodyText"/>
    <w:rsid w:val="00A117AA"/>
    <w:pPr>
      <w:spacing w:before="60" w:after="60"/>
    </w:pPr>
  </w:style>
  <w:style w:type="paragraph" w:styleId="ListContinue">
    <w:name w:val="List Continue"/>
    <w:basedOn w:val="List"/>
    <w:rsid w:val="00A117AA"/>
    <w:pPr>
      <w:ind w:firstLine="0"/>
    </w:pPr>
  </w:style>
  <w:style w:type="paragraph" w:customStyle="1" w:styleId="ListNote">
    <w:name w:val="List Note"/>
    <w:basedOn w:val="List"/>
    <w:rsid w:val="00A117AA"/>
    <w:pPr>
      <w:pBdr>
        <w:top w:val="single" w:sz="6" w:space="2" w:color="918585"/>
        <w:bottom w:val="single" w:sz="6" w:space="2" w:color="918585"/>
      </w:pBdr>
      <w:tabs>
        <w:tab w:val="left" w:pos="1021"/>
      </w:tabs>
      <w:ind w:firstLine="0"/>
    </w:pPr>
  </w:style>
  <w:style w:type="paragraph" w:customStyle="1" w:styleId="Warning">
    <w:name w:val="Warning"/>
    <w:basedOn w:val="BodyText"/>
    <w:rsid w:val="00A117AA"/>
    <w:pPr>
      <w:shd w:val="clear" w:color="auto" w:fill="D9D9D9"/>
      <w:tabs>
        <w:tab w:val="left" w:pos="992"/>
      </w:tabs>
      <w:ind w:left="119" w:right="119"/>
    </w:pPr>
    <w:rPr>
      <w:sz w:val="20"/>
    </w:rPr>
  </w:style>
  <w:style w:type="paragraph" w:customStyle="1" w:styleId="MarginIcons">
    <w:name w:val="Margin Icons"/>
    <w:basedOn w:val="BodyText"/>
    <w:rsid w:val="00A11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7AA"/>
    <w:rPr>
      <w:rFonts w:ascii="Courier New" w:hAnsi="Courier New"/>
    </w:rPr>
  </w:style>
  <w:style w:type="paragraph" w:customStyle="1" w:styleId="NoteBullet">
    <w:name w:val="Note Bullet"/>
    <w:basedOn w:val="Note"/>
    <w:rsid w:val="00A117AA"/>
    <w:pPr>
      <w:tabs>
        <w:tab w:val="clear" w:pos="680"/>
      </w:tabs>
      <w:spacing w:before="60" w:after="60"/>
    </w:pPr>
  </w:style>
  <w:style w:type="paragraph" w:customStyle="1" w:styleId="SubHeading2">
    <w:name w:val="SubHeading2"/>
    <w:basedOn w:val="HeadingBase"/>
    <w:rsid w:val="00A117AA"/>
    <w:pPr>
      <w:spacing w:before="240" w:after="60"/>
    </w:pPr>
    <w:rPr>
      <w:sz w:val="20"/>
    </w:rPr>
  </w:style>
  <w:style w:type="paragraph" w:customStyle="1" w:styleId="SubHeading1">
    <w:name w:val="SubHeading1"/>
    <w:basedOn w:val="HeadingBase"/>
    <w:rsid w:val="00A117AA"/>
    <w:pPr>
      <w:spacing w:before="240" w:after="60"/>
    </w:pPr>
    <w:rPr>
      <w:color w:val="918585"/>
      <w:sz w:val="22"/>
    </w:rPr>
  </w:style>
  <w:style w:type="paragraph" w:customStyle="1" w:styleId="SideHeading">
    <w:name w:val="Side Heading"/>
    <w:basedOn w:val="HeadingBase"/>
    <w:rsid w:val="00A11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7AA"/>
    <w:pPr>
      <w:numPr>
        <w:numId w:val="10"/>
      </w:numPr>
    </w:pPr>
  </w:style>
  <w:style w:type="paragraph" w:styleId="PlainText">
    <w:name w:val="Plain Text"/>
    <w:basedOn w:val="Normal"/>
    <w:link w:val="PlainTextChar"/>
    <w:rsid w:val="00A117AA"/>
    <w:rPr>
      <w:sz w:val="20"/>
    </w:rPr>
  </w:style>
  <w:style w:type="character" w:customStyle="1" w:styleId="PlainTextChar">
    <w:name w:val="Plain Text Char"/>
    <w:basedOn w:val="DefaultParagraphFont"/>
    <w:link w:val="PlainText"/>
    <w:rsid w:val="00A117AA"/>
    <w:rPr>
      <w:rFonts w:ascii="Courier New" w:eastAsia="Times New Roman" w:hAnsi="Courier New" w:cs="Times New Roman"/>
      <w:sz w:val="20"/>
      <w:szCs w:val="20"/>
      <w:lang w:eastAsia="en-US"/>
    </w:rPr>
  </w:style>
  <w:style w:type="character" w:customStyle="1" w:styleId="MenuOption">
    <w:name w:val="Menu Option"/>
    <w:basedOn w:val="DefaultParagraphFont"/>
    <w:rsid w:val="00A117AA"/>
    <w:rPr>
      <w:b/>
      <w:smallCaps/>
    </w:rPr>
  </w:style>
  <w:style w:type="paragraph" w:customStyle="1" w:styleId="TableListNumber">
    <w:name w:val="Table List Number"/>
    <w:basedOn w:val="ListNumber"/>
    <w:rsid w:val="00A117AA"/>
    <w:pPr>
      <w:numPr>
        <w:numId w:val="0"/>
      </w:numPr>
    </w:pPr>
  </w:style>
  <w:style w:type="paragraph" w:styleId="TOC4">
    <w:name w:val="toc 4"/>
    <w:basedOn w:val="TOCBase"/>
    <w:next w:val="Normal"/>
    <w:semiHidden/>
    <w:rsid w:val="00A117AA"/>
    <w:pPr>
      <w:tabs>
        <w:tab w:val="right" w:leader="dot" w:pos="9071"/>
      </w:tabs>
      <w:ind w:left="1701"/>
    </w:pPr>
  </w:style>
  <w:style w:type="paragraph" w:customStyle="1" w:styleId="ListAlpha">
    <w:name w:val="List Alpha"/>
    <w:basedOn w:val="List"/>
    <w:rsid w:val="00A117AA"/>
    <w:pPr>
      <w:numPr>
        <w:numId w:val="8"/>
      </w:numPr>
    </w:pPr>
  </w:style>
  <w:style w:type="paragraph" w:customStyle="1" w:styleId="ListAlpha2">
    <w:name w:val="List Alpha 2"/>
    <w:basedOn w:val="List2"/>
    <w:rsid w:val="00A117AA"/>
    <w:pPr>
      <w:numPr>
        <w:numId w:val="7"/>
      </w:numPr>
    </w:pPr>
  </w:style>
  <w:style w:type="paragraph" w:styleId="List2">
    <w:name w:val="List 2"/>
    <w:basedOn w:val="BodyText"/>
    <w:rsid w:val="00A117AA"/>
    <w:pPr>
      <w:tabs>
        <w:tab w:val="left" w:pos="680"/>
      </w:tabs>
      <w:spacing w:before="60" w:after="60"/>
      <w:ind w:left="680" w:hanging="340"/>
    </w:pPr>
  </w:style>
  <w:style w:type="paragraph" w:styleId="List3">
    <w:name w:val="List 3"/>
    <w:basedOn w:val="BodyText"/>
    <w:rsid w:val="00A117AA"/>
    <w:pPr>
      <w:tabs>
        <w:tab w:val="left" w:pos="1021"/>
      </w:tabs>
      <w:spacing w:before="60" w:after="60"/>
      <w:ind w:left="1020" w:hanging="340"/>
    </w:pPr>
  </w:style>
  <w:style w:type="paragraph" w:styleId="List4">
    <w:name w:val="List 4"/>
    <w:basedOn w:val="BodyText"/>
    <w:rsid w:val="00A117AA"/>
    <w:pPr>
      <w:tabs>
        <w:tab w:val="left" w:pos="1361"/>
      </w:tabs>
      <w:spacing w:before="60" w:after="60"/>
      <w:ind w:left="1361" w:hanging="340"/>
    </w:pPr>
  </w:style>
  <w:style w:type="paragraph" w:styleId="List5">
    <w:name w:val="List 5"/>
    <w:basedOn w:val="BodyText"/>
    <w:rsid w:val="00A117AA"/>
    <w:pPr>
      <w:tabs>
        <w:tab w:val="left" w:pos="1701"/>
      </w:tabs>
      <w:spacing w:before="60" w:after="60"/>
      <w:ind w:left="1701" w:hanging="340"/>
    </w:pPr>
  </w:style>
  <w:style w:type="paragraph" w:styleId="ListBullet3">
    <w:name w:val="List Bullet 3"/>
    <w:basedOn w:val="List3"/>
    <w:rsid w:val="00A117AA"/>
    <w:pPr>
      <w:numPr>
        <w:numId w:val="13"/>
      </w:numPr>
      <w:tabs>
        <w:tab w:val="clear" w:pos="1021"/>
      </w:tabs>
      <w:ind w:left="1037" w:hanging="357"/>
    </w:pPr>
  </w:style>
  <w:style w:type="paragraph" w:styleId="ListBullet4">
    <w:name w:val="List Bullet 4"/>
    <w:basedOn w:val="List4"/>
    <w:rsid w:val="00A117AA"/>
    <w:pPr>
      <w:numPr>
        <w:numId w:val="2"/>
      </w:numPr>
      <w:tabs>
        <w:tab w:val="clear" w:pos="1361"/>
      </w:tabs>
    </w:pPr>
  </w:style>
  <w:style w:type="paragraph" w:styleId="ListBullet5">
    <w:name w:val="List Bullet 5"/>
    <w:basedOn w:val="List5"/>
    <w:rsid w:val="00A117AA"/>
    <w:pPr>
      <w:numPr>
        <w:numId w:val="3"/>
      </w:numPr>
    </w:pPr>
  </w:style>
  <w:style w:type="paragraph" w:styleId="ListContinue2">
    <w:name w:val="List Continue 2"/>
    <w:basedOn w:val="List2"/>
    <w:rsid w:val="00A117AA"/>
    <w:pPr>
      <w:ind w:firstLine="0"/>
    </w:pPr>
  </w:style>
  <w:style w:type="paragraph" w:styleId="ListContinue3">
    <w:name w:val="List Continue 3"/>
    <w:basedOn w:val="List3"/>
    <w:rsid w:val="00A117AA"/>
    <w:pPr>
      <w:ind w:left="1021" w:firstLine="0"/>
    </w:pPr>
  </w:style>
  <w:style w:type="paragraph" w:styleId="ListContinue4">
    <w:name w:val="List Continue 4"/>
    <w:basedOn w:val="List4"/>
    <w:rsid w:val="00A117AA"/>
    <w:pPr>
      <w:ind w:firstLine="0"/>
    </w:pPr>
  </w:style>
  <w:style w:type="paragraph" w:styleId="ListContinue5">
    <w:name w:val="List Continue 5"/>
    <w:basedOn w:val="List5"/>
    <w:rsid w:val="00A117AA"/>
    <w:pPr>
      <w:ind w:firstLine="0"/>
    </w:pPr>
  </w:style>
  <w:style w:type="paragraph" w:styleId="ListNumber3">
    <w:name w:val="List Number 3"/>
    <w:basedOn w:val="List3"/>
    <w:rsid w:val="00A117AA"/>
    <w:pPr>
      <w:numPr>
        <w:numId w:val="4"/>
      </w:numPr>
    </w:pPr>
  </w:style>
  <w:style w:type="paragraph" w:styleId="ListNumber4">
    <w:name w:val="List Number 4"/>
    <w:basedOn w:val="List4"/>
    <w:rsid w:val="00A117AA"/>
    <w:pPr>
      <w:numPr>
        <w:numId w:val="5"/>
      </w:numPr>
    </w:pPr>
  </w:style>
  <w:style w:type="paragraph" w:styleId="ListNumber5">
    <w:name w:val="List Number 5"/>
    <w:basedOn w:val="List5"/>
    <w:rsid w:val="00A117AA"/>
    <w:pPr>
      <w:numPr>
        <w:numId w:val="6"/>
      </w:numPr>
    </w:pPr>
  </w:style>
  <w:style w:type="paragraph" w:styleId="BlockText">
    <w:name w:val="Block Text"/>
    <w:basedOn w:val="Normal"/>
    <w:rsid w:val="00A117AA"/>
    <w:pPr>
      <w:spacing w:after="120"/>
      <w:ind w:left="1440" w:right="1440"/>
    </w:pPr>
  </w:style>
  <w:style w:type="character" w:customStyle="1" w:styleId="Subscript">
    <w:name w:val="Subscript"/>
    <w:basedOn w:val="DefaultParagraphFont"/>
    <w:rsid w:val="00A117AA"/>
    <w:rPr>
      <w:sz w:val="16"/>
      <w:vertAlign w:val="subscript"/>
    </w:rPr>
  </w:style>
  <w:style w:type="character" w:customStyle="1" w:styleId="Superscript">
    <w:name w:val="Superscript"/>
    <w:basedOn w:val="DefaultParagraphFont"/>
    <w:rsid w:val="00A117AA"/>
    <w:rPr>
      <w:sz w:val="16"/>
      <w:vertAlign w:val="superscript"/>
    </w:rPr>
  </w:style>
  <w:style w:type="character" w:customStyle="1" w:styleId="Symbols">
    <w:name w:val="Symbols"/>
    <w:basedOn w:val="DefaultParagraphFont"/>
    <w:rsid w:val="00A117AA"/>
    <w:rPr>
      <w:rFonts w:ascii="Symbol" w:hAnsi="Symbol"/>
    </w:rPr>
  </w:style>
  <w:style w:type="character" w:customStyle="1" w:styleId="MenuOptions">
    <w:name w:val="Menu Options"/>
    <w:basedOn w:val="DefaultParagraphFont"/>
    <w:rsid w:val="00A117AA"/>
    <w:rPr>
      <w:rFonts w:ascii="Arial Narrow" w:hAnsi="Arial Narrow"/>
      <w:smallCaps/>
    </w:rPr>
  </w:style>
  <w:style w:type="character" w:customStyle="1" w:styleId="Buttons">
    <w:name w:val="Buttons"/>
    <w:basedOn w:val="DefaultParagraphFont"/>
    <w:rsid w:val="00A117AA"/>
    <w:rPr>
      <w:b/>
    </w:rPr>
  </w:style>
  <w:style w:type="character" w:customStyle="1" w:styleId="Underlined">
    <w:name w:val="Underlined"/>
    <w:basedOn w:val="DefaultParagraphFont"/>
    <w:rsid w:val="00A117AA"/>
    <w:rPr>
      <w:u w:val="single"/>
    </w:rPr>
  </w:style>
  <w:style w:type="paragraph" w:customStyle="1" w:styleId="TableBodyTextRight">
    <w:name w:val="Table Body Text Right"/>
    <w:basedOn w:val="TableBodyText"/>
    <w:rsid w:val="00A117AA"/>
    <w:pPr>
      <w:widowControl w:val="0"/>
      <w:autoSpaceDE w:val="0"/>
      <w:autoSpaceDN w:val="0"/>
      <w:adjustRightInd w:val="0"/>
      <w:jc w:val="right"/>
    </w:pPr>
    <w:rPr>
      <w:rFonts w:cs="Arial"/>
      <w:szCs w:val="18"/>
    </w:rPr>
  </w:style>
  <w:style w:type="paragraph" w:customStyle="1" w:styleId="CopyrightText">
    <w:name w:val="Copyright Text"/>
    <w:basedOn w:val="BodyText"/>
    <w:rsid w:val="00A117AA"/>
    <w:rPr>
      <w:sz w:val="18"/>
    </w:rPr>
  </w:style>
  <w:style w:type="paragraph" w:customStyle="1" w:styleId="BodySmallRight">
    <w:name w:val="Body Small Right"/>
    <w:basedOn w:val="BodyTextRight"/>
    <w:rsid w:val="00A117AA"/>
    <w:rPr>
      <w:sz w:val="18"/>
      <w:szCs w:val="18"/>
    </w:rPr>
  </w:style>
  <w:style w:type="paragraph" w:customStyle="1" w:styleId="MarginEdition">
    <w:name w:val="Margin Edition"/>
    <w:basedOn w:val="MarginNote"/>
    <w:rsid w:val="00A117AA"/>
    <w:pPr>
      <w:spacing w:before="0" w:after="0"/>
    </w:pPr>
    <w:rPr>
      <w:rFonts w:ascii="Times New Roman" w:hAnsi="Times New Roman"/>
      <w:color w:val="999999"/>
    </w:rPr>
  </w:style>
  <w:style w:type="paragraph" w:customStyle="1" w:styleId="Spacer">
    <w:name w:val="Spacer"/>
    <w:basedOn w:val="Normal"/>
    <w:rsid w:val="00A117AA"/>
    <w:rPr>
      <w:sz w:val="2"/>
      <w:szCs w:val="2"/>
    </w:rPr>
  </w:style>
  <w:style w:type="character" w:customStyle="1" w:styleId="Small">
    <w:name w:val="Small"/>
    <w:basedOn w:val="DefaultParagraphFont"/>
    <w:rsid w:val="00A117AA"/>
    <w:rPr>
      <w:sz w:val="16"/>
    </w:rPr>
  </w:style>
  <w:style w:type="paragraph" w:customStyle="1" w:styleId="WideTable">
    <w:name w:val="Wide Table"/>
    <w:basedOn w:val="Normal"/>
    <w:rsid w:val="00A117AA"/>
    <w:pPr>
      <w:ind w:left="-1418"/>
    </w:pPr>
    <w:rPr>
      <w:sz w:val="2"/>
      <w:szCs w:val="2"/>
    </w:rPr>
  </w:style>
  <w:style w:type="character" w:styleId="PageNumber">
    <w:name w:val="page number"/>
    <w:basedOn w:val="DefaultParagraphFont"/>
    <w:rsid w:val="00A117AA"/>
  </w:style>
  <w:style w:type="paragraph" w:styleId="Quote">
    <w:name w:val="Quote"/>
    <w:basedOn w:val="Heading1"/>
    <w:link w:val="QuoteChar"/>
    <w:qFormat/>
    <w:rsid w:val="00A117AA"/>
    <w:rPr>
      <w:b w:val="0"/>
      <w:sz w:val="72"/>
      <w:szCs w:val="72"/>
      <w:lang w:val="en-NZ"/>
    </w:rPr>
  </w:style>
  <w:style w:type="character" w:customStyle="1" w:styleId="QuoteChar">
    <w:name w:val="Quote Char"/>
    <w:basedOn w:val="DefaultParagraphFont"/>
    <w:link w:val="Quote"/>
    <w:rsid w:val="00A11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7AA"/>
    <w:pPr>
      <w:pageBreakBefore/>
    </w:pPr>
  </w:style>
  <w:style w:type="paragraph" w:customStyle="1" w:styleId="Border">
    <w:name w:val="Border"/>
    <w:basedOn w:val="Normal"/>
    <w:qFormat/>
    <w:rsid w:val="00A11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7AA"/>
    <w:rPr>
      <w:b/>
      <w:bCs/>
      <w:i/>
      <w:iCs/>
      <w:color w:val="auto"/>
    </w:rPr>
  </w:style>
  <w:style w:type="paragraph" w:styleId="IntenseQuote">
    <w:name w:val="Intense Quote"/>
    <w:basedOn w:val="Normal"/>
    <w:next w:val="Normal"/>
    <w:link w:val="IntenseQuoteChar"/>
    <w:uiPriority w:val="30"/>
    <w:qFormat/>
    <w:rsid w:val="00A11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7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7AA"/>
    <w:rPr>
      <w:smallCaps/>
      <w:color w:val="auto"/>
      <w:u w:val="single"/>
    </w:rPr>
  </w:style>
  <w:style w:type="character" w:styleId="IntenseReference">
    <w:name w:val="Intense Reference"/>
    <w:basedOn w:val="DefaultParagraphFont"/>
    <w:uiPriority w:val="32"/>
    <w:qFormat/>
    <w:rsid w:val="00A117AA"/>
    <w:rPr>
      <w:b/>
      <w:bCs/>
      <w:smallCaps/>
      <w:color w:val="auto"/>
      <w:spacing w:val="5"/>
      <w:u w:val="single"/>
    </w:rPr>
  </w:style>
  <w:style w:type="paragraph" w:customStyle="1" w:styleId="2ColumnHeading">
    <w:name w:val="2Column Heading"/>
    <w:basedOn w:val="BodyText"/>
    <w:qFormat/>
    <w:rsid w:val="00A117AA"/>
    <w:pPr>
      <w:spacing w:after="60"/>
      <w:ind w:left="-2268"/>
    </w:pPr>
    <w:rPr>
      <w:b/>
    </w:rPr>
  </w:style>
  <w:style w:type="paragraph" w:customStyle="1" w:styleId="Heading1TOC">
    <w:name w:val="Heading1 TOC"/>
    <w:basedOn w:val="Normal"/>
    <w:qFormat/>
    <w:rsid w:val="00A117AA"/>
    <w:pPr>
      <w:spacing w:before="240" w:after="120"/>
    </w:pPr>
    <w:rPr>
      <w:rFonts w:ascii="Times New Roman" w:hAnsi="Times New Roman"/>
      <w:b/>
      <w:sz w:val="32"/>
    </w:rPr>
  </w:style>
  <w:style w:type="paragraph" w:customStyle="1" w:styleId="Heading2TOC">
    <w:name w:val="Heading2 TOC"/>
    <w:basedOn w:val="Normal"/>
    <w:qFormat/>
    <w:rsid w:val="00A117AA"/>
    <w:pPr>
      <w:spacing w:before="240" w:after="60"/>
    </w:pPr>
    <w:rPr>
      <w:rFonts w:ascii="Times New Roman" w:hAnsi="Times New Roman"/>
      <w:b/>
      <w:sz w:val="28"/>
    </w:rPr>
  </w:style>
  <w:style w:type="character" w:customStyle="1" w:styleId="Underline">
    <w:name w:val="Underline"/>
    <w:basedOn w:val="DefaultParagraphFont"/>
    <w:qFormat/>
    <w:rsid w:val="00A117AA"/>
    <w:rPr>
      <w:u w:val="single"/>
    </w:rPr>
  </w:style>
  <w:style w:type="character" w:customStyle="1" w:styleId="BoldandItalics">
    <w:name w:val="Bold and Italics"/>
    <w:qFormat/>
    <w:rsid w:val="00A117AA"/>
    <w:rPr>
      <w:b/>
      <w:i/>
      <w:u w:val="none"/>
    </w:rPr>
  </w:style>
  <w:style w:type="paragraph" w:styleId="BalloonText">
    <w:name w:val="Balloon Text"/>
    <w:basedOn w:val="Normal"/>
    <w:link w:val="BalloonTextChar"/>
    <w:rsid w:val="00A117AA"/>
    <w:rPr>
      <w:rFonts w:ascii="Tahoma" w:hAnsi="Tahoma" w:cs="Tahoma"/>
      <w:sz w:val="16"/>
      <w:szCs w:val="16"/>
    </w:rPr>
  </w:style>
  <w:style w:type="character" w:customStyle="1" w:styleId="BalloonTextChar">
    <w:name w:val="Balloon Text Char"/>
    <w:basedOn w:val="DefaultParagraphFont"/>
    <w:link w:val="BalloonText"/>
    <w:rsid w:val="00A117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7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7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7AA"/>
    <w:rPr>
      <w:b/>
      <w:color w:val="660033"/>
      <w:spacing w:val="0"/>
    </w:rPr>
  </w:style>
  <w:style w:type="paragraph" w:customStyle="1" w:styleId="Nameditemlist">
    <w:name w:val="Named item list"/>
    <w:basedOn w:val="BodyText"/>
    <w:qFormat/>
    <w:rsid w:val="00A117AA"/>
    <w:pPr>
      <w:tabs>
        <w:tab w:val="left" w:pos="2835"/>
      </w:tabs>
      <w:ind w:left="2835" w:hanging="2835"/>
    </w:pPr>
  </w:style>
  <w:style w:type="paragraph" w:customStyle="1" w:styleId="BodyTextnopadding">
    <w:name w:val="Body Text no padding"/>
    <w:basedOn w:val="BodyText"/>
    <w:qFormat/>
    <w:rsid w:val="00A117AA"/>
    <w:pPr>
      <w:spacing w:before="0" w:after="0"/>
    </w:pPr>
  </w:style>
  <w:style w:type="paragraph" w:customStyle="1" w:styleId="BodyTextBold">
    <w:name w:val="Body Text Bold"/>
    <w:basedOn w:val="BodyText"/>
    <w:qFormat/>
    <w:rsid w:val="00A117AA"/>
    <w:rPr>
      <w:b/>
    </w:rPr>
  </w:style>
  <w:style w:type="character" w:styleId="Hyperlink">
    <w:name w:val="Hyperlink"/>
    <w:basedOn w:val="DefaultParagraphFont"/>
    <w:uiPriority w:val="99"/>
    <w:unhideWhenUsed/>
    <w:rsid w:val="001B53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4160</Characters>
  <Application>Microsoft Office Word</Application>
  <DocSecurity>0</DocSecurity>
  <Lines>189</Lines>
  <Paragraphs>117</Paragraphs>
  <ScaleCrop>false</ScaleCrop>
  <Company>Author-it Software Corporation Ltd.</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PMAOPS350 Match and adjust colour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2022-09-21T04:40:00Z</dcterms:created>
  <dcterms:modified xsi:type="dcterms:W3CDTF">2022-09-21T04:40:00Z</dcterms:modified>
</cp:coreProperties>
</file>