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496" w:rsidP="003464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PMAOPS343 Transfer bulk fluids into/out of storage facility</w:t>
      </w:r>
      <w:r>
        <w:fldChar w:fldCharType="end"/>
      </w:r>
    </w:p>
    <w:p w:rsidR="00346496" w:rsidP="00346496">
      <w:pPr>
        <w:pStyle w:val="Version"/>
        <w:sectPr w:rsidSect="00AB3E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EFA" w:rsidP="00AB3EFA">
      <w:pPr>
        <w:pStyle w:val="SuperHeading"/>
      </w:pPr>
      <w:r w:rsidRPr="00AB3EFA">
        <w:t>Assessment Requirements for PMAOPS343 Transfer bulk fluids into/out of storage facility</w:t>
      </w:r>
    </w:p>
    <w:p w:rsidR="00000000" w:rsidRPr="00AB3EFA" w:rsidP="00AB3EFA">
      <w:pPr>
        <w:pStyle w:val="Heading1"/>
      </w:pPr>
      <w:bookmarkStart w:id="1" w:name="O_1072576"/>
      <w:bookmarkEnd w:id="1"/>
      <w:r w:rsidRPr="00AB3EFA">
        <w:t>Modification History</w:t>
      </w:r>
    </w:p>
    <w:p w:rsidR="00000000" w:rsidRPr="00AB3EFA" w:rsidP="00346496">
      <w:pPr>
        <w:pStyle w:val="BodyText"/>
      </w:pPr>
      <w:r w:rsidRPr="00AB3EFA">
        <w:t xml:space="preserve">Release 1. Unit code and </w:t>
      </w:r>
      <w:r w:rsidRPr="00AB3EFA">
        <w:t>Application changed. Performance Criteria changed. Range of Conditions removed. Assessment Requirements changed. Supersedes and is equivalent to PMAOPS307 Transfer bulk fluids into/out of storage facility.</w:t>
      </w:r>
    </w:p>
    <w:p w:rsidR="00000000" w:rsidRPr="00AB3EFA" w:rsidP="00AB3EFA">
      <w:pPr>
        <w:pStyle w:val="Heading1"/>
      </w:pPr>
      <w:bookmarkStart w:id="2" w:name="O_1072577"/>
      <w:bookmarkEnd w:id="2"/>
      <w:r w:rsidRPr="00AB3EFA">
        <w:t>Performance Evidence</w:t>
      </w:r>
    </w:p>
    <w:p w:rsidR="00000000" w:rsidRPr="00AB3EFA" w:rsidP="00346496">
      <w:pPr>
        <w:pStyle w:val="BodyText"/>
      </w:pPr>
      <w:r w:rsidRPr="00AB3EFA">
        <w:t>There must</w:t>
      </w:r>
      <w:r w:rsidRPr="00AB3EFA">
        <w:t xml:space="preserve"> be evidence the candidate has completed the tasks outlined in the elements and performance criteria of this unit:</w:t>
      </w:r>
    </w:p>
    <w:p w:rsidR="00000000" w:rsidRPr="00AB3EFA" w:rsidP="00AB3EFA">
      <w:pPr>
        <w:pStyle w:val="ListBullet"/>
      </w:pPr>
      <w:r w:rsidRPr="00AB3EFA">
        <w:t>at least 2 times, each in a separate work context</w:t>
      </w:r>
    </w:p>
    <w:p w:rsidR="00000000" w:rsidRPr="00AB3EFA" w:rsidP="00AB3EFA">
      <w:pPr>
        <w:pStyle w:val="AllowPageBreak"/>
      </w:pPr>
    </w:p>
    <w:p w:rsidR="00000000" w:rsidRPr="00AB3EFA" w:rsidP="00AB3EFA">
      <w:pPr>
        <w:pStyle w:val="Heading1"/>
      </w:pPr>
      <w:bookmarkStart w:id="3" w:name="O_1072578"/>
      <w:bookmarkEnd w:id="3"/>
      <w:r w:rsidRPr="00AB3EFA">
        <w:t>Knowledge Evidence</w:t>
      </w:r>
    </w:p>
    <w:p w:rsidR="00000000" w:rsidRPr="00AB3EFA" w:rsidP="00346496">
      <w:pPr>
        <w:pStyle w:val="BodyText"/>
      </w:pPr>
      <w:r w:rsidRPr="00AB3EFA">
        <w:t>There must be evidence the candidate has knowledge o</w:t>
      </w:r>
      <w:r w:rsidRPr="00AB3EFA">
        <w:t>f:</w:t>
      </w:r>
    </w:p>
    <w:p w:rsidR="00000000" w:rsidRPr="00AB3EFA" w:rsidP="00AB3EFA">
      <w:pPr>
        <w:pStyle w:val="ListBullet"/>
      </w:pPr>
      <w:r w:rsidRPr="00AB3EFA">
        <w:t xml:space="preserve">all items on a schematic of the storage/transfer system, including: </w:t>
      </w:r>
    </w:p>
    <w:p w:rsidR="00000000" w:rsidRPr="00AB3EFA" w:rsidP="00AB3EFA">
      <w:pPr>
        <w:pStyle w:val="ListBullet2"/>
      </w:pPr>
      <w:r w:rsidRPr="00AB3EFA">
        <w:t>interactions between plant items and processes</w:t>
      </w:r>
    </w:p>
    <w:p w:rsidR="00000000" w:rsidRPr="00AB3EFA" w:rsidP="00AB3EFA">
      <w:pPr>
        <w:pStyle w:val="ListBullet2"/>
      </w:pPr>
      <w:r w:rsidRPr="00AB3EFA">
        <w:t>operating parameters and integrity limits, product specifications and tolerances, tank and product mixes, flow rates and measures, tank</w:t>
      </w:r>
      <w:r w:rsidRPr="00AB3EFA">
        <w:t xml:space="preserve"> capacities and percentages, process parameters and limits, including temperature, pressure, flow and pH </w:t>
      </w:r>
    </w:p>
    <w:p w:rsidR="00000000" w:rsidRPr="00AB3EFA" w:rsidP="00AB3EFA">
      <w:pPr>
        <w:pStyle w:val="ListBullet2"/>
      </w:pPr>
      <w:r w:rsidRPr="00AB3EFA">
        <w:t>function and troubleshooting techniques of major components, including impellers, seals or bearings</w:t>
      </w:r>
    </w:p>
    <w:p w:rsidR="00000000" w:rsidRPr="00AB3EFA" w:rsidP="00AB3EFA">
      <w:pPr>
        <w:pStyle w:val="ListBullet2"/>
      </w:pPr>
      <w:r w:rsidRPr="00AB3EFA">
        <w:t xml:space="preserve">procedures for starting, stopping, operating, controlling and isolating the facility </w:t>
      </w:r>
    </w:p>
    <w:p w:rsidR="00000000" w:rsidRPr="00AB3EFA" w:rsidP="00AB3EFA">
      <w:pPr>
        <w:pStyle w:val="ListBullet"/>
      </w:pPr>
      <w:r w:rsidRPr="00AB3EFA">
        <w:t>physics and chemistry to the level of being able to provide an overview of the science of the storage/transfer process and the causes of head loss in piping systems, inc</w:t>
      </w:r>
      <w:r w:rsidRPr="00AB3EFA">
        <w:t>luding comparison of fittings using the L</w:t>
      </w:r>
      <w:r w:rsidRPr="00AB3EFA">
        <w:rPr>
          <w:rStyle w:val="Subscript"/>
        </w:rPr>
        <w:t>e</w:t>
      </w:r>
      <w:r w:rsidRPr="00AB3EFA">
        <w:t>/d concept, fluid and pipe material properties, flow geometry and static electricity principles</w:t>
      </w:r>
    </w:p>
    <w:p w:rsidR="00000000" w:rsidRPr="00AB3EFA" w:rsidP="00AB3EFA">
      <w:pPr>
        <w:pStyle w:val="ListBullet"/>
      </w:pPr>
      <w:r w:rsidRPr="00AB3EFA">
        <w:t>storage facility abnormal situations and required actions, including:</w:t>
      </w:r>
    </w:p>
    <w:p w:rsidR="00000000" w:rsidRPr="00AB3EFA" w:rsidP="00AB3EFA">
      <w:pPr>
        <w:pStyle w:val="ListBullet2"/>
      </w:pPr>
      <w:r w:rsidRPr="00AB3EFA">
        <w:t>insufficient and inappropriate storage for prod</w:t>
      </w:r>
      <w:r w:rsidRPr="00AB3EFA">
        <w:t>uct and material</w:t>
      </w:r>
    </w:p>
    <w:p w:rsidR="00000000" w:rsidRPr="00AB3EFA" w:rsidP="00AB3EFA">
      <w:pPr>
        <w:pStyle w:val="ListBullet2"/>
      </w:pPr>
      <w:r w:rsidRPr="00AB3EFA">
        <w:t>interruptions to loading through adverse weather conditions</w:t>
      </w:r>
    </w:p>
    <w:p w:rsidR="00000000" w:rsidRPr="00AB3EFA" w:rsidP="00AB3EFA">
      <w:pPr>
        <w:pStyle w:val="ListBullet2"/>
      </w:pPr>
      <w:r w:rsidRPr="00AB3EFA">
        <w:t>product surging</w:t>
      </w:r>
    </w:p>
    <w:p w:rsidR="00000000" w:rsidRPr="00AB3EFA" w:rsidP="00AB3EFA">
      <w:pPr>
        <w:pStyle w:val="ListBullet2"/>
      </w:pPr>
      <w:r w:rsidRPr="00AB3EFA">
        <w:t>control of temperature and pressure</w:t>
      </w:r>
    </w:p>
    <w:p w:rsidR="00000000" w:rsidRPr="00AB3EFA" w:rsidP="00AB3EFA">
      <w:pPr>
        <w:pStyle w:val="ListBullet2"/>
      </w:pPr>
      <w:r w:rsidRPr="00AB3EFA">
        <w:t>variations in feed</w:t>
      </w:r>
    </w:p>
    <w:p w:rsidR="00000000" w:rsidRPr="00AB3EFA" w:rsidP="00AB3EFA">
      <w:pPr>
        <w:pStyle w:val="ListBullet2"/>
      </w:pPr>
      <w:r w:rsidRPr="00AB3EFA">
        <w:t>vibration</w:t>
      </w:r>
    </w:p>
    <w:p w:rsidR="00000000" w:rsidRPr="00AB3EFA" w:rsidP="00AB3EFA">
      <w:pPr>
        <w:pStyle w:val="ListBullet2"/>
      </w:pPr>
      <w:r w:rsidRPr="00AB3EFA">
        <w:t>tank capacities and space</w:t>
      </w:r>
    </w:p>
    <w:p w:rsidR="00000000" w:rsidRPr="00AB3EFA" w:rsidP="00AB3EFA">
      <w:pPr>
        <w:pStyle w:val="ListBullet2"/>
      </w:pPr>
      <w:r w:rsidRPr="00AB3EFA">
        <w:t>problems with major components</w:t>
      </w:r>
    </w:p>
    <w:p w:rsidR="00000000" w:rsidRPr="00AB3EFA" w:rsidP="00AB3EFA">
      <w:pPr>
        <w:pStyle w:val="ListBullet"/>
      </w:pPr>
      <w:r w:rsidRPr="00AB3EFA">
        <w:t>hierarchy of control</w:t>
      </w:r>
    </w:p>
    <w:p w:rsidR="00000000" w:rsidRPr="00AB3EFA" w:rsidP="00AB3EFA">
      <w:pPr>
        <w:pStyle w:val="ListBullet"/>
      </w:pPr>
      <w:r w:rsidRPr="00AB3EFA">
        <w:t>storage and transfe</w:t>
      </w:r>
      <w:r w:rsidRPr="00AB3EFA">
        <w:t>r hazards:</w:t>
      </w:r>
    </w:p>
    <w:p w:rsidR="00000000" w:rsidRPr="00AB3EFA" w:rsidP="00AB3EFA">
      <w:pPr>
        <w:pStyle w:val="ListBullet2"/>
      </w:pPr>
      <w:r w:rsidRPr="00AB3EFA">
        <w:t xml:space="preserve">possible causes </w:t>
      </w:r>
    </w:p>
    <w:p w:rsidR="00000000" w:rsidRPr="00AB3EFA" w:rsidP="00AB3EFA">
      <w:pPr>
        <w:pStyle w:val="ListBullet2"/>
      </w:pPr>
      <w:r w:rsidRPr="00AB3EFA">
        <w:t>potential consequences</w:t>
      </w:r>
    </w:p>
    <w:p w:rsidR="00000000" w:rsidRPr="00AB3EFA" w:rsidP="00AB3EFA">
      <w:pPr>
        <w:pStyle w:val="ListBullet2"/>
      </w:pPr>
      <w:r w:rsidRPr="00AB3EFA">
        <w:t>appropriate risk controls.</w:t>
      </w:r>
    </w:p>
    <w:p w:rsidR="00000000" w:rsidRPr="00AB3EFA" w:rsidP="00AB3EFA">
      <w:pPr>
        <w:pStyle w:val="AllowPageBreak"/>
      </w:pPr>
    </w:p>
    <w:p w:rsidR="00000000" w:rsidRPr="00AB3EFA" w:rsidP="00AB3EFA">
      <w:pPr>
        <w:pStyle w:val="Heading1"/>
      </w:pPr>
      <w:bookmarkStart w:id="4" w:name="O_1072579"/>
      <w:bookmarkEnd w:id="4"/>
      <w:r w:rsidRPr="00AB3EFA">
        <w:t>Assessment Conditions</w:t>
      </w:r>
    </w:p>
    <w:p w:rsidR="00000000" w:rsidRPr="00AB3EFA" w:rsidP="00346496">
      <w:pPr>
        <w:pStyle w:val="BodyText"/>
      </w:pPr>
      <w:r w:rsidRPr="00AB3EF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B3EFA" w:rsidP="00AB3EFA">
      <w:pPr>
        <w:pStyle w:val="ListBullet"/>
      </w:pPr>
      <w:r w:rsidRPr="00AB3EFA">
        <w:t xml:space="preserve">use of suitable facilities, equipment and resources, including: </w:t>
      </w:r>
    </w:p>
    <w:p w:rsidR="00000000" w:rsidRPr="00AB3EFA" w:rsidP="00AB3EFA">
      <w:pPr>
        <w:pStyle w:val="ListBullet2"/>
      </w:pPr>
      <w:r w:rsidRPr="00AB3EFA">
        <w:t>storage transfer facility and equipment</w:t>
      </w:r>
    </w:p>
    <w:p w:rsidR="00000000" w:rsidRPr="00AB3EFA" w:rsidP="00AB3EFA">
      <w:pPr>
        <w:pStyle w:val="ListBullet2"/>
      </w:pPr>
      <w:r w:rsidRPr="00AB3EFA">
        <w:t>operating procedures</w:t>
      </w:r>
    </w:p>
    <w:p w:rsidR="00000000" w:rsidRPr="00AB3EFA" w:rsidP="00AB3EFA">
      <w:pPr>
        <w:pStyle w:val="ListBullet"/>
      </w:pPr>
      <w:r w:rsidRPr="00AB3EFA">
        <w:t>abnormal situations must be relevant to the transfer of bulk fluids.</w:t>
      </w:r>
    </w:p>
    <w:p w:rsidR="00000000" w:rsidRPr="00AB3EFA" w:rsidP="00AB3EFA">
      <w:pPr>
        <w:pStyle w:val="BodyText"/>
      </w:pPr>
    </w:p>
    <w:p w:rsidR="00000000" w:rsidRPr="00AB3EFA" w:rsidP="00346496">
      <w:pPr>
        <w:pStyle w:val="BodyText"/>
      </w:pPr>
      <w:r w:rsidRPr="00AB3EFA">
        <w:t>Assessors must satisfy the NVR/AQTF mandatory competency requirements for assessors.</w:t>
      </w:r>
    </w:p>
    <w:p w:rsidR="00000000" w:rsidRPr="00AB3EFA" w:rsidP="00AB3EFA">
      <w:pPr>
        <w:pStyle w:val="Heading1"/>
      </w:pPr>
      <w:bookmarkStart w:id="5" w:name="O_1072582"/>
      <w:bookmarkEnd w:id="5"/>
      <w:r w:rsidRPr="00AB3EFA">
        <w:t>Links</w:t>
      </w:r>
    </w:p>
    <w:p w:rsidR="00000000" w:rsidRPr="00AB3EFA" w:rsidP="00346496">
      <w:pPr>
        <w:pStyle w:val="BodyText"/>
      </w:pPr>
      <w:r w:rsidRPr="00AB3EFA">
        <w:t>Companion Volu</w:t>
      </w:r>
      <w:r w:rsidRPr="00AB3EFA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E3AD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B3EFA" w:rsidP="00AB3EFA"/>
    <w:sectPr w:rsidSect="00AB3E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FA" w:rsidRPr="00346496" w:rsidP="003464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96" w:rsidP="00AB3E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6496" w:rsidP="00AB3E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6496" w:rsidP="00AB3E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EFA" w:rsidRPr="00346496" w:rsidP="003464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96" w:rsidRPr="002D2AF8" w:rsidP="00AB3E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PMAOPS343 Transfer bulk fluids into/out of storage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46496" w:rsidP="00AB3E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9A8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F46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3C81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E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E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E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E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E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E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E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E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E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E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E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EFA"/>
  </w:style>
  <w:style w:type="character" w:customStyle="1" w:styleId="Heading1Char">
    <w:name w:val="Heading 1 Char"/>
    <w:basedOn w:val="DefaultParagraphFont"/>
    <w:link w:val="Heading1"/>
    <w:rsid w:val="00AB3E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E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E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E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3E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3E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E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AB3EFA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3E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E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E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E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E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E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E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E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E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E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E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E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E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E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E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E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EFA"/>
    <w:rPr>
      <w:b/>
      <w:spacing w:val="0"/>
    </w:rPr>
  </w:style>
  <w:style w:type="paragraph" w:customStyle="1" w:styleId="SuperTitle">
    <w:name w:val="SuperTitle"/>
    <w:basedOn w:val="Title"/>
    <w:rsid w:val="00AB3E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E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E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3E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E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E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E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E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E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E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E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E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EFA"/>
    <w:rPr>
      <w:i/>
    </w:rPr>
  </w:style>
  <w:style w:type="paragraph" w:styleId="Caption">
    <w:name w:val="caption"/>
    <w:basedOn w:val="BodyText"/>
    <w:next w:val="Normal"/>
    <w:qFormat/>
    <w:rsid w:val="00AB3E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E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E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EFA"/>
  </w:style>
  <w:style w:type="paragraph" w:styleId="TableofFigures">
    <w:name w:val="table of figures"/>
    <w:basedOn w:val="Normal"/>
    <w:next w:val="Normal"/>
    <w:semiHidden/>
    <w:rsid w:val="00AB3E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E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3EFA"/>
    <w:rPr>
      <w:rFonts w:ascii="Wingdings" w:hAnsi="Wingdings"/>
    </w:rPr>
  </w:style>
  <w:style w:type="paragraph" w:customStyle="1" w:styleId="TableHeading">
    <w:name w:val="Table Heading"/>
    <w:basedOn w:val="HeadingBase"/>
    <w:rsid w:val="00AB3E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EFA"/>
    <w:rPr>
      <w:color w:val="0033CC"/>
      <w:u w:val="none"/>
    </w:rPr>
  </w:style>
  <w:style w:type="paragraph" w:customStyle="1" w:styleId="BodyTextRight">
    <w:name w:val="Body Text Right"/>
    <w:basedOn w:val="BodyText"/>
    <w:rsid w:val="00AB3E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E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E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E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E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E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EFA"/>
    <w:rPr>
      <w:sz w:val="32"/>
    </w:rPr>
  </w:style>
  <w:style w:type="paragraph" w:customStyle="1" w:styleId="HeadingProcedure">
    <w:name w:val="Heading Procedure"/>
    <w:basedOn w:val="HeadingBase"/>
    <w:next w:val="Normal"/>
    <w:rsid w:val="00AB3E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EFA"/>
    <w:pPr>
      <w:spacing w:before="60" w:after="60"/>
    </w:pPr>
  </w:style>
  <w:style w:type="paragraph" w:styleId="ListContinue">
    <w:name w:val="List Continue"/>
    <w:basedOn w:val="List"/>
    <w:rsid w:val="00AB3EFA"/>
    <w:pPr>
      <w:ind w:firstLine="0"/>
    </w:pPr>
  </w:style>
  <w:style w:type="paragraph" w:customStyle="1" w:styleId="ListNote">
    <w:name w:val="List Note"/>
    <w:basedOn w:val="List"/>
    <w:rsid w:val="00AB3E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E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E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EFA"/>
    <w:rPr>
      <w:rFonts w:ascii="Courier New" w:hAnsi="Courier New"/>
    </w:rPr>
  </w:style>
  <w:style w:type="paragraph" w:customStyle="1" w:styleId="NoteBullet">
    <w:name w:val="Note Bullet"/>
    <w:basedOn w:val="Note"/>
    <w:rsid w:val="00AB3E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E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E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E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E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3E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E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EFA"/>
    <w:rPr>
      <w:b/>
      <w:smallCaps/>
    </w:rPr>
  </w:style>
  <w:style w:type="paragraph" w:customStyle="1" w:styleId="TableListNumber">
    <w:name w:val="Table List Number"/>
    <w:basedOn w:val="ListNumber"/>
    <w:rsid w:val="00AB3E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E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EFA"/>
    <w:pPr>
      <w:numPr>
        <w:numId w:val="9"/>
      </w:numPr>
    </w:pPr>
  </w:style>
  <w:style w:type="paragraph" w:customStyle="1" w:styleId="ListAlpha2">
    <w:name w:val="List Alpha 2"/>
    <w:basedOn w:val="List2"/>
    <w:rsid w:val="00AB3EFA"/>
    <w:pPr>
      <w:numPr>
        <w:numId w:val="8"/>
      </w:numPr>
    </w:pPr>
  </w:style>
  <w:style w:type="paragraph" w:styleId="List2">
    <w:name w:val="List 2"/>
    <w:basedOn w:val="BodyText"/>
    <w:rsid w:val="00AB3E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E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E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E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E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E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3EFA"/>
    <w:pPr>
      <w:numPr>
        <w:numId w:val="4"/>
      </w:numPr>
    </w:pPr>
  </w:style>
  <w:style w:type="paragraph" w:styleId="ListContinue2">
    <w:name w:val="List Continue 2"/>
    <w:basedOn w:val="List2"/>
    <w:rsid w:val="00AB3EFA"/>
    <w:pPr>
      <w:ind w:firstLine="0"/>
    </w:pPr>
  </w:style>
  <w:style w:type="paragraph" w:styleId="ListContinue3">
    <w:name w:val="List Continue 3"/>
    <w:basedOn w:val="List3"/>
    <w:rsid w:val="00AB3EFA"/>
    <w:pPr>
      <w:ind w:left="1021" w:firstLine="0"/>
    </w:pPr>
  </w:style>
  <w:style w:type="paragraph" w:styleId="ListContinue4">
    <w:name w:val="List Continue 4"/>
    <w:basedOn w:val="List4"/>
    <w:rsid w:val="00AB3EFA"/>
    <w:pPr>
      <w:ind w:firstLine="0"/>
    </w:pPr>
  </w:style>
  <w:style w:type="paragraph" w:styleId="ListContinue5">
    <w:name w:val="List Continue 5"/>
    <w:basedOn w:val="List5"/>
    <w:rsid w:val="00AB3EFA"/>
    <w:pPr>
      <w:ind w:firstLine="0"/>
    </w:pPr>
  </w:style>
  <w:style w:type="paragraph" w:styleId="ListNumber3">
    <w:name w:val="List Number 3"/>
    <w:basedOn w:val="List3"/>
    <w:rsid w:val="00AB3EFA"/>
    <w:pPr>
      <w:numPr>
        <w:numId w:val="5"/>
      </w:numPr>
    </w:pPr>
  </w:style>
  <w:style w:type="paragraph" w:styleId="ListNumber4">
    <w:name w:val="List Number 4"/>
    <w:basedOn w:val="List4"/>
    <w:rsid w:val="00AB3EFA"/>
    <w:pPr>
      <w:numPr>
        <w:numId w:val="6"/>
      </w:numPr>
    </w:pPr>
  </w:style>
  <w:style w:type="paragraph" w:styleId="ListNumber5">
    <w:name w:val="List Number 5"/>
    <w:basedOn w:val="List5"/>
    <w:rsid w:val="00AB3EFA"/>
    <w:pPr>
      <w:numPr>
        <w:numId w:val="7"/>
      </w:numPr>
    </w:pPr>
  </w:style>
  <w:style w:type="paragraph" w:styleId="BlockText">
    <w:name w:val="Block Text"/>
    <w:basedOn w:val="Normal"/>
    <w:rsid w:val="00AB3EFA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AB3EFA"/>
    <w:rPr>
      <w:sz w:val="16"/>
      <w:vertAlign w:val="superscript"/>
    </w:rPr>
  </w:style>
  <w:style w:type="character" w:customStyle="1" w:styleId="Symbols">
    <w:name w:val="Symbols"/>
    <w:basedOn w:val="DefaultParagraphFont"/>
    <w:rsid w:val="00AB3EFA"/>
    <w:rPr>
      <w:rFonts w:ascii="Symbol" w:hAnsi="Symbol"/>
    </w:rPr>
  </w:style>
  <w:style w:type="character" w:customStyle="1" w:styleId="MenuOptions">
    <w:name w:val="Menu Options"/>
    <w:basedOn w:val="DefaultParagraphFont"/>
    <w:rsid w:val="00AB3E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EFA"/>
    <w:rPr>
      <w:b/>
    </w:rPr>
  </w:style>
  <w:style w:type="character" w:customStyle="1" w:styleId="Underlined">
    <w:name w:val="Underlined"/>
    <w:basedOn w:val="DefaultParagraphFont"/>
    <w:rsid w:val="00AB3EFA"/>
    <w:rPr>
      <w:u w:val="single"/>
    </w:rPr>
  </w:style>
  <w:style w:type="paragraph" w:customStyle="1" w:styleId="TableBodyTextRight">
    <w:name w:val="Table Body Text Right"/>
    <w:basedOn w:val="TableBodyText"/>
    <w:rsid w:val="00AB3E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EFA"/>
    <w:rPr>
      <w:sz w:val="18"/>
    </w:rPr>
  </w:style>
  <w:style w:type="paragraph" w:customStyle="1" w:styleId="BodySmallRight">
    <w:name w:val="Body Small Right"/>
    <w:basedOn w:val="BodyTextRight"/>
    <w:rsid w:val="00AB3EFA"/>
    <w:rPr>
      <w:sz w:val="18"/>
      <w:szCs w:val="18"/>
    </w:rPr>
  </w:style>
  <w:style w:type="paragraph" w:customStyle="1" w:styleId="MarginEdition">
    <w:name w:val="Margin Edition"/>
    <w:basedOn w:val="MarginNote"/>
    <w:rsid w:val="00AB3E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EFA"/>
    <w:rPr>
      <w:sz w:val="2"/>
      <w:szCs w:val="2"/>
    </w:rPr>
  </w:style>
  <w:style w:type="character" w:customStyle="1" w:styleId="Small">
    <w:name w:val="Small"/>
    <w:basedOn w:val="DefaultParagraphFont"/>
    <w:rsid w:val="00AB3EFA"/>
    <w:rPr>
      <w:sz w:val="16"/>
    </w:rPr>
  </w:style>
  <w:style w:type="paragraph" w:customStyle="1" w:styleId="WideTable">
    <w:name w:val="Wide Table"/>
    <w:basedOn w:val="Normal"/>
    <w:rsid w:val="00AB3E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EFA"/>
  </w:style>
  <w:style w:type="paragraph" w:styleId="Quote">
    <w:name w:val="Quote"/>
    <w:basedOn w:val="Heading1"/>
    <w:link w:val="QuoteChar"/>
    <w:qFormat/>
    <w:rsid w:val="00AB3E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E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EFA"/>
    <w:pPr>
      <w:pageBreakBefore/>
    </w:pPr>
  </w:style>
  <w:style w:type="paragraph" w:customStyle="1" w:styleId="Border">
    <w:name w:val="Border"/>
    <w:basedOn w:val="Normal"/>
    <w:qFormat/>
    <w:rsid w:val="00AB3E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E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E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E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E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E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E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E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E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EFA"/>
    <w:rPr>
      <w:u w:val="single"/>
    </w:rPr>
  </w:style>
  <w:style w:type="character" w:customStyle="1" w:styleId="BoldandItalics">
    <w:name w:val="Bold and Italics"/>
    <w:qFormat/>
    <w:rsid w:val="00AB3EFA"/>
    <w:rPr>
      <w:b/>
      <w:i/>
      <w:u w:val="none"/>
    </w:rPr>
  </w:style>
  <w:style w:type="paragraph" w:styleId="BalloonText">
    <w:name w:val="Balloon Text"/>
    <w:basedOn w:val="Normal"/>
    <w:link w:val="BalloonTextChar"/>
    <w:rsid w:val="00AB3E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E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E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E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E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E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EFA"/>
    <w:pPr>
      <w:spacing w:before="0" w:after="0"/>
    </w:pPr>
  </w:style>
  <w:style w:type="paragraph" w:customStyle="1" w:styleId="BodyTextBold">
    <w:name w:val="Body Text Bold"/>
    <w:basedOn w:val="BodyText"/>
    <w:qFormat/>
    <w:rsid w:val="00AB3EFA"/>
    <w:rPr>
      <w:b/>
    </w:rPr>
  </w:style>
  <w:style w:type="character" w:styleId="Hyperlink">
    <w:name w:val="Hyperlink"/>
    <w:basedOn w:val="DefaultParagraphFont"/>
    <w:uiPriority w:val="99"/>
    <w:unhideWhenUsed/>
    <w:rsid w:val="003464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2457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PMAOPS343 Transfer bulk fluids into/out of storage facility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2022-10-18T13:46:00Z</dcterms:created>
  <dcterms:modified xsi:type="dcterms:W3CDTF">2022-10-18T13:46:00Z</dcterms:modified>
</cp:coreProperties>
</file>