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C56FF" w:rsidP="00CC56FF">
      <w:pPr>
        <w:pStyle w:val="Title"/>
      </w:pPr>
      <w:r>
        <w:fldChar w:fldCharType="begin"/>
      </w:r>
      <w:r>
        <w:instrText xml:space="preserve"> TITLE   \* MERGEFORMAT </w:instrText>
      </w:r>
      <w:r>
        <w:fldChar w:fldCharType="separate"/>
      </w:r>
      <w:r>
        <w:t>PMAOPS340 Operate cryogenic processes</w:t>
      </w:r>
      <w:r>
        <w:fldChar w:fldCharType="end"/>
      </w:r>
    </w:p>
    <w:p w:rsidR="00CC56FF" w:rsidP="00CC56FF">
      <w:pPr>
        <w:pStyle w:val="Version"/>
        <w:sectPr w:rsidSect="00E915E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915E6" w:rsidP="00E915E6">
      <w:pPr>
        <w:pStyle w:val="SuperHeading"/>
      </w:pPr>
      <w:r w:rsidRPr="00E915E6">
        <w:t>PMAOPS340 Operate cryogenic processes</w:t>
      </w:r>
    </w:p>
    <w:p w:rsidR="00000000" w:rsidRPr="00E915E6" w:rsidP="00E915E6">
      <w:pPr>
        <w:pStyle w:val="Heading1"/>
      </w:pPr>
      <w:bookmarkStart w:id="1" w:name="O_908069"/>
      <w:bookmarkEnd w:id="1"/>
      <w:r w:rsidRPr="00E915E6">
        <w:t>Modification History</w:t>
      </w:r>
    </w:p>
    <w:p w:rsidR="00000000" w:rsidRPr="00E915E6" w:rsidP="00E915E6">
      <w:pPr>
        <w:pStyle w:val="BodyText"/>
      </w:pPr>
      <w:r w:rsidRPr="00E915E6">
        <w:t>Release 1. Supersedes and is equivalent to PMAOPS340B Operate cryogenic processes</w:t>
      </w:r>
    </w:p>
    <w:p w:rsidR="00000000" w:rsidRPr="00E915E6" w:rsidP="00E915E6">
      <w:pPr>
        <w:pStyle w:val="AllowPageBreak"/>
      </w:pPr>
    </w:p>
    <w:p w:rsidR="00000000" w:rsidRPr="00E915E6" w:rsidP="00E915E6">
      <w:pPr>
        <w:pStyle w:val="Heading1"/>
      </w:pPr>
      <w:bookmarkStart w:id="2" w:name="O_908077"/>
      <w:bookmarkEnd w:id="2"/>
      <w:r w:rsidRPr="00E915E6">
        <w:t>Application</w:t>
      </w:r>
    </w:p>
    <w:p w:rsidR="00000000" w:rsidRPr="00E915E6" w:rsidP="00E915E6">
      <w:pPr>
        <w:pStyle w:val="BodyText"/>
      </w:pPr>
      <w:r w:rsidRPr="00E915E6">
        <w:t>This unit of competency covers the skills and knowledge required to operate and maintain a complex refrigeration/cryogenic s</w:t>
      </w:r>
      <w:r w:rsidRPr="00E915E6">
        <w:t>ystem.</w:t>
      </w:r>
    </w:p>
    <w:p w:rsidR="00000000" w:rsidRPr="00E915E6" w:rsidP="00E915E6">
      <w:pPr>
        <w:pStyle w:val="BodyText"/>
      </w:pPr>
    </w:p>
    <w:p w:rsidR="00000000" w:rsidRPr="00E915E6" w:rsidP="00E915E6">
      <w:pPr>
        <w:pStyle w:val="BodyText"/>
      </w:pPr>
      <w:r w:rsidRPr="00E915E6">
        <w:t xml:space="preserve">This unit of competency includes all such items of equipment and unit operations which form part of the complex refrigeration/cryogenic system. A unit/system comprises two or more components of plant/equipment that are operated together to produce </w:t>
      </w:r>
      <w:r w:rsidRPr="00E915E6">
        <w:t>product, including as appropriate to the facility:</w:t>
      </w:r>
    </w:p>
    <w:p w:rsidR="00000000" w:rsidRPr="00E915E6" w:rsidP="00E915E6">
      <w:pPr>
        <w:pStyle w:val="BodyText"/>
      </w:pPr>
    </w:p>
    <w:p w:rsidR="00000000" w:rsidRPr="00E915E6" w:rsidP="00E915E6">
      <w:pPr>
        <w:pStyle w:val="ListBullet"/>
      </w:pPr>
      <w:r w:rsidRPr="00E915E6">
        <w:t xml:space="preserve">large refrigeration systems that produce low temperatures </w:t>
      </w:r>
    </w:p>
    <w:p w:rsidR="00000000" w:rsidRPr="00E915E6" w:rsidP="00E915E6">
      <w:pPr>
        <w:pStyle w:val="ListBullet"/>
      </w:pPr>
      <w:r w:rsidRPr="00E915E6">
        <w:t>multi-stage centrifugal compressors</w:t>
      </w:r>
    </w:p>
    <w:p w:rsidR="00000000" w:rsidRPr="00E915E6" w:rsidP="00E915E6">
      <w:pPr>
        <w:pStyle w:val="ListBullet"/>
      </w:pPr>
      <w:r w:rsidRPr="00E915E6">
        <w:t xml:space="preserve">heat exchangers </w:t>
      </w:r>
    </w:p>
    <w:p w:rsidR="00000000" w:rsidRPr="00E915E6" w:rsidP="00E915E6">
      <w:pPr>
        <w:pStyle w:val="ListBullet"/>
      </w:pPr>
      <w:r w:rsidRPr="00E915E6">
        <w:t>computer control</w:t>
      </w:r>
    </w:p>
    <w:p w:rsidR="00000000" w:rsidRPr="00E915E6" w:rsidP="00E915E6">
      <w:pPr>
        <w:pStyle w:val="ListBullet"/>
      </w:pPr>
      <w:r w:rsidRPr="00E915E6">
        <w:t>monitoring systems.</w:t>
      </w:r>
    </w:p>
    <w:p w:rsidR="00000000" w:rsidRPr="00E915E6" w:rsidP="00E915E6">
      <w:pPr>
        <w:pStyle w:val="BodyText"/>
      </w:pPr>
    </w:p>
    <w:p w:rsidR="00000000" w:rsidRPr="00E915E6" w:rsidP="00E915E6">
      <w:pPr>
        <w:pStyle w:val="BodyText"/>
      </w:pPr>
      <w:r w:rsidRPr="00E915E6">
        <w:t>This unit of competency applies to operations technic</w:t>
      </w:r>
      <w:r w:rsidRPr="00E915E6">
        <w:t>ians who are required to demonstrate a significant understanding of the process and the equipment operation in order to identify and rectify operational problems, perform isolations, start-up and shutdown procedures, and operate, monitor and maintain equip</w:t>
      </w:r>
      <w:r w:rsidRPr="00E915E6">
        <w:t>ment.</w:t>
      </w:r>
    </w:p>
    <w:p w:rsidR="00000000" w:rsidRPr="00E915E6" w:rsidP="00E915E6">
      <w:pPr>
        <w:pStyle w:val="BodyText"/>
      </w:pPr>
    </w:p>
    <w:p w:rsidR="00000000" w:rsidRPr="00E915E6" w:rsidP="00E915E6">
      <w:pPr>
        <w:pStyle w:val="BodyText"/>
      </w:pPr>
      <w:r w:rsidRPr="00E915E6">
        <w:t xml:space="preserve">This unit of competency applies to an individual operating independently in a plant with local control or in liaison with the control room operator in a plant with a centralised control panel, such as distributed control system (DCS) type controls. </w:t>
      </w:r>
      <w:r w:rsidRPr="00E915E6">
        <w:t xml:space="preserve">In the case of large complex plant, the operations technician would be part of a team during start-up and shutdown procedures. </w:t>
      </w:r>
    </w:p>
    <w:p w:rsidR="00000000" w:rsidRPr="00E915E6" w:rsidP="00E915E6">
      <w:pPr>
        <w:pStyle w:val="BodyText"/>
      </w:pPr>
    </w:p>
    <w:p w:rsidR="00000000" w:rsidRPr="00E915E6" w:rsidP="00E915E6">
      <w:pPr>
        <w:pStyle w:val="BodyText"/>
      </w:pPr>
      <w:r w:rsidRPr="00E915E6">
        <w:t xml:space="preserve">This unit of competency applies to an individual working alone or as part of a team or group and working in liaison with other </w:t>
      </w:r>
      <w:r w:rsidRPr="00E915E6">
        <w:t>shift team members and the control room operator, as appropriate.</w:t>
      </w:r>
    </w:p>
    <w:p w:rsidR="00000000" w:rsidRPr="00E915E6" w:rsidP="00E915E6">
      <w:pPr>
        <w:pStyle w:val="BodyText"/>
      </w:pPr>
    </w:p>
    <w:p w:rsidR="00000000" w:rsidRPr="00E915E6" w:rsidP="00E915E6">
      <w:pPr>
        <w:pStyle w:val="BodyText"/>
      </w:pPr>
      <w:r w:rsidRPr="00E915E6">
        <w:t xml:space="preserve">This competency does not require the operation of a central control panel. </w:t>
      </w:r>
    </w:p>
    <w:p w:rsidR="00000000" w:rsidRPr="00E915E6" w:rsidP="00E915E6">
      <w:pPr>
        <w:pStyle w:val="BodyText"/>
      </w:pPr>
    </w:p>
    <w:p w:rsidR="00000000" w:rsidRPr="00E915E6" w:rsidP="00E915E6">
      <w:pPr>
        <w:pStyle w:val="BodyText"/>
      </w:pPr>
      <w:r w:rsidRPr="00E915E6">
        <w:t>No licensing, legislative or certification requirements apply to this unit at the time of publication.</w:t>
      </w:r>
    </w:p>
    <w:p w:rsidR="00000000" w:rsidRPr="00E915E6" w:rsidP="00E915E6">
      <w:pPr>
        <w:pStyle w:val="AllowPageBreak"/>
      </w:pPr>
    </w:p>
    <w:p w:rsidR="00000000" w:rsidRPr="00E915E6" w:rsidP="00E915E6">
      <w:pPr>
        <w:pStyle w:val="Heading1"/>
      </w:pPr>
      <w:bookmarkStart w:id="3" w:name="O_908076"/>
      <w:bookmarkEnd w:id="3"/>
      <w:r w:rsidRPr="00E915E6">
        <w:t>Pre-requisite Unit</w:t>
      </w:r>
    </w:p>
    <w:p w:rsidR="00000000" w:rsidRPr="00E915E6" w:rsidP="00E915E6">
      <w:pPr>
        <w:pStyle w:val="BodyText"/>
      </w:pPr>
      <w:r w:rsidRPr="00E915E6">
        <w:t>Nil</w:t>
      </w:r>
    </w:p>
    <w:p w:rsidR="00000000" w:rsidRPr="00E915E6" w:rsidP="00E915E6">
      <w:pPr>
        <w:pStyle w:val="AllowPageBreak"/>
      </w:pPr>
    </w:p>
    <w:p w:rsidR="00000000" w:rsidRPr="00E915E6" w:rsidP="00E915E6">
      <w:pPr>
        <w:pStyle w:val="Heading1"/>
      </w:pPr>
      <w:bookmarkStart w:id="4" w:name="O_908075"/>
      <w:bookmarkEnd w:id="4"/>
      <w:r w:rsidRPr="00E915E6">
        <w:t>Competency Field</w:t>
      </w:r>
    </w:p>
    <w:p w:rsidR="00000000" w:rsidRPr="00E915E6" w:rsidP="00E915E6">
      <w:pPr>
        <w:pStyle w:val="BodyText"/>
      </w:pPr>
      <w:r w:rsidRPr="00E915E6">
        <w:t>Operations</w:t>
      </w:r>
    </w:p>
    <w:p w:rsidR="00000000" w:rsidRPr="00E915E6" w:rsidP="00E915E6">
      <w:pPr>
        <w:pStyle w:val="AllowPageBreak"/>
      </w:pPr>
    </w:p>
    <w:p w:rsidR="00000000" w:rsidRPr="00E915E6" w:rsidP="00E915E6">
      <w:pPr>
        <w:pStyle w:val="Heading1"/>
      </w:pPr>
      <w:bookmarkStart w:id="5" w:name="O_908074"/>
      <w:bookmarkEnd w:id="5"/>
      <w:r w:rsidRPr="00E915E6">
        <w:t>Unit Sector</w:t>
      </w:r>
    </w:p>
    <w:p w:rsidR="00000000" w:rsidRPr="00E915E6" w:rsidP="00E915E6">
      <w:pPr>
        <w:pStyle w:val="Heading1"/>
      </w:pPr>
      <w:bookmarkStart w:id="6" w:name="O_908073"/>
      <w:bookmarkEnd w:id="6"/>
      <w:r w:rsidRPr="00E915E6">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E915E6">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E915E6">
            <w:pPr>
              <w:pStyle w:val="BodyText"/>
              <w:rPr>
                <w:lang w:val="en-NZ"/>
              </w:rPr>
            </w:pPr>
            <w:r w:rsidRPr="00E915E6">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E915E6">
            <w:pPr>
              <w:pStyle w:val="BodyText"/>
              <w:rPr>
                <w:lang w:val="en-NZ"/>
              </w:rPr>
            </w:pPr>
            <w:r w:rsidRPr="00E915E6">
              <w:t>Performance criteria describe the performance needed to de</w:t>
            </w:r>
            <w:r w:rsidRPr="00E915E6">
              <w:t>monstrate achievement of the element.</w:t>
            </w:r>
          </w:p>
        </w:tc>
      </w:tr>
      <w:tr w:rsidTr="00E915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915E6" w:rsidP="00E915E6">
            <w:pPr>
              <w:pStyle w:val="BodyText"/>
            </w:pPr>
            <w:r w:rsidRPr="00E915E6">
              <w:t>1</w:t>
            </w:r>
          </w:p>
        </w:tc>
        <w:tc>
          <w:tcPr>
            <w:tcW w:w="1962" w:type="dxa"/>
            <w:vMerge w:val="restart"/>
            <w:tcBorders>
              <w:top w:val="nil"/>
              <w:left w:val="nil"/>
              <w:bottom w:val="nil"/>
              <w:right w:val="nil"/>
            </w:tcBorders>
            <w:tcMar>
              <w:top w:w="0" w:type="dxa"/>
              <w:left w:w="62" w:type="dxa"/>
              <w:bottom w:w="0" w:type="dxa"/>
              <w:right w:w="62" w:type="dxa"/>
            </w:tcMar>
          </w:tcPr>
          <w:p w:rsidR="00000000" w:rsidP="00E915E6">
            <w:pPr>
              <w:pStyle w:val="BodyText"/>
              <w:rPr>
                <w:lang w:val="en-NZ"/>
              </w:rPr>
            </w:pPr>
            <w:r w:rsidRPr="00E915E6">
              <w:rPr>
                <w:rStyle w:val="SpecialBold"/>
              </w:rPr>
              <w:t>Prepare for work</w:t>
            </w:r>
          </w:p>
        </w:tc>
        <w:tc>
          <w:tcPr>
            <w:tcW w:w="770" w:type="dxa"/>
            <w:tcBorders>
              <w:top w:val="nil"/>
              <w:left w:val="nil"/>
              <w:bottom w:val="nil"/>
              <w:right w:val="nil"/>
            </w:tcBorders>
            <w:tcMar>
              <w:top w:w="0" w:type="dxa"/>
              <w:left w:w="62" w:type="dxa"/>
              <w:bottom w:w="0" w:type="dxa"/>
              <w:right w:w="62" w:type="dxa"/>
            </w:tcMar>
          </w:tcPr>
          <w:p w:rsidR="00000000" w:rsidP="00E915E6">
            <w:pPr>
              <w:pStyle w:val="BodyText"/>
              <w:rPr>
                <w:lang w:val="en-NZ"/>
              </w:rPr>
            </w:pPr>
            <w:r w:rsidRPr="00E915E6">
              <w:t>1.1</w:t>
            </w:r>
          </w:p>
        </w:tc>
        <w:tc>
          <w:tcPr>
            <w:tcW w:w="5610" w:type="dxa"/>
            <w:tcBorders>
              <w:top w:val="nil"/>
              <w:left w:val="nil"/>
              <w:bottom w:val="nil"/>
              <w:right w:val="nil"/>
            </w:tcBorders>
            <w:tcMar>
              <w:top w:w="0" w:type="dxa"/>
              <w:left w:w="62" w:type="dxa"/>
              <w:bottom w:w="0" w:type="dxa"/>
              <w:right w:w="62" w:type="dxa"/>
            </w:tcMar>
          </w:tcPr>
          <w:p w:rsidR="00000000" w:rsidP="00E915E6">
            <w:pPr>
              <w:pStyle w:val="BodyText"/>
              <w:rPr>
                <w:lang w:val="en-NZ"/>
              </w:rPr>
            </w:pPr>
            <w:r w:rsidRPr="00E915E6">
              <w:t>Receive and give shift handover</w:t>
            </w:r>
          </w:p>
        </w:tc>
      </w:tr>
      <w:tr w:rsidTr="00E915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915E6">
            <w:pPr>
              <w:pStyle w:val="BodyText"/>
              <w:rPr>
                <w:lang w:val="en-NZ"/>
              </w:rPr>
            </w:pPr>
            <w:r w:rsidRPr="00E915E6">
              <w:t>1.2</w:t>
            </w:r>
          </w:p>
        </w:tc>
        <w:tc>
          <w:tcPr>
            <w:tcW w:w="5610" w:type="dxa"/>
            <w:tcBorders>
              <w:top w:val="nil"/>
              <w:left w:val="nil"/>
              <w:bottom w:val="nil"/>
              <w:right w:val="nil"/>
            </w:tcBorders>
            <w:tcMar>
              <w:top w:w="0" w:type="dxa"/>
              <w:left w:w="62" w:type="dxa"/>
              <w:bottom w:w="0" w:type="dxa"/>
              <w:right w:w="62" w:type="dxa"/>
            </w:tcMar>
          </w:tcPr>
          <w:p w:rsidR="00000000" w:rsidP="00E915E6">
            <w:pPr>
              <w:pStyle w:val="BodyText"/>
              <w:rPr>
                <w:lang w:val="en-NZ"/>
              </w:rPr>
            </w:pPr>
            <w:r w:rsidRPr="00E915E6">
              <w:t>Identify work requirements</w:t>
            </w:r>
          </w:p>
        </w:tc>
      </w:tr>
      <w:tr w:rsidTr="00E915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915E6">
            <w:pPr>
              <w:pStyle w:val="BodyText"/>
              <w:rPr>
                <w:lang w:val="en-NZ"/>
              </w:rPr>
            </w:pPr>
            <w:r w:rsidRPr="00E915E6">
              <w:t>1.3</w:t>
            </w:r>
          </w:p>
        </w:tc>
        <w:tc>
          <w:tcPr>
            <w:tcW w:w="5610" w:type="dxa"/>
            <w:tcBorders>
              <w:top w:val="nil"/>
              <w:left w:val="nil"/>
              <w:bottom w:val="nil"/>
              <w:right w:val="nil"/>
            </w:tcBorders>
            <w:tcMar>
              <w:top w:w="0" w:type="dxa"/>
              <w:left w:w="62" w:type="dxa"/>
              <w:bottom w:w="0" w:type="dxa"/>
              <w:right w:w="62" w:type="dxa"/>
            </w:tcMar>
          </w:tcPr>
          <w:p w:rsidR="00000000" w:rsidP="00E915E6">
            <w:pPr>
              <w:pStyle w:val="BodyText"/>
              <w:rPr>
                <w:lang w:val="en-NZ"/>
              </w:rPr>
            </w:pPr>
            <w:r w:rsidRPr="00E915E6">
              <w:t>Identify and control hazards</w:t>
            </w:r>
          </w:p>
        </w:tc>
      </w:tr>
      <w:tr w:rsidTr="00E915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915E6">
            <w:pPr>
              <w:pStyle w:val="BodyText"/>
              <w:rPr>
                <w:lang w:val="en-NZ"/>
              </w:rPr>
            </w:pPr>
            <w:r w:rsidRPr="00E915E6">
              <w:t>1.4</w:t>
            </w:r>
          </w:p>
        </w:tc>
        <w:tc>
          <w:tcPr>
            <w:tcW w:w="5610" w:type="dxa"/>
            <w:tcBorders>
              <w:top w:val="nil"/>
              <w:left w:val="nil"/>
              <w:bottom w:val="nil"/>
              <w:right w:val="nil"/>
            </w:tcBorders>
            <w:tcMar>
              <w:top w:w="0" w:type="dxa"/>
              <w:left w:w="62" w:type="dxa"/>
              <w:bottom w:w="0" w:type="dxa"/>
              <w:right w:w="62" w:type="dxa"/>
            </w:tcMar>
          </w:tcPr>
          <w:p w:rsidR="00000000" w:rsidP="00E915E6">
            <w:pPr>
              <w:pStyle w:val="BodyText"/>
              <w:rPr>
                <w:lang w:val="en-NZ"/>
              </w:rPr>
            </w:pPr>
            <w:r w:rsidRPr="00E915E6">
              <w:t>Coordinate with appropriate personnel</w:t>
            </w:r>
          </w:p>
        </w:tc>
      </w:tr>
      <w:tr w:rsidTr="00E915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915E6">
            <w:pPr>
              <w:pStyle w:val="BodyText"/>
              <w:rPr>
                <w:lang w:val="en-NZ"/>
              </w:rPr>
            </w:pPr>
            <w:r w:rsidRPr="00E915E6">
              <w:t>1.5</w:t>
            </w:r>
          </w:p>
        </w:tc>
        <w:tc>
          <w:tcPr>
            <w:tcW w:w="5610" w:type="dxa"/>
            <w:tcBorders>
              <w:top w:val="nil"/>
              <w:left w:val="nil"/>
              <w:bottom w:val="nil"/>
              <w:right w:val="nil"/>
            </w:tcBorders>
            <w:tcMar>
              <w:top w:w="0" w:type="dxa"/>
              <w:left w:w="62" w:type="dxa"/>
              <w:bottom w:w="0" w:type="dxa"/>
              <w:right w:w="62" w:type="dxa"/>
            </w:tcMar>
          </w:tcPr>
          <w:p w:rsidR="00000000" w:rsidP="00E915E6">
            <w:pPr>
              <w:pStyle w:val="BodyText"/>
              <w:rPr>
                <w:lang w:val="en-NZ"/>
              </w:rPr>
            </w:pPr>
            <w:r w:rsidRPr="00E915E6">
              <w:t>Check for</w:t>
            </w:r>
            <w:r w:rsidRPr="00E915E6">
              <w:t xml:space="preserve"> recent work undertaken on cryogenic process</w:t>
            </w:r>
          </w:p>
        </w:tc>
      </w:tr>
      <w:tr w:rsidTr="00E915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915E6">
            <w:pPr>
              <w:pStyle w:val="BodyText"/>
              <w:rPr>
                <w:lang w:val="en-NZ"/>
              </w:rPr>
            </w:pPr>
            <w:r w:rsidRPr="00E915E6">
              <w:t>1.6</w:t>
            </w:r>
          </w:p>
        </w:tc>
        <w:tc>
          <w:tcPr>
            <w:tcW w:w="5610" w:type="dxa"/>
            <w:tcBorders>
              <w:top w:val="nil"/>
              <w:left w:val="nil"/>
              <w:bottom w:val="nil"/>
              <w:right w:val="nil"/>
            </w:tcBorders>
            <w:tcMar>
              <w:top w:w="0" w:type="dxa"/>
              <w:left w:w="62" w:type="dxa"/>
              <w:bottom w:w="0" w:type="dxa"/>
              <w:right w:w="62" w:type="dxa"/>
            </w:tcMar>
          </w:tcPr>
          <w:p w:rsidR="00000000" w:rsidP="00E915E6">
            <w:pPr>
              <w:pStyle w:val="BodyText"/>
              <w:rPr>
                <w:lang w:val="en-NZ"/>
              </w:rPr>
            </w:pPr>
            <w:r w:rsidRPr="00E915E6">
              <w:t>Note any outstanding/incomplete work</w:t>
            </w:r>
          </w:p>
        </w:tc>
      </w:tr>
      <w:tr w:rsidTr="00E915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915E6">
            <w:pPr>
              <w:pStyle w:val="BodyText"/>
              <w:rPr>
                <w:lang w:val="en-NZ"/>
              </w:rPr>
            </w:pPr>
            <w:r w:rsidRPr="00E915E6">
              <w:t>1.7</w:t>
            </w:r>
          </w:p>
        </w:tc>
        <w:tc>
          <w:tcPr>
            <w:tcW w:w="5610" w:type="dxa"/>
            <w:tcBorders>
              <w:top w:val="nil"/>
              <w:left w:val="nil"/>
              <w:bottom w:val="nil"/>
              <w:right w:val="nil"/>
            </w:tcBorders>
            <w:tcMar>
              <w:top w:w="0" w:type="dxa"/>
              <w:left w:w="62" w:type="dxa"/>
              <w:bottom w:w="0" w:type="dxa"/>
              <w:right w:w="62" w:type="dxa"/>
            </w:tcMar>
          </w:tcPr>
          <w:p w:rsidR="00000000" w:rsidP="00E915E6">
            <w:pPr>
              <w:pStyle w:val="BodyText"/>
              <w:rPr>
                <w:lang w:val="en-NZ"/>
              </w:rPr>
            </w:pPr>
            <w:r w:rsidRPr="00E915E6">
              <w:t>Check operational status of cryogenic process</w:t>
            </w:r>
          </w:p>
        </w:tc>
      </w:tr>
      <w:tr w:rsidTr="00E915E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915E6">
            <w:pPr>
              <w:pStyle w:val="BodyText"/>
              <w:rPr>
                <w:lang w:val="en-NZ"/>
              </w:rPr>
            </w:pPr>
          </w:p>
        </w:tc>
      </w:tr>
      <w:tr w:rsidTr="00E915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915E6" w:rsidP="00E915E6">
            <w:pPr>
              <w:pStyle w:val="BodyText"/>
            </w:pPr>
            <w:r w:rsidRPr="00E915E6">
              <w:t>2</w:t>
            </w:r>
          </w:p>
        </w:tc>
        <w:tc>
          <w:tcPr>
            <w:tcW w:w="1962" w:type="dxa"/>
            <w:vMerge w:val="restart"/>
            <w:tcBorders>
              <w:top w:val="nil"/>
              <w:left w:val="nil"/>
              <w:bottom w:val="nil"/>
              <w:right w:val="nil"/>
            </w:tcBorders>
            <w:tcMar>
              <w:top w:w="0" w:type="dxa"/>
              <w:left w:w="62" w:type="dxa"/>
              <w:bottom w:w="0" w:type="dxa"/>
              <w:right w:w="62" w:type="dxa"/>
            </w:tcMar>
          </w:tcPr>
          <w:p w:rsidR="00000000" w:rsidP="00E915E6">
            <w:pPr>
              <w:pStyle w:val="BodyText"/>
              <w:rPr>
                <w:lang w:val="en-NZ"/>
              </w:rPr>
            </w:pPr>
            <w:r w:rsidRPr="00E915E6">
              <w:rPr>
                <w:rStyle w:val="SpecialBold"/>
              </w:rPr>
              <w:t>Operate cryogenic process</w:t>
            </w:r>
          </w:p>
        </w:tc>
        <w:tc>
          <w:tcPr>
            <w:tcW w:w="770" w:type="dxa"/>
            <w:tcBorders>
              <w:top w:val="nil"/>
              <w:left w:val="nil"/>
              <w:bottom w:val="nil"/>
              <w:right w:val="nil"/>
            </w:tcBorders>
            <w:tcMar>
              <w:top w:w="0" w:type="dxa"/>
              <w:left w:w="62" w:type="dxa"/>
              <w:bottom w:w="0" w:type="dxa"/>
              <w:right w:w="62" w:type="dxa"/>
            </w:tcMar>
          </w:tcPr>
          <w:p w:rsidR="00000000" w:rsidP="00E915E6">
            <w:pPr>
              <w:pStyle w:val="BodyText"/>
              <w:rPr>
                <w:lang w:val="en-NZ"/>
              </w:rPr>
            </w:pPr>
            <w:r w:rsidRPr="00E915E6">
              <w:t>2.1</w:t>
            </w:r>
          </w:p>
        </w:tc>
        <w:tc>
          <w:tcPr>
            <w:tcW w:w="5610" w:type="dxa"/>
            <w:tcBorders>
              <w:top w:val="nil"/>
              <w:left w:val="nil"/>
              <w:bottom w:val="nil"/>
              <w:right w:val="nil"/>
            </w:tcBorders>
            <w:tcMar>
              <w:top w:w="0" w:type="dxa"/>
              <w:left w:w="62" w:type="dxa"/>
              <w:bottom w:w="0" w:type="dxa"/>
              <w:right w:w="62" w:type="dxa"/>
            </w:tcMar>
          </w:tcPr>
          <w:p w:rsidR="00000000" w:rsidP="00E915E6">
            <w:pPr>
              <w:pStyle w:val="BodyText"/>
              <w:rPr>
                <w:lang w:val="en-NZ"/>
              </w:rPr>
            </w:pPr>
            <w:r w:rsidRPr="00E915E6">
              <w:t>Describe the type of cryoge</w:t>
            </w:r>
            <w:r w:rsidRPr="00E915E6">
              <w:t>nic plant, the component plant items and their duties</w:t>
            </w:r>
          </w:p>
        </w:tc>
      </w:tr>
      <w:tr w:rsidTr="00E915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915E6">
            <w:pPr>
              <w:pStyle w:val="BodyText"/>
              <w:rPr>
                <w:lang w:val="en-NZ"/>
              </w:rPr>
            </w:pPr>
            <w:r w:rsidRPr="00E915E6">
              <w:t>2.2</w:t>
            </w:r>
          </w:p>
        </w:tc>
        <w:tc>
          <w:tcPr>
            <w:tcW w:w="5610" w:type="dxa"/>
            <w:tcBorders>
              <w:top w:val="nil"/>
              <w:left w:val="nil"/>
              <w:bottom w:val="nil"/>
              <w:right w:val="nil"/>
            </w:tcBorders>
            <w:tcMar>
              <w:top w:w="0" w:type="dxa"/>
              <w:left w:w="62" w:type="dxa"/>
              <w:bottom w:w="0" w:type="dxa"/>
              <w:right w:w="62" w:type="dxa"/>
            </w:tcMar>
          </w:tcPr>
          <w:p w:rsidR="00000000" w:rsidP="00E915E6">
            <w:pPr>
              <w:pStyle w:val="BodyText"/>
              <w:rPr>
                <w:lang w:val="en-NZ"/>
              </w:rPr>
            </w:pPr>
            <w:r w:rsidRPr="00E915E6">
              <w:t>Complete routine checks, logs and paperwork taking action on unexpected readings</w:t>
            </w:r>
          </w:p>
        </w:tc>
      </w:tr>
      <w:tr w:rsidTr="00E915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915E6">
            <w:pPr>
              <w:pStyle w:val="BodyText"/>
              <w:rPr>
                <w:lang w:val="en-NZ"/>
              </w:rPr>
            </w:pPr>
            <w:r w:rsidRPr="00E915E6">
              <w:t>2.3</w:t>
            </w:r>
          </w:p>
        </w:tc>
        <w:tc>
          <w:tcPr>
            <w:tcW w:w="5610" w:type="dxa"/>
            <w:tcBorders>
              <w:top w:val="nil"/>
              <w:left w:val="nil"/>
              <w:bottom w:val="nil"/>
              <w:right w:val="nil"/>
            </w:tcBorders>
            <w:tcMar>
              <w:top w:w="0" w:type="dxa"/>
              <w:left w:w="62" w:type="dxa"/>
              <w:bottom w:w="0" w:type="dxa"/>
              <w:right w:w="62" w:type="dxa"/>
            </w:tcMar>
          </w:tcPr>
          <w:p w:rsidR="00000000" w:rsidP="00E915E6">
            <w:pPr>
              <w:pStyle w:val="BodyText"/>
              <w:rPr>
                <w:lang w:val="en-NZ"/>
              </w:rPr>
            </w:pPr>
            <w:r w:rsidRPr="00E915E6">
              <w:t>Change rate, grade or specification smoothly as required</w:t>
            </w:r>
          </w:p>
        </w:tc>
      </w:tr>
      <w:tr w:rsidTr="00E915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915E6">
            <w:pPr>
              <w:pStyle w:val="BodyText"/>
              <w:rPr>
                <w:lang w:val="en-NZ"/>
              </w:rPr>
            </w:pPr>
            <w:r w:rsidRPr="00E915E6">
              <w:t>2.4</w:t>
            </w:r>
          </w:p>
        </w:tc>
        <w:tc>
          <w:tcPr>
            <w:tcW w:w="5610" w:type="dxa"/>
            <w:tcBorders>
              <w:top w:val="nil"/>
              <w:left w:val="nil"/>
              <w:bottom w:val="nil"/>
              <w:right w:val="nil"/>
            </w:tcBorders>
            <w:tcMar>
              <w:top w:w="0" w:type="dxa"/>
              <w:left w:w="62" w:type="dxa"/>
              <w:bottom w:w="0" w:type="dxa"/>
              <w:right w:w="62" w:type="dxa"/>
            </w:tcMar>
          </w:tcPr>
          <w:p w:rsidR="00000000" w:rsidP="00E915E6">
            <w:pPr>
              <w:pStyle w:val="BodyText"/>
              <w:rPr>
                <w:lang w:val="en-NZ"/>
              </w:rPr>
            </w:pPr>
            <w:r w:rsidRPr="00E915E6">
              <w:t>Adjust cryogenic process and its component plant items as appropriate to their type and duty to maximise performance</w:t>
            </w:r>
          </w:p>
        </w:tc>
      </w:tr>
      <w:tr w:rsidTr="00E915E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915E6">
            <w:pPr>
              <w:pStyle w:val="BodyText"/>
              <w:rPr>
                <w:lang w:val="en-NZ"/>
              </w:rPr>
            </w:pPr>
          </w:p>
        </w:tc>
      </w:tr>
      <w:tr w:rsidTr="00E915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915E6" w:rsidP="00E915E6">
            <w:pPr>
              <w:pStyle w:val="BodyText"/>
            </w:pPr>
            <w:r w:rsidRPr="00E915E6">
              <w:t>3</w:t>
            </w:r>
          </w:p>
        </w:tc>
        <w:tc>
          <w:tcPr>
            <w:tcW w:w="1962" w:type="dxa"/>
            <w:vMerge w:val="restart"/>
            <w:tcBorders>
              <w:top w:val="nil"/>
              <w:left w:val="nil"/>
              <w:bottom w:val="nil"/>
              <w:right w:val="nil"/>
            </w:tcBorders>
            <w:tcMar>
              <w:top w:w="0" w:type="dxa"/>
              <w:left w:w="62" w:type="dxa"/>
              <w:bottom w:w="0" w:type="dxa"/>
              <w:right w:w="62" w:type="dxa"/>
            </w:tcMar>
          </w:tcPr>
          <w:p w:rsidR="00000000" w:rsidP="00E915E6">
            <w:pPr>
              <w:pStyle w:val="BodyText"/>
              <w:rPr>
                <w:lang w:val="en-NZ"/>
              </w:rPr>
            </w:pPr>
            <w:r w:rsidRPr="00E915E6">
              <w:rPr>
                <w:rStyle w:val="SpecialBold"/>
              </w:rPr>
              <w:t>Diagnose and take action on abnormal situations in accordance with procedures</w:t>
            </w:r>
          </w:p>
        </w:tc>
        <w:tc>
          <w:tcPr>
            <w:tcW w:w="770" w:type="dxa"/>
            <w:tcBorders>
              <w:top w:val="nil"/>
              <w:left w:val="nil"/>
              <w:bottom w:val="nil"/>
              <w:right w:val="nil"/>
            </w:tcBorders>
            <w:tcMar>
              <w:top w:w="0" w:type="dxa"/>
              <w:left w:w="62" w:type="dxa"/>
              <w:bottom w:w="0" w:type="dxa"/>
              <w:right w:w="62" w:type="dxa"/>
            </w:tcMar>
          </w:tcPr>
          <w:p w:rsidR="00000000" w:rsidP="00E915E6">
            <w:pPr>
              <w:pStyle w:val="BodyText"/>
              <w:rPr>
                <w:lang w:val="en-NZ"/>
              </w:rPr>
            </w:pPr>
            <w:r w:rsidRPr="00E915E6">
              <w:t>3.1</w:t>
            </w:r>
          </w:p>
        </w:tc>
        <w:tc>
          <w:tcPr>
            <w:tcW w:w="5610" w:type="dxa"/>
            <w:tcBorders>
              <w:top w:val="nil"/>
              <w:left w:val="nil"/>
              <w:bottom w:val="nil"/>
              <w:right w:val="nil"/>
            </w:tcBorders>
            <w:tcMar>
              <w:top w:w="0" w:type="dxa"/>
              <w:left w:w="62" w:type="dxa"/>
              <w:bottom w:w="0" w:type="dxa"/>
              <w:right w:w="62" w:type="dxa"/>
            </w:tcMar>
          </w:tcPr>
          <w:p w:rsidR="00000000" w:rsidP="00E915E6">
            <w:pPr>
              <w:pStyle w:val="BodyText"/>
              <w:rPr>
                <w:lang w:val="en-NZ"/>
              </w:rPr>
            </w:pPr>
            <w:r w:rsidRPr="00E915E6">
              <w:t>Monitor cryogenic process and its component plant items frequently and critically throughout shift using measured/indicated data and senses as appropriate</w:t>
            </w:r>
          </w:p>
        </w:tc>
      </w:tr>
      <w:tr w:rsidTr="00E915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915E6">
            <w:pPr>
              <w:pStyle w:val="BodyText"/>
              <w:rPr>
                <w:lang w:val="en-NZ"/>
              </w:rPr>
            </w:pPr>
            <w:r w:rsidRPr="00E915E6">
              <w:t>3.2</w:t>
            </w:r>
          </w:p>
        </w:tc>
        <w:tc>
          <w:tcPr>
            <w:tcW w:w="5610" w:type="dxa"/>
            <w:tcBorders>
              <w:top w:val="nil"/>
              <w:left w:val="nil"/>
              <w:bottom w:val="nil"/>
              <w:right w:val="nil"/>
            </w:tcBorders>
            <w:tcMar>
              <w:top w:w="0" w:type="dxa"/>
              <w:left w:w="62" w:type="dxa"/>
              <w:bottom w:w="0" w:type="dxa"/>
              <w:right w:w="62" w:type="dxa"/>
            </w:tcMar>
          </w:tcPr>
          <w:p w:rsidR="00000000" w:rsidP="00E915E6">
            <w:pPr>
              <w:pStyle w:val="BodyText"/>
              <w:rPr>
                <w:lang w:val="en-NZ"/>
              </w:rPr>
            </w:pPr>
            <w:r w:rsidRPr="00E915E6">
              <w:t>Recognise conditions likely to give rise to brittle fracture and take action required by proce</w:t>
            </w:r>
            <w:r w:rsidRPr="00E915E6">
              <w:t>dures</w:t>
            </w:r>
          </w:p>
        </w:tc>
      </w:tr>
      <w:tr w:rsidTr="00E915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915E6">
            <w:pPr>
              <w:pStyle w:val="BodyText"/>
              <w:rPr>
                <w:lang w:val="en-NZ"/>
              </w:rPr>
            </w:pPr>
            <w:r w:rsidRPr="00E915E6">
              <w:t>3.3</w:t>
            </w:r>
          </w:p>
        </w:tc>
        <w:tc>
          <w:tcPr>
            <w:tcW w:w="5610" w:type="dxa"/>
            <w:tcBorders>
              <w:top w:val="nil"/>
              <w:left w:val="nil"/>
              <w:bottom w:val="nil"/>
              <w:right w:val="nil"/>
            </w:tcBorders>
            <w:tcMar>
              <w:top w:w="0" w:type="dxa"/>
              <w:left w:w="62" w:type="dxa"/>
              <w:bottom w:w="0" w:type="dxa"/>
              <w:right w:w="62" w:type="dxa"/>
            </w:tcMar>
          </w:tcPr>
          <w:p w:rsidR="00000000" w:rsidP="00E915E6">
            <w:pPr>
              <w:pStyle w:val="BodyText"/>
              <w:rPr>
                <w:lang w:val="en-NZ"/>
              </w:rPr>
            </w:pPr>
            <w:r w:rsidRPr="00E915E6">
              <w:t xml:space="preserve">Identify critical exposure temperature (CET) and take </w:t>
            </w:r>
            <w:r w:rsidRPr="00E915E6">
              <w:t>action to minimise its impact</w:t>
            </w:r>
          </w:p>
        </w:tc>
      </w:tr>
      <w:tr w:rsidTr="00E915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915E6">
            <w:pPr>
              <w:pStyle w:val="BodyText"/>
              <w:rPr>
                <w:lang w:val="en-NZ"/>
              </w:rPr>
            </w:pPr>
            <w:r w:rsidRPr="00E915E6">
              <w:t>3.4</w:t>
            </w:r>
          </w:p>
        </w:tc>
        <w:tc>
          <w:tcPr>
            <w:tcW w:w="5610" w:type="dxa"/>
            <w:tcBorders>
              <w:top w:val="nil"/>
              <w:left w:val="nil"/>
              <w:bottom w:val="nil"/>
              <w:right w:val="nil"/>
            </w:tcBorders>
            <w:tcMar>
              <w:top w:w="0" w:type="dxa"/>
              <w:left w:w="62" w:type="dxa"/>
              <w:bottom w:w="0" w:type="dxa"/>
              <w:right w:w="62" w:type="dxa"/>
            </w:tcMar>
          </w:tcPr>
          <w:p w:rsidR="00000000" w:rsidP="00E915E6">
            <w:pPr>
              <w:pStyle w:val="BodyText"/>
              <w:rPr>
                <w:lang w:val="en-NZ"/>
              </w:rPr>
            </w:pPr>
            <w:r w:rsidRPr="00E915E6">
              <w:t>Describe impacts of any changes upstream and downstream</w:t>
            </w:r>
          </w:p>
        </w:tc>
      </w:tr>
      <w:tr w:rsidTr="00E915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915E6">
            <w:pPr>
              <w:pStyle w:val="BodyText"/>
              <w:rPr>
                <w:lang w:val="en-NZ"/>
              </w:rPr>
            </w:pPr>
            <w:r w:rsidRPr="00E915E6">
              <w:t>3.5</w:t>
            </w:r>
          </w:p>
        </w:tc>
        <w:tc>
          <w:tcPr>
            <w:tcW w:w="5610" w:type="dxa"/>
            <w:tcBorders>
              <w:top w:val="nil"/>
              <w:left w:val="nil"/>
              <w:bottom w:val="nil"/>
              <w:right w:val="nil"/>
            </w:tcBorders>
            <w:tcMar>
              <w:top w:w="0" w:type="dxa"/>
              <w:left w:w="62" w:type="dxa"/>
              <w:bottom w:w="0" w:type="dxa"/>
              <w:right w:w="62" w:type="dxa"/>
            </w:tcMar>
          </w:tcPr>
          <w:p w:rsidR="00000000" w:rsidP="00E915E6">
            <w:pPr>
              <w:pStyle w:val="BodyText"/>
              <w:rPr>
                <w:lang w:val="en-NZ"/>
              </w:rPr>
            </w:pPr>
            <w:r w:rsidRPr="00E915E6">
              <w:t>Recognise actual and developing situations which may require action</w:t>
            </w:r>
          </w:p>
        </w:tc>
      </w:tr>
      <w:tr w:rsidTr="00E915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915E6">
            <w:pPr>
              <w:pStyle w:val="BodyText"/>
              <w:rPr>
                <w:lang w:val="en-NZ"/>
              </w:rPr>
            </w:pPr>
            <w:r w:rsidRPr="00E915E6">
              <w:t>3.6</w:t>
            </w:r>
          </w:p>
        </w:tc>
        <w:tc>
          <w:tcPr>
            <w:tcW w:w="5610" w:type="dxa"/>
            <w:tcBorders>
              <w:top w:val="nil"/>
              <w:left w:val="nil"/>
              <w:bottom w:val="nil"/>
              <w:right w:val="nil"/>
            </w:tcBorders>
            <w:tcMar>
              <w:top w:w="0" w:type="dxa"/>
              <w:left w:w="62" w:type="dxa"/>
              <w:bottom w:w="0" w:type="dxa"/>
              <w:right w:w="62" w:type="dxa"/>
            </w:tcMar>
          </w:tcPr>
          <w:p w:rsidR="00000000" w:rsidP="00E915E6">
            <w:pPr>
              <w:pStyle w:val="BodyText"/>
              <w:rPr>
                <w:lang w:val="en-NZ"/>
              </w:rPr>
            </w:pPr>
            <w:r w:rsidRPr="00E915E6">
              <w:t>Apply operational knowledge to resolve problems</w:t>
            </w:r>
          </w:p>
        </w:tc>
      </w:tr>
      <w:tr w:rsidTr="00E915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915E6">
            <w:pPr>
              <w:pStyle w:val="BodyText"/>
              <w:rPr>
                <w:lang w:val="en-NZ"/>
              </w:rPr>
            </w:pPr>
            <w:r w:rsidRPr="00E915E6">
              <w:t>3.7</w:t>
            </w:r>
          </w:p>
        </w:tc>
        <w:tc>
          <w:tcPr>
            <w:tcW w:w="5610" w:type="dxa"/>
            <w:tcBorders>
              <w:top w:val="nil"/>
              <w:left w:val="nil"/>
              <w:bottom w:val="nil"/>
              <w:right w:val="nil"/>
            </w:tcBorders>
            <w:tcMar>
              <w:top w:w="0" w:type="dxa"/>
              <w:left w:w="62" w:type="dxa"/>
              <w:bottom w:w="0" w:type="dxa"/>
              <w:right w:w="62" w:type="dxa"/>
            </w:tcMar>
          </w:tcPr>
          <w:p w:rsidR="00000000" w:rsidP="00E915E6">
            <w:pPr>
              <w:pStyle w:val="BodyText"/>
              <w:rPr>
                <w:lang w:val="en-NZ"/>
              </w:rPr>
            </w:pPr>
            <w:r w:rsidRPr="00E915E6">
              <w:t>Take other actions on abnormal situations which cannot be resolved during the shift to ensure safety and the resolution of the situation</w:t>
            </w:r>
          </w:p>
        </w:tc>
      </w:tr>
      <w:tr w:rsidTr="00E915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915E6">
            <w:pPr>
              <w:pStyle w:val="BodyText"/>
              <w:rPr>
                <w:lang w:val="en-NZ"/>
              </w:rPr>
            </w:pPr>
            <w:r w:rsidRPr="00E915E6">
              <w:t>3.8</w:t>
            </w:r>
          </w:p>
        </w:tc>
        <w:tc>
          <w:tcPr>
            <w:tcW w:w="5610" w:type="dxa"/>
            <w:tcBorders>
              <w:top w:val="nil"/>
              <w:left w:val="nil"/>
              <w:bottom w:val="nil"/>
              <w:right w:val="nil"/>
            </w:tcBorders>
            <w:tcMar>
              <w:top w:w="0" w:type="dxa"/>
              <w:left w:w="62" w:type="dxa"/>
              <w:bottom w:w="0" w:type="dxa"/>
              <w:right w:w="62" w:type="dxa"/>
            </w:tcMar>
          </w:tcPr>
          <w:p w:rsidR="00000000" w:rsidP="00E915E6">
            <w:pPr>
              <w:pStyle w:val="BodyText"/>
              <w:rPr>
                <w:lang w:val="en-NZ"/>
              </w:rPr>
            </w:pPr>
            <w:r w:rsidRPr="00E915E6">
              <w:t>Follow through items initiated until final resolution has occurred</w:t>
            </w:r>
          </w:p>
        </w:tc>
      </w:tr>
      <w:tr w:rsidTr="00E915E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915E6">
            <w:pPr>
              <w:pStyle w:val="BodyText"/>
              <w:rPr>
                <w:lang w:val="en-NZ"/>
              </w:rPr>
            </w:pPr>
          </w:p>
        </w:tc>
      </w:tr>
      <w:tr w:rsidTr="00E915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915E6" w:rsidP="00E915E6">
            <w:pPr>
              <w:pStyle w:val="BodyText"/>
            </w:pPr>
            <w:r w:rsidRPr="00E915E6">
              <w:t>4</w:t>
            </w:r>
          </w:p>
        </w:tc>
        <w:tc>
          <w:tcPr>
            <w:tcW w:w="1962" w:type="dxa"/>
            <w:vMerge w:val="restart"/>
            <w:tcBorders>
              <w:top w:val="nil"/>
              <w:left w:val="nil"/>
              <w:bottom w:val="nil"/>
              <w:right w:val="nil"/>
            </w:tcBorders>
            <w:tcMar>
              <w:top w:w="0" w:type="dxa"/>
              <w:left w:w="62" w:type="dxa"/>
              <w:bottom w:w="0" w:type="dxa"/>
              <w:right w:w="62" w:type="dxa"/>
            </w:tcMar>
          </w:tcPr>
          <w:p w:rsidR="00000000" w:rsidP="00E915E6">
            <w:pPr>
              <w:pStyle w:val="BodyText"/>
              <w:rPr>
                <w:lang w:val="en-NZ"/>
              </w:rPr>
            </w:pPr>
            <w:r w:rsidRPr="00E915E6">
              <w:rPr>
                <w:rStyle w:val="SpecialBold"/>
              </w:rPr>
              <w:t>Isolate and de-isolate plant</w:t>
            </w:r>
          </w:p>
        </w:tc>
        <w:tc>
          <w:tcPr>
            <w:tcW w:w="770" w:type="dxa"/>
            <w:tcBorders>
              <w:top w:val="nil"/>
              <w:left w:val="nil"/>
              <w:bottom w:val="nil"/>
              <w:right w:val="nil"/>
            </w:tcBorders>
            <w:tcMar>
              <w:top w:w="0" w:type="dxa"/>
              <w:left w:w="62" w:type="dxa"/>
              <w:bottom w:w="0" w:type="dxa"/>
              <w:right w:w="62" w:type="dxa"/>
            </w:tcMar>
          </w:tcPr>
          <w:p w:rsidR="00000000" w:rsidP="00E915E6">
            <w:pPr>
              <w:pStyle w:val="BodyText"/>
              <w:rPr>
                <w:lang w:val="en-NZ"/>
              </w:rPr>
            </w:pPr>
            <w:r w:rsidRPr="00E915E6">
              <w:t>4.1</w:t>
            </w:r>
          </w:p>
        </w:tc>
        <w:tc>
          <w:tcPr>
            <w:tcW w:w="5610" w:type="dxa"/>
            <w:tcBorders>
              <w:top w:val="nil"/>
              <w:left w:val="nil"/>
              <w:bottom w:val="nil"/>
              <w:right w:val="nil"/>
            </w:tcBorders>
            <w:tcMar>
              <w:top w:w="0" w:type="dxa"/>
              <w:left w:w="62" w:type="dxa"/>
              <w:bottom w:w="0" w:type="dxa"/>
              <w:right w:w="62" w:type="dxa"/>
            </w:tcMar>
          </w:tcPr>
          <w:p w:rsidR="00000000" w:rsidP="00E915E6">
            <w:pPr>
              <w:pStyle w:val="BodyText"/>
              <w:rPr>
                <w:lang w:val="en-NZ"/>
              </w:rPr>
            </w:pPr>
            <w:r w:rsidRPr="00E915E6">
              <w:t>Complete any required pre-start checks, including safety systems</w:t>
            </w:r>
          </w:p>
        </w:tc>
      </w:tr>
      <w:tr w:rsidTr="00E915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915E6">
            <w:pPr>
              <w:pStyle w:val="BodyText"/>
              <w:rPr>
                <w:lang w:val="en-NZ"/>
              </w:rPr>
            </w:pPr>
            <w:r w:rsidRPr="00E915E6">
              <w:t>4.2</w:t>
            </w:r>
          </w:p>
        </w:tc>
        <w:tc>
          <w:tcPr>
            <w:tcW w:w="5610" w:type="dxa"/>
            <w:tcBorders>
              <w:top w:val="nil"/>
              <w:left w:val="nil"/>
              <w:bottom w:val="nil"/>
              <w:right w:val="nil"/>
            </w:tcBorders>
            <w:tcMar>
              <w:top w:w="0" w:type="dxa"/>
              <w:left w:w="62" w:type="dxa"/>
              <w:bottom w:w="0" w:type="dxa"/>
              <w:right w:w="62" w:type="dxa"/>
            </w:tcMar>
          </w:tcPr>
          <w:p w:rsidR="00000000" w:rsidP="00E915E6">
            <w:pPr>
              <w:pStyle w:val="BodyText"/>
              <w:rPr>
                <w:lang w:val="en-NZ"/>
              </w:rPr>
            </w:pPr>
            <w:r w:rsidRPr="00E915E6">
              <w:t>Start up/shut down cryogenic process according to the cryogenic plant type and duty in liaison with other personnel</w:t>
            </w:r>
          </w:p>
        </w:tc>
      </w:tr>
      <w:tr w:rsidTr="00E915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915E6">
            <w:pPr>
              <w:pStyle w:val="BodyText"/>
              <w:rPr>
                <w:lang w:val="en-NZ"/>
              </w:rPr>
            </w:pPr>
            <w:r w:rsidRPr="00E915E6">
              <w:t>4.3</w:t>
            </w:r>
          </w:p>
        </w:tc>
        <w:tc>
          <w:tcPr>
            <w:tcW w:w="5610" w:type="dxa"/>
            <w:tcBorders>
              <w:top w:val="nil"/>
              <w:left w:val="nil"/>
              <w:bottom w:val="nil"/>
              <w:right w:val="nil"/>
            </w:tcBorders>
            <w:tcMar>
              <w:top w:w="0" w:type="dxa"/>
              <w:left w:w="62" w:type="dxa"/>
              <w:bottom w:w="0" w:type="dxa"/>
              <w:right w:w="62" w:type="dxa"/>
            </w:tcMar>
          </w:tcPr>
          <w:p w:rsidR="00000000" w:rsidP="00E915E6">
            <w:pPr>
              <w:pStyle w:val="BodyText"/>
              <w:rPr>
                <w:lang w:val="en-NZ"/>
              </w:rPr>
            </w:pPr>
            <w:r w:rsidRPr="00E915E6">
              <w:t>Monitor the start-up process and take action to ensure operating parameters are achieved</w:t>
            </w:r>
          </w:p>
        </w:tc>
      </w:tr>
      <w:tr w:rsidTr="00E915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915E6">
            <w:pPr>
              <w:pStyle w:val="BodyText"/>
              <w:rPr>
                <w:lang w:val="en-NZ"/>
              </w:rPr>
            </w:pPr>
            <w:r w:rsidRPr="00E915E6">
              <w:t>4.4</w:t>
            </w:r>
          </w:p>
        </w:tc>
        <w:tc>
          <w:tcPr>
            <w:tcW w:w="5610" w:type="dxa"/>
            <w:tcBorders>
              <w:top w:val="nil"/>
              <w:left w:val="nil"/>
              <w:bottom w:val="nil"/>
              <w:right w:val="nil"/>
            </w:tcBorders>
            <w:tcMar>
              <w:top w:w="0" w:type="dxa"/>
              <w:left w:w="62" w:type="dxa"/>
              <w:bottom w:w="0" w:type="dxa"/>
              <w:right w:w="62" w:type="dxa"/>
            </w:tcMar>
          </w:tcPr>
          <w:p w:rsidR="00000000" w:rsidP="00E915E6">
            <w:pPr>
              <w:pStyle w:val="BodyText"/>
              <w:rPr>
                <w:lang w:val="en-NZ"/>
              </w:rPr>
            </w:pPr>
            <w:r w:rsidRPr="00E915E6">
              <w:t>Start up/shut down/changeover compone</w:t>
            </w:r>
            <w:r w:rsidRPr="00E915E6">
              <w:t>nt plant items within unit according to their type and duty in liaison with other personnel</w:t>
            </w:r>
          </w:p>
        </w:tc>
      </w:tr>
      <w:tr w:rsidTr="00E915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915E6">
            <w:pPr>
              <w:pStyle w:val="BodyText"/>
              <w:rPr>
                <w:lang w:val="en-NZ"/>
              </w:rPr>
            </w:pPr>
            <w:r w:rsidRPr="00E915E6">
              <w:t>4.5</w:t>
            </w:r>
          </w:p>
        </w:tc>
        <w:tc>
          <w:tcPr>
            <w:tcW w:w="5610" w:type="dxa"/>
            <w:tcBorders>
              <w:top w:val="nil"/>
              <w:left w:val="nil"/>
              <w:bottom w:val="nil"/>
              <w:right w:val="nil"/>
            </w:tcBorders>
            <w:tcMar>
              <w:top w:w="0" w:type="dxa"/>
              <w:left w:w="62" w:type="dxa"/>
              <w:bottom w:w="0" w:type="dxa"/>
              <w:right w:w="62" w:type="dxa"/>
            </w:tcMar>
          </w:tcPr>
          <w:p w:rsidR="00000000" w:rsidP="00E915E6">
            <w:pPr>
              <w:pStyle w:val="BodyText"/>
              <w:rPr>
                <w:lang w:val="en-NZ"/>
              </w:rPr>
            </w:pPr>
            <w:r w:rsidRPr="00E915E6">
              <w:t>Isolate entire cryogenic process and/or any component plant item</w:t>
            </w:r>
          </w:p>
        </w:tc>
      </w:tr>
      <w:tr w:rsidTr="00E915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915E6">
            <w:pPr>
              <w:pStyle w:val="BodyText"/>
              <w:rPr>
                <w:lang w:val="en-NZ"/>
              </w:rPr>
            </w:pPr>
            <w:r w:rsidRPr="00E915E6">
              <w:t>4.6</w:t>
            </w:r>
          </w:p>
        </w:tc>
        <w:tc>
          <w:tcPr>
            <w:tcW w:w="5610" w:type="dxa"/>
            <w:tcBorders>
              <w:top w:val="nil"/>
              <w:left w:val="nil"/>
              <w:bottom w:val="nil"/>
              <w:right w:val="nil"/>
            </w:tcBorders>
            <w:tcMar>
              <w:top w:w="0" w:type="dxa"/>
              <w:left w:w="62" w:type="dxa"/>
              <w:bottom w:w="0" w:type="dxa"/>
              <w:right w:w="62" w:type="dxa"/>
            </w:tcMar>
          </w:tcPr>
          <w:p w:rsidR="00000000" w:rsidP="00E915E6">
            <w:pPr>
              <w:pStyle w:val="BodyText"/>
              <w:rPr>
                <w:lang w:val="en-NZ"/>
              </w:rPr>
            </w:pPr>
            <w:r w:rsidRPr="00E915E6">
              <w:t>Make safe for required work</w:t>
            </w:r>
          </w:p>
        </w:tc>
      </w:tr>
      <w:tr w:rsidTr="00E915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915E6">
            <w:pPr>
              <w:pStyle w:val="BodyText"/>
              <w:rPr>
                <w:lang w:val="en-NZ"/>
              </w:rPr>
            </w:pPr>
            <w:r w:rsidRPr="00E915E6">
              <w:t>4.7</w:t>
            </w:r>
          </w:p>
        </w:tc>
        <w:tc>
          <w:tcPr>
            <w:tcW w:w="5610" w:type="dxa"/>
            <w:tcBorders>
              <w:top w:val="nil"/>
              <w:left w:val="nil"/>
              <w:bottom w:val="nil"/>
              <w:right w:val="nil"/>
            </w:tcBorders>
            <w:tcMar>
              <w:top w:w="0" w:type="dxa"/>
              <w:left w:w="62" w:type="dxa"/>
              <w:bottom w:w="0" w:type="dxa"/>
              <w:right w:w="62" w:type="dxa"/>
            </w:tcMar>
          </w:tcPr>
          <w:p w:rsidR="00000000" w:rsidP="00E915E6">
            <w:pPr>
              <w:pStyle w:val="BodyText"/>
              <w:rPr>
                <w:lang w:val="en-NZ"/>
              </w:rPr>
            </w:pPr>
            <w:r w:rsidRPr="00E915E6">
              <w:t>Check cryogenic process plant/plant item is ready to be returned to service</w:t>
            </w:r>
          </w:p>
        </w:tc>
      </w:tr>
      <w:tr w:rsidTr="00E915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915E6">
            <w:pPr>
              <w:pStyle w:val="BodyText"/>
              <w:rPr>
                <w:lang w:val="en-NZ"/>
              </w:rPr>
            </w:pPr>
            <w:r w:rsidRPr="00E915E6">
              <w:t>4.8</w:t>
            </w:r>
          </w:p>
        </w:tc>
        <w:tc>
          <w:tcPr>
            <w:tcW w:w="5610" w:type="dxa"/>
            <w:tcBorders>
              <w:top w:val="nil"/>
              <w:left w:val="nil"/>
              <w:bottom w:val="nil"/>
              <w:right w:val="nil"/>
            </w:tcBorders>
            <w:tcMar>
              <w:top w:w="0" w:type="dxa"/>
              <w:left w:w="62" w:type="dxa"/>
              <w:bottom w:w="0" w:type="dxa"/>
              <w:right w:w="62" w:type="dxa"/>
            </w:tcMar>
          </w:tcPr>
          <w:p w:rsidR="00000000" w:rsidRPr="00E915E6" w:rsidP="00E915E6">
            <w:pPr>
              <w:pStyle w:val="BodyText"/>
            </w:pPr>
            <w:r w:rsidRPr="00E915E6">
              <w:t>De-isolate and prepare cryogenic process plant unit/plant item for return to service</w:t>
            </w:r>
          </w:p>
        </w:tc>
      </w:tr>
    </w:tbl>
    <w:p w:rsidR="00000000" w:rsidRPr="00E915E6" w:rsidP="00E915E6">
      <w:pPr>
        <w:pStyle w:val="BodyText"/>
      </w:pPr>
    </w:p>
    <w:p w:rsidR="00000000" w:rsidRPr="00E915E6" w:rsidP="00E915E6">
      <w:pPr>
        <w:pStyle w:val="AllowPageBreak"/>
      </w:pPr>
    </w:p>
    <w:p w:rsidR="00000000" w:rsidRPr="00E915E6" w:rsidP="00E915E6">
      <w:pPr>
        <w:pStyle w:val="Heading1"/>
      </w:pPr>
      <w:bookmarkStart w:id="7" w:name="O_908072"/>
      <w:bookmarkEnd w:id="7"/>
      <w:r w:rsidRPr="00E915E6">
        <w:t>Foundation Skills</w:t>
      </w:r>
    </w:p>
    <w:p w:rsidR="00000000" w:rsidRPr="00E915E6" w:rsidP="00E915E6">
      <w:pPr>
        <w:pStyle w:val="BodyText"/>
      </w:pPr>
      <w:r w:rsidRPr="00E915E6">
        <w:t>This section describes those language, literacy, numeracy and employment skills that are essential to performance.</w:t>
      </w:r>
    </w:p>
    <w:p w:rsidR="00000000" w:rsidRPr="00E915E6" w:rsidP="00E915E6">
      <w:pPr>
        <w:pStyle w:val="BodyText"/>
      </w:pPr>
    </w:p>
    <w:p w:rsidR="00000000" w:rsidRPr="00E915E6" w:rsidP="00E915E6">
      <w:pPr>
        <w:pStyle w:val="BodyText"/>
      </w:pPr>
      <w:r w:rsidRPr="00E915E6">
        <w:t>Foundation skills essential to performance are explicit in the performance criteria of this unit of competency.</w:t>
      </w:r>
    </w:p>
    <w:p w:rsidR="00000000" w:rsidRPr="00E915E6" w:rsidP="00E915E6">
      <w:pPr>
        <w:pStyle w:val="AllowPageBreak"/>
      </w:pPr>
    </w:p>
    <w:p w:rsidR="00000000" w:rsidRPr="00E915E6" w:rsidP="00E915E6">
      <w:pPr>
        <w:pStyle w:val="Heading1"/>
      </w:pPr>
      <w:bookmarkStart w:id="8" w:name="O_908071"/>
      <w:bookmarkEnd w:id="8"/>
      <w:r w:rsidRPr="00E915E6">
        <w:t>Range of Co</w:t>
      </w:r>
      <w:r w:rsidRPr="00E915E6">
        <w:t>nditions</w:t>
      </w:r>
    </w:p>
    <w:tbl>
      <w:tblPr>
        <w:tblW w:w="0" w:type="auto"/>
        <w:tblCellMar>
          <w:left w:w="62" w:type="dxa"/>
          <w:right w:w="62" w:type="dxa"/>
        </w:tblCellMar>
        <w:tblLook w:val="0000"/>
      </w:tblPr>
      <w:tblGrid>
        <w:gridCol w:w="2182"/>
        <w:gridCol w:w="7014"/>
      </w:tblGrid>
      <w:tr w:rsidTr="00CC56FF">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E915E6">
            <w:pPr>
              <w:pStyle w:val="BodyText"/>
              <w:rPr>
                <w:lang w:val="en-NZ"/>
              </w:rPr>
            </w:pPr>
            <w:r w:rsidRPr="00E915E6">
              <w:t>This field allows for different work environments and conditions that may affect performance. Essential operating conditions that may be present (depending on the work situation, needs of the candidate, accessibility of the item, and local industr</w:t>
            </w:r>
            <w:r w:rsidRPr="00E915E6">
              <w:t>y and regional contexts) are included.</w:t>
            </w:r>
          </w:p>
        </w:tc>
      </w:tr>
      <w:tr w:rsidTr="00CC56F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915E6" w:rsidP="00E915E6">
            <w:pPr>
              <w:pStyle w:val="BodyText"/>
            </w:pPr>
            <w:r w:rsidRPr="00E915E6">
              <w:rPr>
                <w:rStyle w:val="SpecialBold"/>
              </w:rPr>
              <w:t xml:space="preserve">Regulatory framework </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E915E6" w:rsidP="00E915E6">
            <w:pPr>
              <w:pStyle w:val="BodyText"/>
            </w:pPr>
            <w:r w:rsidRPr="00E915E6">
              <w:t>The latest version of all legislation, regulations, industry codes of practice and Australian/international standards, or the version specified by the local regulatory authority, must be used,</w:t>
            </w:r>
            <w:r w:rsidRPr="00E915E6">
              <w:t xml:space="preserve"> and include one or more of the following:</w:t>
            </w:r>
          </w:p>
          <w:p w:rsidR="00000000" w:rsidRPr="00E915E6" w:rsidP="00E915E6">
            <w:pPr>
              <w:pStyle w:val="ListBullet"/>
            </w:pPr>
            <w:r w:rsidRPr="00E915E6">
              <w:t>legislative requirements, including work health and safety (WHS)</w:t>
            </w:r>
          </w:p>
          <w:p w:rsidR="00000000" w:rsidRPr="00E915E6" w:rsidP="00E915E6">
            <w:pPr>
              <w:pStyle w:val="ListBullet"/>
            </w:pPr>
            <w:r w:rsidRPr="00E915E6">
              <w:t>industry codes of practice and guidelines</w:t>
            </w:r>
          </w:p>
          <w:p w:rsidR="00000000" w:rsidRPr="00E915E6" w:rsidP="00E915E6">
            <w:pPr>
              <w:pStyle w:val="ListBullet"/>
            </w:pPr>
            <w:r w:rsidRPr="00E915E6">
              <w:t xml:space="preserve">environmental regulations and guidelines </w:t>
            </w:r>
          </w:p>
          <w:p w:rsidR="00000000" w:rsidRPr="00E915E6" w:rsidP="00E915E6">
            <w:pPr>
              <w:pStyle w:val="ListBullet"/>
            </w:pPr>
            <w:r w:rsidRPr="00E915E6">
              <w:t>Australian and other standards</w:t>
            </w:r>
          </w:p>
          <w:p w:rsidR="00000000" w:rsidRPr="00E915E6" w:rsidP="00E915E6">
            <w:pPr>
              <w:pStyle w:val="ListBullet"/>
            </w:pPr>
            <w:r w:rsidRPr="00E915E6">
              <w:t xml:space="preserve">licence and certification requirements </w:t>
            </w:r>
          </w:p>
          <w:p w:rsidR="00000000" w:rsidRPr="00E915E6" w:rsidP="00E915E6">
            <w:pPr>
              <w:pStyle w:val="BodyText"/>
            </w:pPr>
          </w:p>
          <w:p w:rsidR="00000000" w:rsidRPr="00E915E6" w:rsidP="00E915E6">
            <w:pPr>
              <w:pStyle w:val="BodyText"/>
            </w:pPr>
            <w:r w:rsidRPr="00E915E6">
              <w:t>All operations to which this unit applies are subject to stringent health, safety and environment (HSE) requirements, which may be imposed through state/territory or federal legislation, and these must not be compro</w:t>
            </w:r>
            <w:r w:rsidRPr="00E915E6">
              <w:t>mised at any time. Where there is an apparent conflict between performance criteria and HSE requirements, the HSE requirements take precedence.</w:t>
            </w:r>
          </w:p>
          <w:p w:rsidR="00000000" w:rsidP="00E915E6">
            <w:pPr>
              <w:pStyle w:val="BodyText"/>
              <w:rPr>
                <w:lang w:val="en-NZ"/>
              </w:rPr>
            </w:pPr>
          </w:p>
        </w:tc>
      </w:tr>
      <w:tr w:rsidTr="00CC56F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915E6">
            <w:pPr>
              <w:pStyle w:val="BodyText"/>
              <w:rPr>
                <w:lang w:val="en-NZ"/>
              </w:rPr>
            </w:pPr>
            <w:r w:rsidRPr="00E915E6">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E915E6" w:rsidP="00E915E6">
            <w:pPr>
              <w:pStyle w:val="BodyText"/>
            </w:pPr>
            <w:r w:rsidRPr="00E915E6">
              <w:t>Hazards include one or more of the following:</w:t>
            </w:r>
          </w:p>
          <w:p w:rsidR="00000000" w:rsidRPr="00E915E6" w:rsidP="00E915E6">
            <w:pPr>
              <w:pStyle w:val="ListBullet"/>
            </w:pPr>
            <w:r w:rsidRPr="00E915E6">
              <w:t>extreme cold</w:t>
            </w:r>
          </w:p>
          <w:p w:rsidR="00000000" w:rsidRPr="00E915E6" w:rsidP="00E915E6">
            <w:pPr>
              <w:pStyle w:val="ListBullet"/>
            </w:pPr>
            <w:r w:rsidRPr="00E915E6">
              <w:t>brittle fracture</w:t>
            </w:r>
          </w:p>
          <w:p w:rsidR="00000000" w:rsidRPr="00E915E6" w:rsidP="00E915E6">
            <w:pPr>
              <w:pStyle w:val="ListBullet"/>
            </w:pPr>
            <w:r w:rsidRPr="00E915E6">
              <w:t>electricity</w:t>
            </w:r>
          </w:p>
          <w:p w:rsidR="00000000" w:rsidRPr="00E915E6" w:rsidP="00E915E6">
            <w:pPr>
              <w:pStyle w:val="ListBullet"/>
            </w:pPr>
            <w:r w:rsidRPr="00E915E6">
              <w:t>gases and liq</w:t>
            </w:r>
            <w:r w:rsidRPr="00E915E6">
              <w:t xml:space="preserve">uids under pressure </w:t>
            </w:r>
          </w:p>
          <w:p w:rsidR="00000000" w:rsidRPr="00E915E6" w:rsidP="00E915E6">
            <w:pPr>
              <w:pStyle w:val="ListBullet"/>
            </w:pPr>
            <w:r w:rsidRPr="00E915E6">
              <w:t>structural hazards</w:t>
            </w:r>
          </w:p>
          <w:p w:rsidR="00000000" w:rsidRPr="00E915E6" w:rsidP="00E915E6">
            <w:pPr>
              <w:pStyle w:val="ListBullet"/>
            </w:pPr>
            <w:r w:rsidRPr="00E915E6">
              <w:t>structural collapse</w:t>
            </w:r>
          </w:p>
          <w:p w:rsidR="00000000" w:rsidRPr="00E915E6" w:rsidP="00E915E6">
            <w:pPr>
              <w:pStyle w:val="ListBullet"/>
            </w:pPr>
            <w:r w:rsidRPr="00E915E6">
              <w:t>equipment failures</w:t>
            </w:r>
          </w:p>
          <w:p w:rsidR="00000000" w:rsidRPr="00E915E6" w:rsidP="00E915E6">
            <w:pPr>
              <w:pStyle w:val="ListBullet"/>
            </w:pPr>
            <w:r w:rsidRPr="00E915E6">
              <w:t>industrial (machinery, equipment and product)</w:t>
            </w:r>
          </w:p>
          <w:p w:rsidR="00000000" w:rsidRPr="00E915E6" w:rsidP="00E915E6">
            <w:pPr>
              <w:pStyle w:val="ListBullet"/>
            </w:pPr>
            <w:r w:rsidRPr="00E915E6">
              <w:t>equipment or product mass</w:t>
            </w:r>
          </w:p>
          <w:p w:rsidR="00000000" w:rsidRPr="00E915E6" w:rsidP="00E915E6">
            <w:pPr>
              <w:pStyle w:val="ListBullet"/>
            </w:pPr>
            <w:r w:rsidRPr="00E915E6">
              <w:t>noise, rotational equipment or vibration</w:t>
            </w:r>
          </w:p>
          <w:p w:rsidR="00000000" w:rsidRPr="00E915E6" w:rsidP="00E915E6">
            <w:pPr>
              <w:pStyle w:val="ListBullet"/>
            </w:pPr>
            <w:r w:rsidRPr="00E915E6">
              <w:t>plant services (steam, condensate and cooling water)</w:t>
            </w:r>
          </w:p>
          <w:p w:rsidR="00000000" w:rsidRPr="00E915E6" w:rsidP="00E915E6">
            <w:pPr>
              <w:pStyle w:val="ListBullet"/>
            </w:pPr>
            <w:r w:rsidRPr="00E915E6">
              <w:t>working at heights, in restricted or confined spaces, or in environments subjected to heat, dusts or vapours</w:t>
            </w:r>
          </w:p>
          <w:p w:rsidR="00000000" w:rsidRPr="00E915E6" w:rsidP="00E915E6">
            <w:pPr>
              <w:pStyle w:val="ListBullet"/>
            </w:pPr>
            <w:r w:rsidRPr="00E915E6">
              <w:t>flammability and explosivity</w:t>
            </w:r>
          </w:p>
          <w:p w:rsidR="00000000" w:rsidRPr="00E915E6" w:rsidP="00E915E6">
            <w:pPr>
              <w:pStyle w:val="ListBullet"/>
            </w:pPr>
            <w:r w:rsidRPr="00E915E6">
              <w:t>hazardous products and materials</w:t>
            </w:r>
          </w:p>
          <w:p w:rsidR="00000000" w:rsidRPr="00E915E6" w:rsidP="00E915E6">
            <w:pPr>
              <w:pStyle w:val="ListBullet"/>
            </w:pPr>
            <w:r w:rsidRPr="00E915E6">
              <w:t>unauthorised personnel</w:t>
            </w:r>
          </w:p>
          <w:p w:rsidR="00000000" w:rsidRPr="00E915E6" w:rsidP="00E915E6">
            <w:pPr>
              <w:pStyle w:val="ListBullet"/>
            </w:pPr>
            <w:r w:rsidRPr="00E915E6">
              <w:t>sharp edges, protrusions or obstructions</w:t>
            </w:r>
          </w:p>
          <w:p w:rsidR="00000000" w:rsidRPr="00E915E6" w:rsidP="00E915E6">
            <w:pPr>
              <w:pStyle w:val="ListBullet"/>
            </w:pPr>
            <w:r w:rsidRPr="00E915E6">
              <w:t>slippery surfaces, sp</w:t>
            </w:r>
            <w:r w:rsidRPr="00E915E6">
              <w:t>ills or leaks</w:t>
            </w:r>
          </w:p>
          <w:p w:rsidR="00000000" w:rsidRPr="00E915E6" w:rsidP="00E915E6">
            <w:pPr>
              <w:pStyle w:val="ListBullet"/>
            </w:pPr>
            <w:r w:rsidRPr="00E915E6">
              <w:t>extreme weather</w:t>
            </w:r>
          </w:p>
          <w:p w:rsidR="00000000" w:rsidRPr="00E915E6" w:rsidP="00E915E6">
            <w:pPr>
              <w:pStyle w:val="ListBullet"/>
            </w:pPr>
            <w:r w:rsidRPr="00E915E6">
              <w:t>other hazards that might arise</w:t>
            </w:r>
          </w:p>
          <w:p w:rsidR="00000000" w:rsidP="00E915E6">
            <w:pPr>
              <w:pStyle w:val="BodyText"/>
              <w:rPr>
                <w:lang w:val="en-NZ"/>
              </w:rPr>
            </w:pPr>
          </w:p>
        </w:tc>
      </w:tr>
      <w:tr w:rsidTr="00CC56F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915E6">
            <w:pPr>
              <w:pStyle w:val="BodyText"/>
              <w:rPr>
                <w:lang w:val="en-NZ"/>
              </w:rPr>
            </w:pPr>
            <w:r w:rsidRPr="00E915E6">
              <w:rPr>
                <w:rStyle w:val="SpecialBold"/>
              </w:rPr>
              <w:t>Routine problems</w:t>
            </w:r>
          </w:p>
        </w:tc>
        <w:tc>
          <w:tcPr>
            <w:tcW w:w="0" w:type="auto"/>
            <w:tcBorders>
              <w:top w:val="nil"/>
              <w:left w:val="nil"/>
              <w:bottom w:val="nil"/>
              <w:right w:val="nil"/>
            </w:tcBorders>
            <w:tcMar>
              <w:top w:w="0" w:type="dxa"/>
              <w:left w:w="62" w:type="dxa"/>
              <w:bottom w:w="0" w:type="dxa"/>
              <w:right w:w="62" w:type="dxa"/>
            </w:tcMar>
          </w:tcPr>
          <w:p w:rsidR="00000000" w:rsidRPr="00E915E6" w:rsidP="00E915E6">
            <w:pPr>
              <w:pStyle w:val="BodyText"/>
            </w:pPr>
            <w:r w:rsidRPr="00E915E6">
              <w:t>Routine problems are predictable and have known solutions and include one or more of the following:</w:t>
            </w:r>
          </w:p>
          <w:p w:rsidR="00000000" w:rsidRPr="00E915E6" w:rsidP="00E915E6">
            <w:pPr>
              <w:pStyle w:val="ListBullet"/>
            </w:pPr>
            <w:r w:rsidRPr="00E915E6">
              <w:t>operating temperatures not maintained</w:t>
            </w:r>
          </w:p>
          <w:p w:rsidR="00000000" w:rsidRPr="00E915E6" w:rsidP="00E915E6">
            <w:pPr>
              <w:pStyle w:val="ListBullet"/>
            </w:pPr>
            <w:r w:rsidRPr="00E915E6">
              <w:t>unstable/sub-optimal operation (e.g. icing, moisture and fouling)</w:t>
            </w:r>
          </w:p>
          <w:p w:rsidR="00000000" w:rsidRPr="00E915E6" w:rsidP="00E915E6">
            <w:pPr>
              <w:pStyle w:val="ListBullet"/>
            </w:pPr>
            <w:r w:rsidRPr="00E915E6">
              <w:t>critical variables and outputs out of range</w:t>
            </w:r>
          </w:p>
          <w:p w:rsidR="00000000" w:rsidP="00E915E6">
            <w:pPr>
              <w:pStyle w:val="BodyText"/>
              <w:rPr>
                <w:lang w:val="en-NZ"/>
              </w:rPr>
            </w:pPr>
          </w:p>
        </w:tc>
      </w:tr>
      <w:tr w:rsidTr="00CC56F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915E6">
            <w:pPr>
              <w:pStyle w:val="BodyText"/>
              <w:rPr>
                <w:lang w:val="en-NZ"/>
              </w:rPr>
            </w:pPr>
            <w:r w:rsidRPr="00E915E6">
              <w:rPr>
                <w:rStyle w:val="SpecialBold"/>
              </w:rPr>
              <w:t>Non-routine problems</w:t>
            </w:r>
          </w:p>
        </w:tc>
        <w:tc>
          <w:tcPr>
            <w:tcW w:w="0" w:type="auto"/>
            <w:tcBorders>
              <w:top w:val="nil"/>
              <w:left w:val="nil"/>
              <w:bottom w:val="nil"/>
              <w:right w:val="nil"/>
            </w:tcBorders>
            <w:tcMar>
              <w:top w:w="0" w:type="dxa"/>
              <w:left w:w="62" w:type="dxa"/>
              <w:bottom w:w="0" w:type="dxa"/>
              <w:right w:w="62" w:type="dxa"/>
            </w:tcMar>
          </w:tcPr>
          <w:p w:rsidR="00000000" w:rsidRPr="00E915E6" w:rsidP="00E915E6">
            <w:pPr>
              <w:pStyle w:val="BodyText"/>
            </w:pPr>
            <w:r w:rsidRPr="00E915E6">
              <w:t>Non-routine problems are unexpected problems, or variations of previous problems and must be resolved by applying operation</w:t>
            </w:r>
            <w:r w:rsidRPr="00E915E6">
              <w:t>al knowledge to develop new solutions, either individually or in collaboration with relevant experts, to:</w:t>
            </w:r>
          </w:p>
          <w:p w:rsidR="00000000" w:rsidRPr="00E915E6" w:rsidP="00E915E6">
            <w:pPr>
              <w:pStyle w:val="ListBullet"/>
            </w:pPr>
            <w:r w:rsidRPr="00E915E6">
              <w:t>determine problems needing action</w:t>
            </w:r>
          </w:p>
          <w:p w:rsidR="00000000" w:rsidRPr="00E915E6" w:rsidP="00E915E6">
            <w:pPr>
              <w:pStyle w:val="ListBullet"/>
            </w:pPr>
            <w:r w:rsidRPr="00E915E6">
              <w:t>determine possible fault causes</w:t>
            </w:r>
          </w:p>
          <w:p w:rsidR="00000000" w:rsidRPr="00E915E6" w:rsidP="00E915E6">
            <w:pPr>
              <w:pStyle w:val="ListBullet"/>
            </w:pPr>
            <w:r w:rsidRPr="00E915E6">
              <w:t>develop solutions to problems which do not have a known solution</w:t>
            </w:r>
          </w:p>
          <w:p w:rsidR="00000000" w:rsidRPr="00E915E6" w:rsidP="00E915E6">
            <w:pPr>
              <w:pStyle w:val="ListBullet"/>
            </w:pPr>
            <w:r w:rsidRPr="00E915E6">
              <w:t>follow through ite</w:t>
            </w:r>
            <w:r w:rsidRPr="00E915E6">
              <w:t>ms initiated until final resolution has occurred</w:t>
            </w:r>
          </w:p>
          <w:p w:rsidR="00000000" w:rsidRPr="00E915E6" w:rsidP="00E915E6">
            <w:pPr>
              <w:pStyle w:val="ListBullet"/>
            </w:pPr>
            <w:r w:rsidRPr="00E915E6">
              <w:t>report problems outside area of responsibility to designated person</w:t>
            </w:r>
          </w:p>
          <w:p w:rsidR="00000000" w:rsidRPr="00E915E6" w:rsidP="00E915E6">
            <w:pPr>
              <w:pStyle w:val="BodyText"/>
            </w:pPr>
          </w:p>
          <w:p w:rsidR="00000000" w:rsidRPr="00E915E6" w:rsidP="00E915E6">
            <w:pPr>
              <w:pStyle w:val="BodyText"/>
            </w:pPr>
            <w:r w:rsidRPr="00E915E6">
              <w:t>Operational knowledge includes one or more of the following:</w:t>
            </w:r>
          </w:p>
          <w:p w:rsidR="00000000" w:rsidRPr="00E915E6" w:rsidP="00E915E6">
            <w:pPr>
              <w:pStyle w:val="ListBullet"/>
            </w:pPr>
            <w:r w:rsidRPr="00E915E6">
              <w:t>procedures</w:t>
            </w:r>
          </w:p>
          <w:p w:rsidR="00000000" w:rsidRPr="00E915E6" w:rsidP="00E915E6">
            <w:pPr>
              <w:pStyle w:val="ListBullet"/>
            </w:pPr>
            <w:r w:rsidRPr="00E915E6">
              <w:t>training</w:t>
            </w:r>
          </w:p>
          <w:p w:rsidR="00000000" w:rsidRPr="00E915E6" w:rsidP="00E915E6">
            <w:pPr>
              <w:pStyle w:val="ListBullet"/>
            </w:pPr>
            <w:r w:rsidRPr="00E915E6">
              <w:t>technical information, such as journals and engineering specifications</w:t>
            </w:r>
          </w:p>
          <w:p w:rsidR="00000000" w:rsidRPr="00E915E6" w:rsidP="00E915E6">
            <w:pPr>
              <w:pStyle w:val="ListBullet"/>
            </w:pPr>
            <w:r w:rsidRPr="00E915E6">
              <w:t>remembered experience</w:t>
            </w:r>
          </w:p>
          <w:p w:rsidR="00000000" w:rsidRPr="00E915E6" w:rsidP="00E915E6">
            <w:pPr>
              <w:pStyle w:val="ListBullet"/>
            </w:pPr>
            <w:r w:rsidRPr="00E915E6">
              <w:t>relevant knowledge obtained from appropriate people</w:t>
            </w:r>
          </w:p>
          <w:p w:rsidR="00000000" w:rsidP="00E915E6">
            <w:pPr>
              <w:pStyle w:val="BodyText"/>
              <w:rPr>
                <w:lang w:val="en-NZ"/>
              </w:rPr>
            </w:pPr>
          </w:p>
        </w:tc>
      </w:tr>
      <w:tr w:rsidTr="00CC56F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915E6">
            <w:pPr>
              <w:pStyle w:val="BodyText"/>
              <w:rPr>
                <w:lang w:val="en-NZ"/>
              </w:rPr>
            </w:pPr>
            <w:r w:rsidRPr="00E915E6">
              <w:rPr>
                <w:rStyle w:val="SpecialBold"/>
              </w:rPr>
              <w:t xml:space="preserve">Start up/shut down </w:t>
            </w:r>
          </w:p>
        </w:tc>
        <w:tc>
          <w:tcPr>
            <w:tcW w:w="0" w:type="auto"/>
            <w:tcBorders>
              <w:top w:val="nil"/>
              <w:left w:val="nil"/>
              <w:bottom w:val="nil"/>
              <w:right w:val="nil"/>
            </w:tcBorders>
            <w:tcMar>
              <w:top w:w="0" w:type="dxa"/>
              <w:left w:w="62" w:type="dxa"/>
              <w:bottom w:w="0" w:type="dxa"/>
              <w:right w:w="62" w:type="dxa"/>
            </w:tcMar>
          </w:tcPr>
          <w:p w:rsidR="00000000" w:rsidRPr="00E915E6" w:rsidP="00E915E6">
            <w:pPr>
              <w:pStyle w:val="BodyText"/>
            </w:pPr>
            <w:r w:rsidRPr="00E915E6">
              <w:t>Start up/shut down includes the following:</w:t>
            </w:r>
          </w:p>
          <w:p w:rsidR="00000000" w:rsidRPr="00E915E6" w:rsidP="00E915E6">
            <w:pPr>
              <w:pStyle w:val="ListBullet"/>
            </w:pPr>
            <w:r w:rsidRPr="00E915E6">
              <w:t>start up and shut down to/from normal operati</w:t>
            </w:r>
            <w:r w:rsidRPr="00E915E6">
              <w:t>ng conditions</w:t>
            </w:r>
          </w:p>
          <w:p w:rsidR="00000000" w:rsidRPr="00E915E6" w:rsidP="00E915E6">
            <w:pPr>
              <w:pStyle w:val="ListBullet"/>
            </w:pPr>
            <w:r w:rsidRPr="00E915E6">
              <w:t>start up and shut down to/from isolated, cold or empty</w:t>
            </w:r>
          </w:p>
          <w:p w:rsidR="00000000" w:rsidRPr="00E915E6" w:rsidP="00E915E6">
            <w:pPr>
              <w:pStyle w:val="ListBullet"/>
            </w:pPr>
            <w:r w:rsidRPr="00E915E6">
              <w:t>start up and shut down to/from other conditions/situations experienced on the plant</w:t>
            </w:r>
          </w:p>
          <w:p w:rsidR="00000000" w:rsidP="00E915E6">
            <w:pPr>
              <w:pStyle w:val="BodyText"/>
              <w:rPr>
                <w:lang w:val="en-NZ"/>
              </w:rPr>
            </w:pPr>
          </w:p>
        </w:tc>
      </w:tr>
      <w:tr w:rsidTr="00CC56F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915E6">
            <w:pPr>
              <w:pStyle w:val="BodyText"/>
              <w:rPr>
                <w:lang w:val="en-NZ"/>
              </w:rPr>
            </w:pPr>
            <w:r w:rsidRPr="00E915E6">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E915E6" w:rsidP="00E915E6">
            <w:pPr>
              <w:pStyle w:val="BodyText"/>
            </w:pPr>
            <w:r w:rsidRPr="00E915E6">
              <w:t>All operations must be performed in accordance with relevant procedures.</w:t>
            </w:r>
          </w:p>
          <w:p w:rsidR="00000000" w:rsidRPr="00E915E6" w:rsidP="00E915E6">
            <w:pPr>
              <w:pStyle w:val="BodyText"/>
            </w:pPr>
          </w:p>
          <w:p w:rsidR="00000000" w:rsidRPr="00E915E6" w:rsidP="00E915E6">
            <w:pPr>
              <w:pStyle w:val="BodyText"/>
            </w:pPr>
            <w:r w:rsidRPr="00E915E6">
              <w:t>Procedures are written, verbal, visual, computer-based or in some other form, include one or more of the following:</w:t>
            </w:r>
          </w:p>
          <w:p w:rsidR="00000000" w:rsidRPr="00E915E6" w:rsidP="00E915E6">
            <w:pPr>
              <w:pStyle w:val="ListBullet"/>
            </w:pPr>
            <w:r w:rsidRPr="00E915E6">
              <w:t>emergency procedures</w:t>
            </w:r>
          </w:p>
          <w:p w:rsidR="00000000" w:rsidRPr="00E915E6" w:rsidP="00E915E6">
            <w:pPr>
              <w:pStyle w:val="ListBullet"/>
            </w:pPr>
            <w:r w:rsidRPr="00E915E6">
              <w:t>work instructions</w:t>
            </w:r>
          </w:p>
          <w:p w:rsidR="00000000" w:rsidRPr="00E915E6" w:rsidP="00E915E6">
            <w:pPr>
              <w:pStyle w:val="ListBullet"/>
            </w:pPr>
            <w:r w:rsidRPr="00E915E6">
              <w:t>standard operating procedures (SOPs)</w:t>
            </w:r>
          </w:p>
          <w:p w:rsidR="00000000" w:rsidRPr="00E915E6" w:rsidP="00E915E6">
            <w:pPr>
              <w:pStyle w:val="ListBullet"/>
            </w:pPr>
            <w:r w:rsidRPr="00E915E6">
              <w:t>safe work method statements (SWMS)</w:t>
            </w:r>
          </w:p>
          <w:p w:rsidR="00000000" w:rsidRPr="00E915E6" w:rsidP="00E915E6">
            <w:pPr>
              <w:pStyle w:val="ListBullet"/>
            </w:pPr>
            <w:r w:rsidRPr="00E915E6">
              <w:t>formulas/recipes</w:t>
            </w:r>
          </w:p>
          <w:p w:rsidR="00000000" w:rsidRPr="00E915E6" w:rsidP="00E915E6">
            <w:pPr>
              <w:pStyle w:val="ListBullet"/>
            </w:pPr>
            <w:r w:rsidRPr="00E915E6">
              <w:t>batch sheet</w:t>
            </w:r>
            <w:r w:rsidRPr="00E915E6">
              <w:t>s</w:t>
            </w:r>
          </w:p>
          <w:p w:rsidR="00000000" w:rsidRPr="00E915E6" w:rsidP="00E915E6">
            <w:pPr>
              <w:pStyle w:val="ListBullet"/>
            </w:pPr>
            <w:r w:rsidRPr="00E915E6">
              <w:t>temporary instructions</w:t>
            </w:r>
          </w:p>
          <w:p w:rsidR="00000000" w:rsidRPr="00E915E6" w:rsidP="00E915E6">
            <w:pPr>
              <w:pStyle w:val="ListBullet"/>
            </w:pPr>
            <w:r w:rsidRPr="00E915E6">
              <w:t xml:space="preserve">any similar instructions provided for the smooth running of the plant </w:t>
            </w:r>
          </w:p>
          <w:p w:rsidR="00000000" w:rsidP="00E915E6">
            <w:pPr>
              <w:pStyle w:val="BodyText"/>
              <w:rPr>
                <w:lang w:val="en-NZ"/>
              </w:rPr>
            </w:pPr>
          </w:p>
        </w:tc>
      </w:tr>
      <w:tr w:rsidTr="00CC56F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915E6">
            <w:pPr>
              <w:pStyle w:val="BodyText"/>
              <w:rPr>
                <w:lang w:val="en-NZ"/>
              </w:rPr>
            </w:pPr>
            <w:r w:rsidRPr="00E915E6">
              <w:rPr>
                <w:rStyle w:val="SpecialBold"/>
              </w:rPr>
              <w:t>Operate</w:t>
            </w:r>
          </w:p>
        </w:tc>
        <w:tc>
          <w:tcPr>
            <w:tcW w:w="0" w:type="auto"/>
            <w:tcBorders>
              <w:top w:val="nil"/>
              <w:left w:val="nil"/>
              <w:bottom w:val="nil"/>
              <w:right w:val="nil"/>
            </w:tcBorders>
            <w:tcMar>
              <w:top w:w="0" w:type="dxa"/>
              <w:left w:w="62" w:type="dxa"/>
              <w:bottom w:w="0" w:type="dxa"/>
              <w:right w:w="62" w:type="dxa"/>
            </w:tcMar>
          </w:tcPr>
          <w:p w:rsidR="00000000" w:rsidRPr="00E915E6" w:rsidP="00E915E6">
            <w:pPr>
              <w:pStyle w:val="BodyText"/>
            </w:pPr>
            <w:r w:rsidRPr="00E915E6">
              <w:t>Operate is to monitor, adjust/make change to the production unit and/or its component items to meet specifications, by one or both of the following:</w:t>
            </w:r>
          </w:p>
          <w:p w:rsidR="00000000" w:rsidRPr="00E915E6" w:rsidP="00E915E6">
            <w:pPr>
              <w:pStyle w:val="ListBullet"/>
            </w:pPr>
            <w:r w:rsidRPr="00E915E6">
              <w:t xml:space="preserve">manually in the plant </w:t>
            </w:r>
          </w:p>
          <w:p w:rsidR="00000000" w:rsidRPr="00E915E6" w:rsidP="00E915E6">
            <w:pPr>
              <w:pStyle w:val="ListBullet"/>
            </w:pPr>
            <w:r w:rsidRPr="00E915E6">
              <w:t>using local controller in the plant</w:t>
            </w:r>
          </w:p>
          <w:p w:rsidR="00000000" w:rsidP="00E915E6">
            <w:pPr>
              <w:pStyle w:val="BodyText"/>
              <w:rPr>
                <w:lang w:val="en-NZ"/>
              </w:rPr>
            </w:pPr>
          </w:p>
        </w:tc>
      </w:tr>
      <w:tr w:rsidTr="00CC56F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915E6">
            <w:pPr>
              <w:pStyle w:val="BodyText"/>
              <w:rPr>
                <w:lang w:val="en-NZ"/>
              </w:rPr>
            </w:pPr>
            <w:r w:rsidRPr="00E915E6">
              <w:rPr>
                <w:rStyle w:val="SpecialBold"/>
              </w:rPr>
              <w:t>Product</w:t>
            </w:r>
          </w:p>
        </w:tc>
        <w:tc>
          <w:tcPr>
            <w:tcW w:w="0" w:type="auto"/>
            <w:tcBorders>
              <w:top w:val="nil"/>
              <w:left w:val="nil"/>
              <w:bottom w:val="nil"/>
              <w:right w:val="nil"/>
            </w:tcBorders>
            <w:tcMar>
              <w:top w:w="0" w:type="dxa"/>
              <w:left w:w="62" w:type="dxa"/>
              <w:bottom w:w="0" w:type="dxa"/>
              <w:right w:w="62" w:type="dxa"/>
            </w:tcMar>
          </w:tcPr>
          <w:p w:rsidR="00000000" w:rsidRPr="00E915E6" w:rsidP="00E915E6">
            <w:pPr>
              <w:pStyle w:val="BodyText"/>
            </w:pPr>
            <w:r w:rsidRPr="00E915E6">
              <w:t>Product includes anything produced by a process step and so includes:</w:t>
            </w:r>
          </w:p>
          <w:p w:rsidR="00000000" w:rsidRPr="00E915E6" w:rsidP="00E915E6">
            <w:pPr>
              <w:pStyle w:val="ListBullet"/>
            </w:pPr>
            <w:r w:rsidRPr="00E915E6">
              <w:t>intermediate products, such as the product from one process step, which then becomes the feed for another</w:t>
            </w:r>
          </w:p>
        </w:tc>
      </w:tr>
    </w:tbl>
    <w:p w:rsidR="00000000" w:rsidRPr="00E915E6" w:rsidP="00E915E6">
      <w:pPr>
        <w:pStyle w:val="BodyText"/>
      </w:pPr>
    </w:p>
    <w:p w:rsidR="00000000" w:rsidRPr="00E915E6" w:rsidP="00E915E6">
      <w:pPr>
        <w:pStyle w:val="AllowPageBreak"/>
      </w:pPr>
    </w:p>
    <w:p w:rsidR="00000000" w:rsidRPr="00E915E6" w:rsidP="00E915E6">
      <w:pPr>
        <w:pStyle w:val="Heading1"/>
      </w:pPr>
      <w:bookmarkStart w:id="9" w:name="O_908070"/>
      <w:bookmarkEnd w:id="9"/>
      <w:r w:rsidRPr="00E915E6">
        <w:t>Unit Mapping Information</w:t>
      </w:r>
    </w:p>
    <w:p w:rsidR="00000000" w:rsidRPr="00E915E6" w:rsidP="00E915E6">
      <w:pPr>
        <w:pStyle w:val="BodyText"/>
      </w:pPr>
      <w:r w:rsidRPr="00E915E6">
        <w:t>Release 1. Supersedes and is equivalent to PMAOPS340B Operate cryogenic processes</w:t>
      </w:r>
    </w:p>
    <w:p w:rsidR="00000000" w:rsidRPr="00E915E6" w:rsidP="00E915E6">
      <w:pPr>
        <w:pStyle w:val="AllowPageBreak"/>
      </w:pPr>
    </w:p>
    <w:p w:rsidR="00000000" w:rsidRPr="00E915E6" w:rsidP="00E915E6">
      <w:pPr>
        <w:pStyle w:val="Heading1"/>
      </w:pPr>
      <w:bookmarkStart w:id="10" w:name="O_908063"/>
      <w:bookmarkEnd w:id="10"/>
      <w:r w:rsidRPr="00E915E6">
        <w:t>Links</w:t>
      </w:r>
    </w:p>
    <w:p w:rsidR="00000000" w:rsidRPr="00E915E6" w:rsidP="00E915E6">
      <w:pPr>
        <w:pStyle w:val="BodyText"/>
      </w:pPr>
      <w:r w:rsidRPr="00E915E6">
        <w:t>MSA Training Package Implementation Guides - http://mskills.org.au/training-packages/info/</w:t>
      </w:r>
    </w:p>
    <w:p w:rsidR="00000000" w:rsidRPr="00E915E6" w:rsidP="00E915E6"/>
    <w:sectPr w:rsidSect="00E915E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5E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5E6" w:rsidRPr="00CC56FF" w:rsidP="00CC56F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5E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56FF" w:rsidP="00E915E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CC56FF" w:rsidP="00E915E6">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CC56FF" w:rsidP="00E915E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5E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5E6" w:rsidRPr="00CC56FF" w:rsidP="00CC56F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5E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56FF" w:rsidRPr="002D2AF8" w:rsidP="00E915E6">
    <w:pPr>
      <w:pStyle w:val="Header"/>
      <w:framePr w:wrap="around"/>
    </w:pPr>
    <w:r>
      <w:fldChar w:fldCharType="begin"/>
    </w:r>
    <w:r>
      <w:instrText xml:space="preserve"> TITLE   \* MERGEFORMAT </w:instrText>
    </w:r>
    <w:r>
      <w:fldChar w:fldCharType="separate"/>
    </w:r>
    <w:r>
      <w:t>PMAOPS340 Operate cryogenic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June 2016</w:t>
    </w:r>
    <w:r>
      <w:fldChar w:fldCharType="end"/>
    </w:r>
  </w:p>
  <w:p w:rsidR="00CC56FF" w:rsidP="00E915E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EE4E17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4FAC2D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15E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915E6"/>
    <w:pPr>
      <w:spacing w:before="360" w:after="60"/>
      <w:outlineLvl w:val="0"/>
    </w:pPr>
    <w:rPr>
      <w:sz w:val="32"/>
    </w:rPr>
  </w:style>
  <w:style w:type="paragraph" w:styleId="Heading2">
    <w:name w:val="heading 2"/>
    <w:basedOn w:val="HeadingBase"/>
    <w:next w:val="BodyText"/>
    <w:link w:val="Heading2Char"/>
    <w:qFormat/>
    <w:rsid w:val="00E915E6"/>
    <w:pPr>
      <w:keepLines/>
      <w:spacing w:before="240" w:after="120"/>
      <w:outlineLvl w:val="1"/>
    </w:pPr>
    <w:rPr>
      <w:sz w:val="28"/>
      <w:szCs w:val="40"/>
    </w:rPr>
  </w:style>
  <w:style w:type="paragraph" w:styleId="Heading3">
    <w:name w:val="heading 3"/>
    <w:basedOn w:val="HeadingBase"/>
    <w:next w:val="BodyText"/>
    <w:link w:val="Heading3Char"/>
    <w:qFormat/>
    <w:rsid w:val="00E915E6"/>
    <w:pPr>
      <w:spacing w:before="180" w:after="120"/>
      <w:outlineLvl w:val="2"/>
    </w:pPr>
    <w:rPr>
      <w:spacing w:val="-10"/>
      <w:kern w:val="32"/>
    </w:rPr>
  </w:style>
  <w:style w:type="paragraph" w:styleId="Heading4">
    <w:name w:val="heading 4"/>
    <w:basedOn w:val="HeadingBase"/>
    <w:next w:val="BodyText"/>
    <w:link w:val="Heading4Char"/>
    <w:qFormat/>
    <w:rsid w:val="00E915E6"/>
    <w:pPr>
      <w:spacing w:before="160" w:after="120"/>
      <w:outlineLvl w:val="3"/>
    </w:pPr>
    <w:rPr>
      <w:sz w:val="22"/>
    </w:rPr>
  </w:style>
  <w:style w:type="paragraph" w:styleId="Heading5">
    <w:name w:val="heading 5"/>
    <w:basedOn w:val="HeadingBase"/>
    <w:next w:val="Normal"/>
    <w:link w:val="Heading5Char"/>
    <w:qFormat/>
    <w:rsid w:val="00E915E6"/>
    <w:pPr>
      <w:spacing w:before="80"/>
      <w:outlineLvl w:val="4"/>
    </w:pPr>
    <w:rPr>
      <w:color w:val="918585"/>
      <w:sz w:val="20"/>
    </w:rPr>
  </w:style>
  <w:style w:type="paragraph" w:styleId="Heading6">
    <w:name w:val="heading 6"/>
    <w:basedOn w:val="HeadingBase"/>
    <w:next w:val="Normal"/>
    <w:link w:val="Heading6Char"/>
    <w:qFormat/>
    <w:rsid w:val="00E915E6"/>
    <w:pPr>
      <w:spacing w:before="60"/>
      <w:outlineLvl w:val="5"/>
    </w:pPr>
    <w:rPr>
      <w:color w:val="918585"/>
      <w:sz w:val="20"/>
    </w:rPr>
  </w:style>
  <w:style w:type="paragraph" w:styleId="Heading7">
    <w:name w:val="heading 7"/>
    <w:basedOn w:val="Normal"/>
    <w:next w:val="Normal"/>
    <w:link w:val="Heading7Char"/>
    <w:qFormat/>
    <w:rsid w:val="00E915E6"/>
    <w:pPr>
      <w:ind w:left="720"/>
      <w:outlineLvl w:val="6"/>
    </w:pPr>
    <w:rPr>
      <w:i/>
    </w:rPr>
  </w:style>
  <w:style w:type="paragraph" w:styleId="Heading8">
    <w:name w:val="heading 8"/>
    <w:basedOn w:val="Normal"/>
    <w:next w:val="Normal"/>
    <w:link w:val="Heading8Char"/>
    <w:qFormat/>
    <w:rsid w:val="00E915E6"/>
    <w:pPr>
      <w:ind w:left="720"/>
      <w:outlineLvl w:val="7"/>
    </w:pPr>
    <w:rPr>
      <w:i/>
    </w:rPr>
  </w:style>
  <w:style w:type="paragraph" w:styleId="Heading9">
    <w:name w:val="heading 9"/>
    <w:basedOn w:val="Normal"/>
    <w:next w:val="Normal"/>
    <w:link w:val="Heading9Char"/>
    <w:qFormat/>
    <w:rsid w:val="00E915E6"/>
    <w:pPr>
      <w:ind w:left="720"/>
      <w:outlineLvl w:val="8"/>
    </w:pPr>
    <w:rPr>
      <w:i/>
    </w:rPr>
  </w:style>
  <w:style w:type="character" w:default="1" w:styleId="DefaultParagraphFont">
    <w:name w:val="Default Paragraph Font"/>
    <w:uiPriority w:val="1"/>
    <w:unhideWhenUsed/>
    <w:rsid w:val="00E915E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915E6"/>
  </w:style>
  <w:style w:type="character" w:customStyle="1" w:styleId="Heading1Char">
    <w:name w:val="Heading 1 Char"/>
    <w:basedOn w:val="DefaultParagraphFont"/>
    <w:link w:val="Heading1"/>
    <w:rsid w:val="00E915E6"/>
    <w:rPr>
      <w:rFonts w:ascii="Times New Roman" w:eastAsia="Times New Roman" w:hAnsi="Times New Roman" w:cs="Times New Roman"/>
      <w:b/>
      <w:sz w:val="32"/>
      <w:szCs w:val="20"/>
      <w:lang w:eastAsia="en-US"/>
    </w:rPr>
  </w:style>
  <w:style w:type="paragraph" w:styleId="BodyText">
    <w:name w:val="Body Text"/>
    <w:basedOn w:val="Normal"/>
    <w:link w:val="BodyTextChar"/>
    <w:rsid w:val="00E915E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915E6"/>
    <w:rPr>
      <w:rFonts w:ascii="Times New Roman" w:eastAsia="Times New Roman" w:hAnsi="Times New Roman" w:cs="Times New Roman"/>
      <w:sz w:val="24"/>
      <w:lang w:eastAsia="en-US"/>
    </w:rPr>
  </w:style>
  <w:style w:type="paragraph" w:styleId="ListBullet">
    <w:name w:val="List Bullet"/>
    <w:basedOn w:val="List"/>
    <w:rsid w:val="00E915E6"/>
    <w:pPr>
      <w:numPr>
        <w:numId w:val="12"/>
      </w:numPr>
      <w:tabs>
        <w:tab w:val="clear" w:pos="340"/>
      </w:tabs>
      <w:spacing w:before="40" w:after="40"/>
    </w:pPr>
  </w:style>
  <w:style w:type="character" w:customStyle="1" w:styleId="SpecialBold">
    <w:name w:val="Special Bold"/>
    <w:basedOn w:val="DefaultParagraphFont"/>
    <w:rsid w:val="00E915E6"/>
    <w:rPr>
      <w:b/>
      <w:spacing w:val="0"/>
    </w:rPr>
  </w:style>
  <w:style w:type="paragraph" w:customStyle="1" w:styleId="SuperHeading">
    <w:name w:val="SuperHeading"/>
    <w:basedOn w:val="Normal"/>
    <w:rsid w:val="00E915E6"/>
    <w:pPr>
      <w:spacing w:before="240" w:after="120"/>
      <w:outlineLvl w:val="0"/>
    </w:pPr>
    <w:rPr>
      <w:rFonts w:ascii="Times New Roman" w:hAnsi="Times New Roman"/>
      <w:b/>
      <w:sz w:val="32"/>
    </w:rPr>
  </w:style>
  <w:style w:type="paragraph" w:customStyle="1" w:styleId="AllowPageBreak">
    <w:name w:val="AllowPageBreak"/>
    <w:rsid w:val="00E915E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915E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915E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915E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915E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915E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915E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915E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915E6"/>
    <w:rPr>
      <w:rFonts w:ascii="Courier New" w:eastAsia="Times New Roman" w:hAnsi="Courier New" w:cs="Times New Roman"/>
      <w:i/>
      <w:szCs w:val="20"/>
      <w:lang w:eastAsia="en-US"/>
    </w:rPr>
  </w:style>
  <w:style w:type="paragraph" w:customStyle="1" w:styleId="HeadingBase">
    <w:name w:val="Heading Base"/>
    <w:rsid w:val="00E915E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915E6"/>
    <w:pPr>
      <w:tabs>
        <w:tab w:val="right" w:leader="dot" w:pos="9072"/>
      </w:tabs>
      <w:ind w:left="567"/>
    </w:pPr>
    <w:rPr>
      <w:szCs w:val="22"/>
    </w:rPr>
  </w:style>
  <w:style w:type="paragraph" w:customStyle="1" w:styleId="TOCBase">
    <w:name w:val="TOC Base"/>
    <w:rsid w:val="00E915E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915E6"/>
    <w:pPr>
      <w:tabs>
        <w:tab w:val="right" w:leader="dot" w:pos="9072"/>
      </w:tabs>
      <w:spacing w:before="40" w:after="40"/>
      <w:ind w:left="284"/>
    </w:pPr>
    <w:rPr>
      <w:rFonts w:ascii="Times New Roman" w:hAnsi="Times New Roman"/>
    </w:rPr>
  </w:style>
  <w:style w:type="paragraph" w:styleId="TOC1">
    <w:name w:val="toc 1"/>
    <w:basedOn w:val="TOCBase"/>
    <w:next w:val="Normal"/>
    <w:rsid w:val="00E915E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915E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915E6"/>
    <w:rPr>
      <w:rFonts w:ascii="Times New Roman" w:eastAsia="Times New Roman" w:hAnsi="Times New Roman" w:cs="Times New Roman"/>
      <w:sz w:val="16"/>
      <w:lang w:eastAsia="en-US"/>
    </w:rPr>
  </w:style>
  <w:style w:type="paragraph" w:styleId="Title">
    <w:name w:val="Title"/>
    <w:basedOn w:val="HeadingBase"/>
    <w:link w:val="TitleChar"/>
    <w:qFormat/>
    <w:rsid w:val="00E915E6"/>
    <w:pPr>
      <w:spacing w:before="5040"/>
      <w:jc w:val="center"/>
    </w:pPr>
    <w:rPr>
      <w:sz w:val="48"/>
      <w:szCs w:val="72"/>
      <w:lang w:val="en-US"/>
    </w:rPr>
  </w:style>
  <w:style w:type="character" w:customStyle="1" w:styleId="TitleChar">
    <w:name w:val="Title Char"/>
    <w:basedOn w:val="DefaultParagraphFont"/>
    <w:link w:val="Title"/>
    <w:rsid w:val="00E915E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915E6"/>
    <w:pPr>
      <w:tabs>
        <w:tab w:val="left" w:pos="3600"/>
        <w:tab w:val="left" w:pos="3958"/>
      </w:tabs>
    </w:pPr>
  </w:style>
  <w:style w:type="paragraph" w:styleId="List">
    <w:name w:val="List"/>
    <w:basedOn w:val="BodyText"/>
    <w:next w:val="BodyText"/>
    <w:rsid w:val="00E915E6"/>
    <w:pPr>
      <w:tabs>
        <w:tab w:val="left" w:pos="340"/>
      </w:tabs>
      <w:spacing w:before="60" w:after="60"/>
      <w:ind w:left="340" w:hanging="340"/>
    </w:pPr>
  </w:style>
  <w:style w:type="paragraph" w:customStyle="1" w:styleId="Note">
    <w:name w:val="Note"/>
    <w:basedOn w:val="BodyText"/>
    <w:rsid w:val="00E915E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915E6"/>
    <w:pPr>
      <w:framePr w:wrap="auto" w:hAnchor="text" w:y="6049"/>
    </w:pPr>
    <w:rPr>
      <w:color w:val="000000"/>
      <w:sz w:val="40"/>
    </w:rPr>
  </w:style>
  <w:style w:type="paragraph" w:customStyle="1" w:styleId="TOCTitle">
    <w:name w:val="TOCTitle"/>
    <w:basedOn w:val="Heading1"/>
    <w:rsid w:val="00E915E6"/>
    <w:pPr>
      <w:spacing w:after="240"/>
      <w:jc w:val="center"/>
      <w:outlineLvl w:val="9"/>
    </w:pPr>
    <w:rPr>
      <w:caps/>
    </w:rPr>
  </w:style>
  <w:style w:type="paragraph" w:customStyle="1" w:styleId="Version">
    <w:name w:val="Version"/>
    <w:rsid w:val="00E915E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915E6"/>
    <w:pPr>
      <w:numPr>
        <w:numId w:val="13"/>
      </w:numPr>
      <w:tabs>
        <w:tab w:val="clear" w:pos="680"/>
      </w:tabs>
    </w:pPr>
  </w:style>
  <w:style w:type="paragraph" w:styleId="Index1">
    <w:name w:val="index 1"/>
    <w:basedOn w:val="Normal"/>
    <w:next w:val="Normal"/>
    <w:semiHidden/>
    <w:rsid w:val="00E915E6"/>
    <w:pPr>
      <w:keepNext w:val="0"/>
      <w:tabs>
        <w:tab w:val="right" w:pos="4176"/>
      </w:tabs>
      <w:ind w:left="198" w:hanging="198"/>
    </w:pPr>
    <w:rPr>
      <w:rFonts w:ascii="Garamond" w:hAnsi="Garamond"/>
    </w:rPr>
  </w:style>
  <w:style w:type="paragraph" w:styleId="IndexHeading">
    <w:name w:val="index heading"/>
    <w:basedOn w:val="Normal"/>
    <w:next w:val="Index1"/>
    <w:semiHidden/>
    <w:rsid w:val="00E915E6"/>
    <w:pPr>
      <w:spacing w:before="120" w:after="120"/>
    </w:pPr>
    <w:rPr>
      <w:rFonts w:ascii="Arial" w:hAnsi="Arial"/>
      <w:b/>
      <w:color w:val="918585"/>
      <w:sz w:val="24"/>
    </w:rPr>
  </w:style>
  <w:style w:type="paragraph" w:styleId="Header">
    <w:name w:val="header"/>
    <w:basedOn w:val="Normal"/>
    <w:link w:val="HeaderChar"/>
    <w:rsid w:val="00E915E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915E6"/>
    <w:rPr>
      <w:rFonts w:ascii="Times New Roman" w:eastAsia="Times New Roman" w:hAnsi="Times New Roman" w:cs="Times New Roman"/>
      <w:sz w:val="16"/>
      <w:szCs w:val="20"/>
      <w:lang w:val="en-GB" w:eastAsia="en-US"/>
    </w:rPr>
  </w:style>
  <w:style w:type="paragraph" w:customStyle="1" w:styleId="Chapter">
    <w:name w:val="Chapter"/>
    <w:basedOn w:val="Normal"/>
    <w:rsid w:val="00E915E6"/>
    <w:pPr>
      <w:spacing w:before="240"/>
    </w:pPr>
    <w:rPr>
      <w:rFonts w:ascii="Times New Roman" w:hAnsi="Times New Roman"/>
      <w:smallCaps/>
      <w:spacing w:val="80"/>
      <w:sz w:val="28"/>
    </w:rPr>
  </w:style>
  <w:style w:type="paragraph" w:customStyle="1" w:styleId="InChapter">
    <w:name w:val="InChapter"/>
    <w:basedOn w:val="Heading3"/>
    <w:rsid w:val="00E915E6"/>
    <w:pPr>
      <w:spacing w:after="240"/>
      <w:outlineLvl w:val="9"/>
    </w:pPr>
    <w:rPr>
      <w:noProof/>
    </w:rPr>
  </w:style>
  <w:style w:type="paragraph" w:styleId="Index2">
    <w:name w:val="index 2"/>
    <w:basedOn w:val="Normal"/>
    <w:next w:val="Normal"/>
    <w:semiHidden/>
    <w:rsid w:val="00E915E6"/>
    <w:pPr>
      <w:tabs>
        <w:tab w:val="right" w:pos="4176"/>
      </w:tabs>
      <w:ind w:left="568" w:hanging="284"/>
    </w:pPr>
    <w:rPr>
      <w:rFonts w:ascii="Garamond" w:hAnsi="Garamond"/>
    </w:rPr>
  </w:style>
  <w:style w:type="paragraph" w:customStyle="1" w:styleId="Byline">
    <w:name w:val="Byline"/>
    <w:rsid w:val="00E915E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915E6"/>
    <w:pPr>
      <w:tabs>
        <w:tab w:val="clear" w:pos="3600"/>
        <w:tab w:val="clear" w:pos="3958"/>
      </w:tabs>
      <w:jc w:val="right"/>
    </w:pPr>
  </w:style>
  <w:style w:type="character" w:styleId="Emphasis">
    <w:name w:val="Emphasis"/>
    <w:basedOn w:val="DefaultParagraphFont"/>
    <w:qFormat/>
    <w:rsid w:val="00E915E6"/>
    <w:rPr>
      <w:i/>
    </w:rPr>
  </w:style>
  <w:style w:type="paragraph" w:styleId="Caption">
    <w:name w:val="caption"/>
    <w:basedOn w:val="BodyText"/>
    <w:next w:val="Normal"/>
    <w:qFormat/>
    <w:rsid w:val="00E915E6"/>
    <w:pPr>
      <w:framePr w:w="2268" w:hSpace="181" w:vSpace="181" w:wrap="around" w:vAnchor="text" w:hAnchor="page" w:x="1135" w:y="285" w:anchorLock="1"/>
    </w:pPr>
    <w:rPr>
      <w:i/>
    </w:rPr>
  </w:style>
  <w:style w:type="paragraph" w:customStyle="1" w:styleId="MiniTOCTitle">
    <w:name w:val="MiniTOCTitle"/>
    <w:basedOn w:val="Heading4"/>
    <w:rsid w:val="00E915E6"/>
    <w:pPr>
      <w:spacing w:before="240"/>
      <w:outlineLvl w:val="9"/>
    </w:pPr>
    <w:rPr>
      <w:noProof/>
      <w:sz w:val="24"/>
    </w:rPr>
  </w:style>
  <w:style w:type="paragraph" w:customStyle="1" w:styleId="MiniTOCItem">
    <w:name w:val="MiniTOCItem"/>
    <w:basedOn w:val="ListBullet"/>
    <w:rsid w:val="00E915E6"/>
    <w:pPr>
      <w:numPr>
        <w:numId w:val="0"/>
      </w:numPr>
      <w:tabs>
        <w:tab w:val="right" w:leader="dot" w:pos="6521"/>
      </w:tabs>
      <w:spacing w:before="0" w:after="0"/>
    </w:pPr>
  </w:style>
  <w:style w:type="paragraph" w:customStyle="1" w:styleId="TOFTitle">
    <w:name w:val="TOFTitle"/>
    <w:basedOn w:val="TOCTitle"/>
    <w:rsid w:val="00E915E6"/>
  </w:style>
  <w:style w:type="paragraph" w:styleId="TableofFigures">
    <w:name w:val="table of figures"/>
    <w:basedOn w:val="Normal"/>
    <w:next w:val="Normal"/>
    <w:semiHidden/>
    <w:rsid w:val="00E915E6"/>
    <w:pPr>
      <w:tabs>
        <w:tab w:val="right" w:leader="dot" w:pos="9072"/>
      </w:tabs>
      <w:ind w:left="970" w:hanging="403"/>
    </w:pPr>
    <w:rPr>
      <w:rFonts w:ascii="Times New Roman" w:hAnsi="Times New Roman"/>
      <w:b/>
    </w:rPr>
  </w:style>
  <w:style w:type="paragraph" w:styleId="ListNumber">
    <w:name w:val="List Number"/>
    <w:basedOn w:val="List"/>
    <w:rsid w:val="00E915E6"/>
    <w:pPr>
      <w:numPr>
        <w:numId w:val="10"/>
      </w:numPr>
    </w:pPr>
  </w:style>
  <w:style w:type="character" w:customStyle="1" w:styleId="WingdingSymbols">
    <w:name w:val="Wingding Symbols"/>
    <w:rsid w:val="00E915E6"/>
    <w:rPr>
      <w:rFonts w:ascii="Wingdings" w:hAnsi="Wingdings"/>
    </w:rPr>
  </w:style>
  <w:style w:type="paragraph" w:customStyle="1" w:styleId="TableHeading">
    <w:name w:val="Table Heading"/>
    <w:basedOn w:val="HeadingBase"/>
    <w:rsid w:val="00E915E6"/>
    <w:pPr>
      <w:keepLines/>
      <w:pBdr>
        <w:bottom w:val="single" w:sz="6" w:space="1" w:color="918585"/>
      </w:pBdr>
      <w:spacing w:before="240"/>
    </w:pPr>
  </w:style>
  <w:style w:type="character" w:customStyle="1" w:styleId="HotSpot">
    <w:name w:val="HotSpot"/>
    <w:rsid w:val="00E915E6"/>
    <w:rPr>
      <w:color w:val="0033CC"/>
      <w:u w:val="none"/>
    </w:rPr>
  </w:style>
  <w:style w:type="paragraph" w:customStyle="1" w:styleId="BodyTextRight">
    <w:name w:val="Body Text Right"/>
    <w:basedOn w:val="BodyText"/>
    <w:rsid w:val="00E915E6"/>
    <w:pPr>
      <w:spacing w:before="0" w:after="0"/>
      <w:jc w:val="right"/>
    </w:pPr>
  </w:style>
  <w:style w:type="paragraph" w:styleId="Index3">
    <w:name w:val="index 3"/>
    <w:basedOn w:val="ListNumber2"/>
    <w:next w:val="Normal"/>
    <w:semiHidden/>
    <w:rsid w:val="00E915E6"/>
    <w:pPr>
      <w:numPr>
        <w:numId w:val="0"/>
      </w:numPr>
      <w:tabs>
        <w:tab w:val="right" w:leader="dot" w:pos="4176"/>
      </w:tabs>
    </w:pPr>
  </w:style>
  <w:style w:type="paragraph" w:styleId="ListNumber2">
    <w:name w:val="List Number 2"/>
    <w:basedOn w:val="List2"/>
    <w:rsid w:val="00E915E6"/>
    <w:pPr>
      <w:numPr>
        <w:numId w:val="9"/>
      </w:numPr>
      <w:tabs>
        <w:tab w:val="clear" w:pos="1060"/>
      </w:tabs>
    </w:pPr>
  </w:style>
  <w:style w:type="paragraph" w:customStyle="1" w:styleId="MarginNote">
    <w:name w:val="Margin Note"/>
    <w:basedOn w:val="BodyText"/>
    <w:rsid w:val="00E915E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915E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915E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915E6"/>
    <w:rPr>
      <w:sz w:val="32"/>
    </w:rPr>
  </w:style>
  <w:style w:type="paragraph" w:customStyle="1" w:styleId="HeadingProcedure">
    <w:name w:val="Heading Procedure"/>
    <w:basedOn w:val="HeadingBase"/>
    <w:next w:val="Normal"/>
    <w:rsid w:val="00E915E6"/>
    <w:pPr>
      <w:tabs>
        <w:tab w:val="left" w:pos="0"/>
      </w:tabs>
      <w:spacing w:before="120" w:after="60"/>
    </w:pPr>
    <w:rPr>
      <w:i/>
      <w:color w:val="918585"/>
      <w:sz w:val="22"/>
    </w:rPr>
  </w:style>
  <w:style w:type="paragraph" w:customStyle="1" w:styleId="TableBodyText">
    <w:name w:val="Table Body Text"/>
    <w:basedOn w:val="BodyText"/>
    <w:rsid w:val="00E915E6"/>
    <w:pPr>
      <w:spacing w:before="60" w:after="60"/>
    </w:pPr>
  </w:style>
  <w:style w:type="paragraph" w:styleId="ListContinue">
    <w:name w:val="List Continue"/>
    <w:basedOn w:val="List"/>
    <w:rsid w:val="00E915E6"/>
    <w:pPr>
      <w:ind w:firstLine="0"/>
    </w:pPr>
  </w:style>
  <w:style w:type="paragraph" w:customStyle="1" w:styleId="ListNote">
    <w:name w:val="List Note"/>
    <w:basedOn w:val="List"/>
    <w:rsid w:val="00E915E6"/>
    <w:pPr>
      <w:pBdr>
        <w:top w:val="single" w:sz="6" w:space="2" w:color="918585"/>
        <w:bottom w:val="single" w:sz="6" w:space="2" w:color="918585"/>
      </w:pBdr>
      <w:tabs>
        <w:tab w:val="left" w:pos="1021"/>
      </w:tabs>
      <w:ind w:firstLine="0"/>
    </w:pPr>
  </w:style>
  <w:style w:type="paragraph" w:customStyle="1" w:styleId="Warning">
    <w:name w:val="Warning"/>
    <w:basedOn w:val="BodyText"/>
    <w:rsid w:val="00E915E6"/>
    <w:pPr>
      <w:shd w:val="clear" w:color="auto" w:fill="D9D9D9"/>
      <w:tabs>
        <w:tab w:val="left" w:pos="992"/>
      </w:tabs>
      <w:ind w:left="119" w:right="119"/>
    </w:pPr>
    <w:rPr>
      <w:sz w:val="20"/>
    </w:rPr>
  </w:style>
  <w:style w:type="paragraph" w:customStyle="1" w:styleId="MarginIcons">
    <w:name w:val="Margin Icons"/>
    <w:basedOn w:val="BodyText"/>
    <w:rsid w:val="00E915E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915E6"/>
    <w:rPr>
      <w:rFonts w:ascii="Courier New" w:hAnsi="Courier New"/>
    </w:rPr>
  </w:style>
  <w:style w:type="paragraph" w:customStyle="1" w:styleId="NoteBullet">
    <w:name w:val="Note Bullet"/>
    <w:basedOn w:val="Note"/>
    <w:rsid w:val="00E915E6"/>
    <w:pPr>
      <w:tabs>
        <w:tab w:val="clear" w:pos="680"/>
      </w:tabs>
      <w:spacing w:before="60" w:after="60"/>
    </w:pPr>
  </w:style>
  <w:style w:type="paragraph" w:customStyle="1" w:styleId="SubHeading2">
    <w:name w:val="SubHeading2"/>
    <w:basedOn w:val="HeadingBase"/>
    <w:rsid w:val="00E915E6"/>
    <w:pPr>
      <w:spacing w:before="240" w:after="60"/>
    </w:pPr>
    <w:rPr>
      <w:sz w:val="20"/>
    </w:rPr>
  </w:style>
  <w:style w:type="paragraph" w:customStyle="1" w:styleId="SubHeading1">
    <w:name w:val="SubHeading1"/>
    <w:basedOn w:val="HeadingBase"/>
    <w:rsid w:val="00E915E6"/>
    <w:pPr>
      <w:spacing w:before="240" w:after="60"/>
    </w:pPr>
    <w:rPr>
      <w:color w:val="918585"/>
      <w:sz w:val="22"/>
    </w:rPr>
  </w:style>
  <w:style w:type="paragraph" w:customStyle="1" w:styleId="SideHeading">
    <w:name w:val="Side Heading"/>
    <w:basedOn w:val="HeadingBase"/>
    <w:rsid w:val="00E915E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915E6"/>
    <w:pPr>
      <w:tabs>
        <w:tab w:val="num" w:pos="360"/>
      </w:tabs>
    </w:pPr>
  </w:style>
  <w:style w:type="paragraph" w:styleId="PlainText">
    <w:name w:val="Plain Text"/>
    <w:basedOn w:val="Normal"/>
    <w:link w:val="PlainTextChar"/>
    <w:rsid w:val="00E915E6"/>
    <w:rPr>
      <w:sz w:val="20"/>
    </w:rPr>
  </w:style>
  <w:style w:type="character" w:customStyle="1" w:styleId="PlainTextChar">
    <w:name w:val="Plain Text Char"/>
    <w:basedOn w:val="DefaultParagraphFont"/>
    <w:link w:val="PlainText"/>
    <w:rsid w:val="00E915E6"/>
    <w:rPr>
      <w:rFonts w:ascii="Courier New" w:eastAsia="Times New Roman" w:hAnsi="Courier New" w:cs="Times New Roman"/>
      <w:sz w:val="20"/>
      <w:szCs w:val="20"/>
      <w:lang w:eastAsia="en-US"/>
    </w:rPr>
  </w:style>
  <w:style w:type="character" w:customStyle="1" w:styleId="MenuOption">
    <w:name w:val="Menu Option"/>
    <w:basedOn w:val="DefaultParagraphFont"/>
    <w:rsid w:val="00E915E6"/>
    <w:rPr>
      <w:b/>
      <w:smallCaps/>
    </w:rPr>
  </w:style>
  <w:style w:type="paragraph" w:customStyle="1" w:styleId="TableListNumber">
    <w:name w:val="Table List Number"/>
    <w:basedOn w:val="ListNumber"/>
    <w:rsid w:val="00E915E6"/>
    <w:pPr>
      <w:numPr>
        <w:numId w:val="0"/>
      </w:numPr>
    </w:pPr>
  </w:style>
  <w:style w:type="paragraph" w:styleId="TOC4">
    <w:name w:val="toc 4"/>
    <w:basedOn w:val="TOCBase"/>
    <w:next w:val="Normal"/>
    <w:semiHidden/>
    <w:rsid w:val="00E915E6"/>
    <w:pPr>
      <w:tabs>
        <w:tab w:val="right" w:leader="dot" w:pos="9071"/>
      </w:tabs>
      <w:ind w:left="1701"/>
    </w:pPr>
  </w:style>
  <w:style w:type="paragraph" w:customStyle="1" w:styleId="ListAlpha">
    <w:name w:val="List Alpha"/>
    <w:basedOn w:val="List"/>
    <w:rsid w:val="00E915E6"/>
    <w:pPr>
      <w:numPr>
        <w:numId w:val="8"/>
      </w:numPr>
    </w:pPr>
  </w:style>
  <w:style w:type="paragraph" w:customStyle="1" w:styleId="ListAlpha2">
    <w:name w:val="List Alpha 2"/>
    <w:basedOn w:val="List2"/>
    <w:rsid w:val="00E915E6"/>
    <w:pPr>
      <w:numPr>
        <w:numId w:val="7"/>
      </w:numPr>
    </w:pPr>
  </w:style>
  <w:style w:type="paragraph" w:styleId="List2">
    <w:name w:val="List 2"/>
    <w:basedOn w:val="BodyText"/>
    <w:rsid w:val="00E915E6"/>
    <w:pPr>
      <w:tabs>
        <w:tab w:val="left" w:pos="680"/>
      </w:tabs>
      <w:spacing w:before="60" w:after="60"/>
      <w:ind w:left="680" w:hanging="340"/>
    </w:pPr>
  </w:style>
  <w:style w:type="paragraph" w:styleId="List3">
    <w:name w:val="List 3"/>
    <w:basedOn w:val="BodyText"/>
    <w:rsid w:val="00E915E6"/>
    <w:pPr>
      <w:tabs>
        <w:tab w:val="left" w:pos="1021"/>
      </w:tabs>
      <w:spacing w:before="60" w:after="60"/>
      <w:ind w:left="1020" w:hanging="340"/>
    </w:pPr>
  </w:style>
  <w:style w:type="paragraph" w:styleId="List4">
    <w:name w:val="List 4"/>
    <w:basedOn w:val="BodyText"/>
    <w:rsid w:val="00E915E6"/>
    <w:pPr>
      <w:tabs>
        <w:tab w:val="left" w:pos="1361"/>
      </w:tabs>
      <w:spacing w:before="60" w:after="60"/>
      <w:ind w:left="1361" w:hanging="340"/>
    </w:pPr>
  </w:style>
  <w:style w:type="paragraph" w:styleId="List5">
    <w:name w:val="List 5"/>
    <w:basedOn w:val="BodyText"/>
    <w:rsid w:val="00E915E6"/>
    <w:pPr>
      <w:tabs>
        <w:tab w:val="left" w:pos="1701"/>
      </w:tabs>
      <w:spacing w:before="60" w:after="60"/>
      <w:ind w:left="1701" w:hanging="340"/>
    </w:pPr>
  </w:style>
  <w:style w:type="paragraph" w:styleId="ListBullet3">
    <w:name w:val="List Bullet 3"/>
    <w:basedOn w:val="List3"/>
    <w:rsid w:val="00E915E6"/>
    <w:pPr>
      <w:numPr>
        <w:numId w:val="14"/>
      </w:numPr>
      <w:tabs>
        <w:tab w:val="clear" w:pos="1021"/>
      </w:tabs>
      <w:ind w:left="1037" w:hanging="357"/>
    </w:pPr>
  </w:style>
  <w:style w:type="paragraph" w:styleId="ListBullet4">
    <w:name w:val="List Bullet 4"/>
    <w:basedOn w:val="List4"/>
    <w:rsid w:val="00E915E6"/>
    <w:pPr>
      <w:numPr>
        <w:numId w:val="2"/>
      </w:numPr>
      <w:tabs>
        <w:tab w:val="clear" w:pos="1361"/>
      </w:tabs>
    </w:pPr>
  </w:style>
  <w:style w:type="paragraph" w:styleId="ListBullet5">
    <w:name w:val="List Bullet 5"/>
    <w:basedOn w:val="List5"/>
    <w:rsid w:val="00E915E6"/>
    <w:pPr>
      <w:numPr>
        <w:numId w:val="3"/>
      </w:numPr>
    </w:pPr>
  </w:style>
  <w:style w:type="paragraph" w:styleId="ListContinue2">
    <w:name w:val="List Continue 2"/>
    <w:basedOn w:val="List2"/>
    <w:rsid w:val="00E915E6"/>
    <w:pPr>
      <w:ind w:firstLine="0"/>
    </w:pPr>
  </w:style>
  <w:style w:type="paragraph" w:styleId="ListContinue3">
    <w:name w:val="List Continue 3"/>
    <w:basedOn w:val="List3"/>
    <w:rsid w:val="00E915E6"/>
    <w:pPr>
      <w:ind w:left="1021" w:firstLine="0"/>
    </w:pPr>
  </w:style>
  <w:style w:type="paragraph" w:styleId="ListContinue4">
    <w:name w:val="List Continue 4"/>
    <w:basedOn w:val="List4"/>
    <w:rsid w:val="00E915E6"/>
    <w:pPr>
      <w:ind w:firstLine="0"/>
    </w:pPr>
  </w:style>
  <w:style w:type="paragraph" w:styleId="ListContinue5">
    <w:name w:val="List Continue 5"/>
    <w:basedOn w:val="List5"/>
    <w:rsid w:val="00E915E6"/>
    <w:pPr>
      <w:ind w:firstLine="0"/>
    </w:pPr>
  </w:style>
  <w:style w:type="paragraph" w:styleId="ListNumber3">
    <w:name w:val="List Number 3"/>
    <w:basedOn w:val="List3"/>
    <w:rsid w:val="00E915E6"/>
    <w:pPr>
      <w:numPr>
        <w:numId w:val="4"/>
      </w:numPr>
    </w:pPr>
  </w:style>
  <w:style w:type="paragraph" w:styleId="ListNumber4">
    <w:name w:val="List Number 4"/>
    <w:basedOn w:val="List4"/>
    <w:rsid w:val="00E915E6"/>
    <w:pPr>
      <w:numPr>
        <w:numId w:val="5"/>
      </w:numPr>
    </w:pPr>
  </w:style>
  <w:style w:type="paragraph" w:styleId="ListNumber5">
    <w:name w:val="List Number 5"/>
    <w:basedOn w:val="List5"/>
    <w:rsid w:val="00E915E6"/>
    <w:pPr>
      <w:numPr>
        <w:numId w:val="6"/>
      </w:numPr>
    </w:pPr>
  </w:style>
  <w:style w:type="paragraph" w:styleId="BlockText">
    <w:name w:val="Block Text"/>
    <w:basedOn w:val="Normal"/>
    <w:rsid w:val="00E915E6"/>
    <w:pPr>
      <w:spacing w:after="120"/>
      <w:ind w:left="1440" w:right="1440"/>
    </w:pPr>
  </w:style>
  <w:style w:type="character" w:customStyle="1" w:styleId="Subscript">
    <w:name w:val="Subscript"/>
    <w:basedOn w:val="DefaultParagraphFont"/>
    <w:rsid w:val="00E915E6"/>
    <w:rPr>
      <w:sz w:val="16"/>
      <w:vertAlign w:val="subscript"/>
    </w:rPr>
  </w:style>
  <w:style w:type="character" w:customStyle="1" w:styleId="Superscript">
    <w:name w:val="Superscript"/>
    <w:basedOn w:val="DefaultParagraphFont"/>
    <w:rsid w:val="00E915E6"/>
    <w:rPr>
      <w:sz w:val="16"/>
      <w:vertAlign w:val="superscript"/>
    </w:rPr>
  </w:style>
  <w:style w:type="character" w:customStyle="1" w:styleId="Symbols">
    <w:name w:val="Symbols"/>
    <w:basedOn w:val="DefaultParagraphFont"/>
    <w:rsid w:val="00E915E6"/>
    <w:rPr>
      <w:rFonts w:ascii="Symbol" w:hAnsi="Symbol"/>
    </w:rPr>
  </w:style>
  <w:style w:type="character" w:customStyle="1" w:styleId="MenuOptions">
    <w:name w:val="Menu Options"/>
    <w:basedOn w:val="DefaultParagraphFont"/>
    <w:rsid w:val="00E915E6"/>
    <w:rPr>
      <w:rFonts w:ascii="Arial Narrow" w:hAnsi="Arial Narrow"/>
      <w:smallCaps/>
    </w:rPr>
  </w:style>
  <w:style w:type="character" w:customStyle="1" w:styleId="Buttons">
    <w:name w:val="Buttons"/>
    <w:basedOn w:val="DefaultParagraphFont"/>
    <w:rsid w:val="00E915E6"/>
    <w:rPr>
      <w:b/>
    </w:rPr>
  </w:style>
  <w:style w:type="character" w:customStyle="1" w:styleId="Underlined">
    <w:name w:val="Underlined"/>
    <w:basedOn w:val="DefaultParagraphFont"/>
    <w:rsid w:val="00E915E6"/>
    <w:rPr>
      <w:u w:val="single"/>
    </w:rPr>
  </w:style>
  <w:style w:type="paragraph" w:customStyle="1" w:styleId="TableBodyTextRight">
    <w:name w:val="Table Body Text Right"/>
    <w:basedOn w:val="TableBodyText"/>
    <w:rsid w:val="00E915E6"/>
    <w:pPr>
      <w:widowControl w:val="0"/>
      <w:autoSpaceDE w:val="0"/>
      <w:autoSpaceDN w:val="0"/>
      <w:adjustRightInd w:val="0"/>
      <w:jc w:val="right"/>
    </w:pPr>
    <w:rPr>
      <w:rFonts w:cs="Arial"/>
      <w:szCs w:val="18"/>
    </w:rPr>
  </w:style>
  <w:style w:type="paragraph" w:customStyle="1" w:styleId="CopyrightText">
    <w:name w:val="Copyright Text"/>
    <w:basedOn w:val="BodyText"/>
    <w:rsid w:val="00E915E6"/>
    <w:rPr>
      <w:sz w:val="18"/>
    </w:rPr>
  </w:style>
  <w:style w:type="paragraph" w:customStyle="1" w:styleId="BodySmallRight">
    <w:name w:val="Body Small Right"/>
    <w:basedOn w:val="BodyTextRight"/>
    <w:rsid w:val="00E915E6"/>
    <w:rPr>
      <w:sz w:val="18"/>
      <w:szCs w:val="18"/>
    </w:rPr>
  </w:style>
  <w:style w:type="paragraph" w:customStyle="1" w:styleId="MarginEdition">
    <w:name w:val="Margin Edition"/>
    <w:basedOn w:val="MarginNote"/>
    <w:rsid w:val="00E915E6"/>
    <w:pPr>
      <w:spacing w:before="0" w:after="0"/>
    </w:pPr>
    <w:rPr>
      <w:rFonts w:ascii="Times New Roman" w:hAnsi="Times New Roman"/>
      <w:color w:val="999999"/>
    </w:rPr>
  </w:style>
  <w:style w:type="paragraph" w:customStyle="1" w:styleId="Spacer">
    <w:name w:val="Spacer"/>
    <w:basedOn w:val="Normal"/>
    <w:rsid w:val="00E915E6"/>
    <w:rPr>
      <w:sz w:val="2"/>
      <w:szCs w:val="2"/>
    </w:rPr>
  </w:style>
  <w:style w:type="character" w:customStyle="1" w:styleId="Small">
    <w:name w:val="Small"/>
    <w:basedOn w:val="DefaultParagraphFont"/>
    <w:rsid w:val="00E915E6"/>
    <w:rPr>
      <w:sz w:val="16"/>
    </w:rPr>
  </w:style>
  <w:style w:type="paragraph" w:customStyle="1" w:styleId="WideTable">
    <w:name w:val="Wide Table"/>
    <w:basedOn w:val="Normal"/>
    <w:rsid w:val="00E915E6"/>
    <w:pPr>
      <w:ind w:left="-1418"/>
    </w:pPr>
    <w:rPr>
      <w:sz w:val="2"/>
      <w:szCs w:val="2"/>
    </w:rPr>
  </w:style>
  <w:style w:type="character" w:styleId="PageNumber">
    <w:name w:val="page number"/>
    <w:basedOn w:val="DefaultParagraphFont"/>
    <w:rsid w:val="00E915E6"/>
  </w:style>
  <w:style w:type="paragraph" w:styleId="Quote">
    <w:name w:val="Quote"/>
    <w:basedOn w:val="Heading1"/>
    <w:link w:val="QuoteChar"/>
    <w:qFormat/>
    <w:rsid w:val="00E915E6"/>
    <w:rPr>
      <w:b w:val="0"/>
      <w:sz w:val="72"/>
      <w:szCs w:val="72"/>
      <w:lang w:val="en-NZ"/>
    </w:rPr>
  </w:style>
  <w:style w:type="character" w:customStyle="1" w:styleId="QuoteChar">
    <w:name w:val="Quote Char"/>
    <w:basedOn w:val="DefaultParagraphFont"/>
    <w:link w:val="Quote"/>
    <w:rsid w:val="00E915E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915E6"/>
    <w:pPr>
      <w:pageBreakBefore/>
    </w:pPr>
  </w:style>
  <w:style w:type="paragraph" w:customStyle="1" w:styleId="Border">
    <w:name w:val="Border"/>
    <w:basedOn w:val="Normal"/>
    <w:qFormat/>
    <w:rsid w:val="00E915E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915E6"/>
    <w:rPr>
      <w:b/>
      <w:bCs/>
      <w:i/>
      <w:iCs/>
      <w:color w:val="auto"/>
    </w:rPr>
  </w:style>
  <w:style w:type="paragraph" w:styleId="IntenseQuote">
    <w:name w:val="Intense Quote"/>
    <w:basedOn w:val="Normal"/>
    <w:next w:val="Normal"/>
    <w:link w:val="IntenseQuoteChar"/>
    <w:uiPriority w:val="30"/>
    <w:qFormat/>
    <w:rsid w:val="00E915E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915E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915E6"/>
    <w:rPr>
      <w:smallCaps/>
      <w:color w:val="auto"/>
      <w:u w:val="single"/>
    </w:rPr>
  </w:style>
  <w:style w:type="character" w:styleId="IntenseReference">
    <w:name w:val="Intense Reference"/>
    <w:basedOn w:val="DefaultParagraphFont"/>
    <w:uiPriority w:val="32"/>
    <w:qFormat/>
    <w:rsid w:val="00E915E6"/>
    <w:rPr>
      <w:b/>
      <w:bCs/>
      <w:smallCaps/>
      <w:color w:val="auto"/>
      <w:spacing w:val="5"/>
      <w:u w:val="single"/>
    </w:rPr>
  </w:style>
  <w:style w:type="paragraph" w:customStyle="1" w:styleId="2ColumnHeading">
    <w:name w:val="2Column Heading"/>
    <w:basedOn w:val="BodyText"/>
    <w:qFormat/>
    <w:rsid w:val="00E915E6"/>
    <w:pPr>
      <w:spacing w:after="60"/>
      <w:ind w:left="-2268"/>
    </w:pPr>
    <w:rPr>
      <w:b/>
    </w:rPr>
  </w:style>
  <w:style w:type="paragraph" w:customStyle="1" w:styleId="Heading1TOC">
    <w:name w:val="Heading1 TOC"/>
    <w:basedOn w:val="Normal"/>
    <w:qFormat/>
    <w:rsid w:val="00E915E6"/>
    <w:pPr>
      <w:spacing w:before="240" w:after="120"/>
    </w:pPr>
    <w:rPr>
      <w:rFonts w:ascii="Times New Roman" w:hAnsi="Times New Roman"/>
      <w:b/>
      <w:sz w:val="32"/>
    </w:rPr>
  </w:style>
  <w:style w:type="paragraph" w:customStyle="1" w:styleId="Heading2TOC">
    <w:name w:val="Heading2 TOC"/>
    <w:basedOn w:val="Normal"/>
    <w:qFormat/>
    <w:rsid w:val="00E915E6"/>
    <w:pPr>
      <w:spacing w:before="240" w:after="60"/>
    </w:pPr>
    <w:rPr>
      <w:rFonts w:ascii="Times New Roman" w:hAnsi="Times New Roman"/>
      <w:b/>
      <w:sz w:val="28"/>
    </w:rPr>
  </w:style>
  <w:style w:type="character" w:customStyle="1" w:styleId="Underline">
    <w:name w:val="Underline"/>
    <w:basedOn w:val="DefaultParagraphFont"/>
    <w:qFormat/>
    <w:rsid w:val="00E915E6"/>
    <w:rPr>
      <w:u w:val="single"/>
    </w:rPr>
  </w:style>
  <w:style w:type="character" w:customStyle="1" w:styleId="BoldandItalics">
    <w:name w:val="Bold and Italics"/>
    <w:qFormat/>
    <w:rsid w:val="00E915E6"/>
    <w:rPr>
      <w:b/>
      <w:i/>
      <w:u w:val="none"/>
    </w:rPr>
  </w:style>
  <w:style w:type="paragraph" w:styleId="BalloonText">
    <w:name w:val="Balloon Text"/>
    <w:basedOn w:val="Normal"/>
    <w:link w:val="BalloonTextChar"/>
    <w:rsid w:val="00E915E6"/>
    <w:rPr>
      <w:rFonts w:ascii="Tahoma" w:hAnsi="Tahoma" w:cs="Tahoma"/>
      <w:sz w:val="16"/>
      <w:szCs w:val="16"/>
    </w:rPr>
  </w:style>
  <w:style w:type="character" w:customStyle="1" w:styleId="BalloonTextChar">
    <w:name w:val="Balloon Text Char"/>
    <w:basedOn w:val="DefaultParagraphFont"/>
    <w:link w:val="BalloonText"/>
    <w:rsid w:val="00E915E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915E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915E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915E6"/>
    <w:rPr>
      <w:b/>
      <w:color w:val="660033"/>
      <w:spacing w:val="0"/>
    </w:rPr>
  </w:style>
  <w:style w:type="paragraph" w:customStyle="1" w:styleId="Nameditemlist">
    <w:name w:val="Named item list"/>
    <w:basedOn w:val="BodyText"/>
    <w:qFormat/>
    <w:rsid w:val="00E915E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1225</Words>
  <Characters>7498</Characters>
  <Application>Microsoft Office Word</Application>
  <DocSecurity>0</DocSecurity>
  <Lines>313</Lines>
  <Paragraphs>167</Paragraphs>
  <ScaleCrop>false</ScaleCrop>
  <Company>Author-it Software Corporation Ltd.</Company>
  <LinksUpToDate>false</LinksUpToDate>
  <CharactersWithSpaces>8622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PMAOPS340 Operate cryogenic processes</dc:title>
  <dc:subject>Approved</dc:subject>
  <dc:creator>Manufacturing Skills Australia</dc:creator>
  <cp:keywords>Release: 1</cp:keywords>
  <dc:description>Review Date: 12 April 2008</dc:description>
  <cp:lastModifiedBy>HSD_TPCMSd.prod</cp:lastModifiedBy>
  <cp:revision>3</cp:revision>
  <dcterms:created xsi:type="dcterms:W3CDTF">2016-06-02T05:36:00Z</dcterms:created>
  <dcterms:modified xsi:type="dcterms:W3CDTF">2016-06-02T05:36:00Z</dcterms:modified>
</cp:coreProperties>
</file>