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2AB4" w:rsidP="00382A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PMAOPS336 Operate and troubleshoot fixed-bed adsorption system</w:t>
      </w:r>
      <w:r>
        <w:fldChar w:fldCharType="end"/>
      </w:r>
    </w:p>
    <w:p w:rsidR="00382AB4" w:rsidP="00382AB4">
      <w:pPr>
        <w:pStyle w:val="Version"/>
        <w:sectPr w:rsidSect="004964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64FF" w:rsidP="004964FF">
      <w:pPr>
        <w:pStyle w:val="SuperHeading"/>
      </w:pPr>
      <w:r w:rsidRPr="004964FF">
        <w:t>Assessment Requirements for PMAOPS336 Operate and troubleshoot fixed-bed adsorption system</w:t>
      </w:r>
    </w:p>
    <w:p w:rsidR="00000000" w:rsidRPr="004964FF" w:rsidP="004964FF">
      <w:pPr>
        <w:pStyle w:val="Heading1"/>
      </w:pPr>
      <w:bookmarkStart w:id="1" w:name="O_1072423"/>
      <w:bookmarkEnd w:id="1"/>
      <w:r w:rsidRPr="004964FF">
        <w:t>Modification History</w:t>
      </w:r>
    </w:p>
    <w:p w:rsidR="00000000" w:rsidRPr="004964FF" w:rsidP="00382AB4">
      <w:pPr>
        <w:pStyle w:val="BodyText"/>
      </w:pPr>
      <w:r w:rsidRPr="004964FF">
        <w:t>Release 1. Unit code and title changed. Application an</w:t>
      </w:r>
      <w:r w:rsidRPr="004964FF">
        <w:t>d Performance Criteria changed. Range of Conditions removed. Assessment Requirements changed. Supersedes and is equivalent to PMAOPS327 Operate fixed bed adsorption unit.</w:t>
      </w:r>
    </w:p>
    <w:p w:rsidR="00000000" w:rsidRPr="004964FF" w:rsidP="004964FF">
      <w:pPr>
        <w:pStyle w:val="Heading1"/>
      </w:pPr>
      <w:bookmarkStart w:id="2" w:name="O_1072424"/>
      <w:bookmarkEnd w:id="2"/>
      <w:r w:rsidRPr="004964FF">
        <w:t>Performance Evidence</w:t>
      </w:r>
    </w:p>
    <w:p w:rsidR="00000000" w:rsidRPr="004964FF" w:rsidP="00382AB4">
      <w:pPr>
        <w:pStyle w:val="BodyText"/>
      </w:pPr>
      <w:r w:rsidRPr="004964FF">
        <w:t>There must be evidence the candidate has comp</w:t>
      </w:r>
      <w:r w:rsidRPr="004964FF">
        <w:t>leted the tasks outlined in the elements and performance criteria of this unit:</w:t>
      </w:r>
    </w:p>
    <w:p w:rsidR="00000000" w:rsidRPr="004964FF" w:rsidP="004964FF">
      <w:pPr>
        <w:pStyle w:val="ListBullet"/>
      </w:pPr>
      <w:r w:rsidRPr="004964FF">
        <w:t>at least 2 times, each in a separate work context.</w:t>
      </w:r>
    </w:p>
    <w:p w:rsidR="00000000" w:rsidRPr="004964FF" w:rsidP="004964FF">
      <w:pPr>
        <w:pStyle w:val="AllowPageBreak"/>
      </w:pPr>
    </w:p>
    <w:p w:rsidR="00000000" w:rsidRPr="004964FF" w:rsidP="004964FF">
      <w:pPr>
        <w:pStyle w:val="Heading1"/>
      </w:pPr>
      <w:bookmarkStart w:id="3" w:name="O_1072425"/>
      <w:bookmarkEnd w:id="3"/>
      <w:r w:rsidRPr="004964FF">
        <w:t>Knowledge Evidence</w:t>
      </w:r>
    </w:p>
    <w:p w:rsidR="00000000" w:rsidRPr="004964FF" w:rsidP="00382AB4">
      <w:pPr>
        <w:pStyle w:val="BodyText"/>
      </w:pPr>
      <w:r w:rsidRPr="004964FF">
        <w:t>There must be evidence the candidate has knowledge of:</w:t>
      </w:r>
    </w:p>
    <w:p w:rsidR="00000000" w:rsidRPr="004964FF" w:rsidP="004964FF">
      <w:pPr>
        <w:pStyle w:val="ListBullet"/>
      </w:pPr>
      <w:r w:rsidRPr="004964FF">
        <w:t>all items on a schematic of th</w:t>
      </w:r>
      <w:r w:rsidRPr="004964FF">
        <w:t>e fixed-bed adsorption system, including:</w:t>
      </w:r>
    </w:p>
    <w:p w:rsidR="00000000" w:rsidRPr="004964FF" w:rsidP="004964FF">
      <w:pPr>
        <w:pStyle w:val="ListBullet2"/>
      </w:pPr>
      <w:r w:rsidRPr="004964FF">
        <w:t>type of adsorber, the component plant items and their functions</w:t>
      </w:r>
    </w:p>
    <w:p w:rsidR="00000000" w:rsidRPr="004964FF" w:rsidP="004964FF">
      <w:pPr>
        <w:pStyle w:val="ListBullet2"/>
      </w:pPr>
      <w:r w:rsidRPr="004964FF">
        <w:t>principles of operation of dehydrator, gas treatment and extraction, including hydrate formation, adsorption and desorption</w:t>
      </w:r>
    </w:p>
    <w:p w:rsidR="00000000" w:rsidRPr="004964FF" w:rsidP="004964FF">
      <w:pPr>
        <w:pStyle w:val="ListBullet2"/>
      </w:pPr>
      <w:r w:rsidRPr="004964FF">
        <w:t xml:space="preserve">operating parameters and </w:t>
      </w:r>
      <w:r w:rsidRPr="004964FF">
        <w:t>integrity limits, product specifications and tolerances including temperature, pressure and flow</w:t>
      </w:r>
    </w:p>
    <w:p w:rsidR="00000000" w:rsidRPr="004964FF" w:rsidP="004964FF">
      <w:pPr>
        <w:pStyle w:val="ListBullet2"/>
      </w:pPr>
      <w:r w:rsidRPr="004964FF">
        <w:t xml:space="preserve">procedures for starting, stopping, operating, controlling and isolating the system </w:t>
      </w:r>
    </w:p>
    <w:p w:rsidR="00000000" w:rsidRPr="004964FF" w:rsidP="004964FF">
      <w:pPr>
        <w:pStyle w:val="ListBullet2"/>
      </w:pPr>
      <w:r w:rsidRPr="004964FF">
        <w:t xml:space="preserve">emergency shutdown procedures </w:t>
      </w:r>
    </w:p>
    <w:p w:rsidR="00000000" w:rsidRPr="004964FF" w:rsidP="004964FF">
      <w:pPr>
        <w:pStyle w:val="ListBullet2"/>
      </w:pPr>
      <w:r w:rsidRPr="004964FF">
        <w:t>function of major components and troubleshooting techniques</w:t>
      </w:r>
    </w:p>
    <w:p w:rsidR="00000000" w:rsidRPr="004964FF" w:rsidP="004964FF">
      <w:pPr>
        <w:pStyle w:val="ListBullet2"/>
      </w:pPr>
      <w:r w:rsidRPr="004964FF">
        <w:t>process control philosophies and strategies</w:t>
      </w:r>
    </w:p>
    <w:p w:rsidR="00000000" w:rsidRPr="004964FF" w:rsidP="004964FF">
      <w:pPr>
        <w:pStyle w:val="ListBullet2"/>
      </w:pPr>
      <w:r w:rsidRPr="004964FF">
        <w:t>interactions between plant items and processes</w:t>
      </w:r>
    </w:p>
    <w:p w:rsidR="00000000" w:rsidRPr="004964FF" w:rsidP="004964FF">
      <w:pPr>
        <w:pStyle w:val="ListBullet"/>
      </w:pPr>
      <w:r w:rsidRPr="004964FF">
        <w:t xml:space="preserve">physics and chemistry to the level of being able to provide an overview of the science of the fixed-bed </w:t>
      </w:r>
      <w:r w:rsidRPr="004964FF">
        <w:t xml:space="preserve">adsorption process </w:t>
      </w:r>
    </w:p>
    <w:p w:rsidR="00000000" w:rsidRPr="004964FF" w:rsidP="004964FF">
      <w:pPr>
        <w:pStyle w:val="ListBullet"/>
      </w:pPr>
      <w:r w:rsidRPr="004964FF">
        <w:t>adsorption abnormal situations and required action, including but not limited to:</w:t>
      </w:r>
    </w:p>
    <w:p w:rsidR="00000000" w:rsidRPr="004964FF" w:rsidP="004964FF">
      <w:pPr>
        <w:pStyle w:val="ListBullet2"/>
      </w:pPr>
      <w:r w:rsidRPr="004964FF">
        <w:t>variation and loss of feed</w:t>
      </w:r>
    </w:p>
    <w:p w:rsidR="00000000" w:rsidRPr="004964FF" w:rsidP="004964FF">
      <w:pPr>
        <w:pStyle w:val="ListBullet2"/>
      </w:pPr>
      <w:r w:rsidRPr="004964FF">
        <w:t>unstable control of pressure, temperature level and flows</w:t>
      </w:r>
    </w:p>
    <w:p w:rsidR="00000000" w:rsidRPr="004964FF" w:rsidP="004964FF">
      <w:pPr>
        <w:pStyle w:val="ListBullet2"/>
      </w:pPr>
      <w:r w:rsidRPr="004964FF">
        <w:t xml:space="preserve">control equipment failure </w:t>
      </w:r>
    </w:p>
    <w:p w:rsidR="00000000" w:rsidRPr="004964FF" w:rsidP="004964FF">
      <w:pPr>
        <w:pStyle w:val="ListBullet2"/>
      </w:pPr>
      <w:r w:rsidRPr="004964FF">
        <w:t>process plant trips</w:t>
      </w:r>
    </w:p>
    <w:p w:rsidR="00000000" w:rsidRPr="004964FF" w:rsidP="004964FF">
      <w:pPr>
        <w:pStyle w:val="ListBullet2"/>
      </w:pPr>
      <w:r w:rsidRPr="004964FF">
        <w:t>change in atmospheric</w:t>
      </w:r>
      <w:r w:rsidRPr="004964FF">
        <w:t xml:space="preserve"> conditions (rain, temperature, wind, lightning)</w:t>
      </w:r>
    </w:p>
    <w:p w:rsidR="00000000" w:rsidRPr="004964FF" w:rsidP="004964FF">
      <w:pPr>
        <w:pStyle w:val="ListBullet2"/>
      </w:pPr>
      <w:r w:rsidRPr="004964FF">
        <w:t>emergency situations</w:t>
      </w:r>
    </w:p>
    <w:p w:rsidR="00000000" w:rsidRPr="004964FF" w:rsidP="004964FF">
      <w:pPr>
        <w:pStyle w:val="ListBullet2"/>
      </w:pPr>
      <w:r w:rsidRPr="004964FF">
        <w:t>desiccant contamination</w:t>
      </w:r>
    </w:p>
    <w:p w:rsidR="00000000" w:rsidRPr="004964FF" w:rsidP="004964FF">
      <w:pPr>
        <w:pStyle w:val="ListBullet2"/>
      </w:pPr>
      <w:r w:rsidRPr="004964FF">
        <w:t>desiccant damage and bed collapse (over pressuring)</w:t>
      </w:r>
    </w:p>
    <w:p w:rsidR="00000000" w:rsidRPr="004964FF" w:rsidP="004964FF">
      <w:pPr>
        <w:pStyle w:val="ListBullet2"/>
      </w:pPr>
      <w:r w:rsidRPr="004964FF">
        <w:t>poor regeneration (flow, heat, cooling)</w:t>
      </w:r>
    </w:p>
    <w:p w:rsidR="00000000" w:rsidRPr="004964FF" w:rsidP="004964FF">
      <w:pPr>
        <w:pStyle w:val="ListBullet2"/>
      </w:pPr>
      <w:r w:rsidRPr="004964FF">
        <w:t>problem with major component</w:t>
      </w:r>
    </w:p>
    <w:p w:rsidR="00000000" w:rsidRPr="004964FF" w:rsidP="004964FF">
      <w:pPr>
        <w:pStyle w:val="ListBullet"/>
      </w:pPr>
      <w:r w:rsidRPr="004964FF">
        <w:t>hierarchy of control</w:t>
      </w:r>
    </w:p>
    <w:p w:rsidR="00000000" w:rsidRPr="004964FF" w:rsidP="004964FF">
      <w:pPr>
        <w:pStyle w:val="ListBullet"/>
      </w:pPr>
      <w:r w:rsidRPr="004964FF">
        <w:t>adsorber system hazards:</w:t>
      </w:r>
    </w:p>
    <w:p w:rsidR="00000000" w:rsidRPr="004964FF" w:rsidP="004964FF">
      <w:pPr>
        <w:pStyle w:val="ListBullet2"/>
      </w:pPr>
      <w:r w:rsidRPr="004964FF">
        <w:t xml:space="preserve">possible causes </w:t>
      </w:r>
    </w:p>
    <w:p w:rsidR="00000000" w:rsidRPr="004964FF" w:rsidP="004964FF">
      <w:pPr>
        <w:pStyle w:val="ListBullet2"/>
      </w:pPr>
      <w:r w:rsidRPr="004964FF">
        <w:t>potential consequences</w:t>
      </w:r>
    </w:p>
    <w:p w:rsidR="00000000" w:rsidRPr="004964FF" w:rsidP="004964FF">
      <w:pPr>
        <w:pStyle w:val="ListBullet2"/>
      </w:pPr>
      <w:r w:rsidRPr="004964FF">
        <w:t>appropriate risk controls</w:t>
      </w:r>
    </w:p>
    <w:p w:rsidR="00000000" w:rsidRPr="004964FF" w:rsidP="004964FF">
      <w:pPr>
        <w:pStyle w:val="ListBullet2"/>
      </w:pPr>
      <w:r w:rsidRPr="004964FF">
        <w:t>reporting and escalation procedures.</w:t>
      </w:r>
    </w:p>
    <w:p w:rsidR="00000000" w:rsidRPr="004964FF" w:rsidP="004964FF">
      <w:pPr>
        <w:pStyle w:val="AllowPageBreak"/>
      </w:pPr>
    </w:p>
    <w:p w:rsidR="00000000" w:rsidRPr="004964FF" w:rsidP="004964FF">
      <w:pPr>
        <w:pStyle w:val="Heading1"/>
      </w:pPr>
      <w:bookmarkStart w:id="4" w:name="O_1072426"/>
      <w:bookmarkEnd w:id="4"/>
      <w:r w:rsidRPr="004964FF">
        <w:t>Assessment Conditions</w:t>
      </w:r>
    </w:p>
    <w:p w:rsidR="00000000" w:rsidRPr="004964FF" w:rsidP="00382AB4">
      <w:pPr>
        <w:pStyle w:val="BodyText"/>
      </w:pPr>
      <w:r w:rsidRPr="004964FF">
        <w:t>Skills must have been demonstrated in the workplace or in a simulated environment that</w:t>
      </w:r>
      <w:r w:rsidRPr="004964FF">
        <w:t xml:space="preserve"> reflects workplace conditions and contingencies. The following conditions must be met for this unit: </w:t>
      </w:r>
    </w:p>
    <w:p w:rsidR="00000000" w:rsidRPr="004964FF" w:rsidP="004964FF">
      <w:pPr>
        <w:pStyle w:val="ListBullet"/>
      </w:pPr>
      <w:r w:rsidRPr="004964FF">
        <w:t xml:space="preserve">use of suitable facilities, equipment and resources, including: </w:t>
      </w:r>
    </w:p>
    <w:p w:rsidR="00000000" w:rsidRPr="004964FF" w:rsidP="004964FF">
      <w:pPr>
        <w:pStyle w:val="ListBullet2"/>
      </w:pPr>
      <w:r w:rsidRPr="004964FF">
        <w:t>fixed-bed adsorption system</w:t>
      </w:r>
    </w:p>
    <w:p w:rsidR="00000000" w:rsidRPr="004964FF" w:rsidP="004964FF">
      <w:pPr>
        <w:pStyle w:val="ListBullet2"/>
      </w:pPr>
      <w:r w:rsidRPr="004964FF">
        <w:t>operating procedures</w:t>
      </w:r>
    </w:p>
    <w:p w:rsidR="00000000" w:rsidRPr="004964FF" w:rsidP="004964FF">
      <w:pPr>
        <w:pStyle w:val="ListBullet"/>
      </w:pPr>
      <w:r w:rsidRPr="004964FF">
        <w:t>abnormal situations must be relevant to fixed-bed adsorption systems.</w:t>
      </w:r>
    </w:p>
    <w:p w:rsidR="00000000" w:rsidRPr="004964FF" w:rsidP="004964FF">
      <w:pPr>
        <w:pStyle w:val="BodyText"/>
      </w:pPr>
    </w:p>
    <w:p w:rsidR="00000000" w:rsidRPr="004964FF" w:rsidP="00382AB4">
      <w:pPr>
        <w:pStyle w:val="BodyText"/>
      </w:pPr>
      <w:r w:rsidRPr="004964FF">
        <w:t>Assessors must satisfy the NVR/AQTF mandatory competency requirements for assessors.</w:t>
      </w:r>
    </w:p>
    <w:p w:rsidR="00000000" w:rsidRPr="004964FF" w:rsidP="004964FF">
      <w:pPr>
        <w:pStyle w:val="Heading1"/>
      </w:pPr>
      <w:bookmarkStart w:id="5" w:name="O_1072429"/>
      <w:bookmarkEnd w:id="5"/>
      <w:r w:rsidRPr="004964FF">
        <w:t>Links</w:t>
      </w:r>
    </w:p>
    <w:p w:rsidR="00000000" w:rsidRPr="004964FF" w:rsidP="00382AB4">
      <w:pPr>
        <w:pStyle w:val="BodyText"/>
      </w:pPr>
      <w:r w:rsidRPr="004964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6D22F2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4964FF" w:rsidP="004964FF"/>
    <w:sectPr w:rsidSect="004964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4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4FF" w:rsidRPr="00382AB4" w:rsidP="00382A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4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AB4" w:rsidP="004964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2AB4" w:rsidP="004964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82AB4" w:rsidP="004964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4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A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64FF" w:rsidRPr="00382AB4" w:rsidP="00382A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4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AB4" w:rsidRPr="002D2AF8" w:rsidP="004964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PMAOPS336 Operate and troubleshoot fixed-bed adsorption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382AB4" w:rsidP="004964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ECDE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145E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6ACF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4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64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64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64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64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64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64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64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64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64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64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64FF"/>
  </w:style>
  <w:style w:type="character" w:customStyle="1" w:styleId="Heading1Char">
    <w:name w:val="Heading 1 Char"/>
    <w:basedOn w:val="DefaultParagraphFont"/>
    <w:link w:val="Heading1"/>
    <w:rsid w:val="004964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64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64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64F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64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64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64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64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64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64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64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64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64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64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64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64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64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64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64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64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64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64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64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64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64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64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64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64FF"/>
    <w:rPr>
      <w:b/>
      <w:spacing w:val="0"/>
    </w:rPr>
  </w:style>
  <w:style w:type="paragraph" w:customStyle="1" w:styleId="SuperTitle">
    <w:name w:val="SuperTitle"/>
    <w:basedOn w:val="Title"/>
    <w:rsid w:val="004964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64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64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64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64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64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64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64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64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64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64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64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64FF"/>
    <w:rPr>
      <w:i/>
    </w:rPr>
  </w:style>
  <w:style w:type="paragraph" w:styleId="Caption">
    <w:name w:val="caption"/>
    <w:basedOn w:val="BodyText"/>
    <w:next w:val="Normal"/>
    <w:qFormat/>
    <w:rsid w:val="004964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64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64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64FF"/>
  </w:style>
  <w:style w:type="paragraph" w:styleId="TableofFigures">
    <w:name w:val="table of figures"/>
    <w:basedOn w:val="Normal"/>
    <w:next w:val="Normal"/>
    <w:semiHidden/>
    <w:rsid w:val="004964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64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64FF"/>
    <w:rPr>
      <w:rFonts w:ascii="Wingdings" w:hAnsi="Wingdings"/>
    </w:rPr>
  </w:style>
  <w:style w:type="paragraph" w:customStyle="1" w:styleId="TableHeading">
    <w:name w:val="Table Heading"/>
    <w:basedOn w:val="HeadingBase"/>
    <w:rsid w:val="004964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64FF"/>
    <w:rPr>
      <w:color w:val="0033CC"/>
      <w:u w:val="none"/>
    </w:rPr>
  </w:style>
  <w:style w:type="paragraph" w:customStyle="1" w:styleId="BodyTextRight">
    <w:name w:val="Body Text Right"/>
    <w:basedOn w:val="BodyText"/>
    <w:rsid w:val="004964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64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64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64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64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64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64FF"/>
    <w:rPr>
      <w:sz w:val="32"/>
    </w:rPr>
  </w:style>
  <w:style w:type="paragraph" w:customStyle="1" w:styleId="HeadingProcedure">
    <w:name w:val="Heading Procedure"/>
    <w:basedOn w:val="HeadingBase"/>
    <w:next w:val="Normal"/>
    <w:rsid w:val="004964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64FF"/>
    <w:pPr>
      <w:spacing w:before="60" w:after="60"/>
    </w:pPr>
  </w:style>
  <w:style w:type="paragraph" w:styleId="ListContinue">
    <w:name w:val="List Continue"/>
    <w:basedOn w:val="List"/>
    <w:rsid w:val="004964FF"/>
    <w:pPr>
      <w:ind w:firstLine="0"/>
    </w:pPr>
  </w:style>
  <w:style w:type="paragraph" w:customStyle="1" w:styleId="ListNote">
    <w:name w:val="List Note"/>
    <w:basedOn w:val="List"/>
    <w:rsid w:val="004964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64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64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64FF"/>
    <w:rPr>
      <w:rFonts w:ascii="Courier New" w:hAnsi="Courier New"/>
    </w:rPr>
  </w:style>
  <w:style w:type="paragraph" w:customStyle="1" w:styleId="NoteBullet">
    <w:name w:val="Note Bullet"/>
    <w:basedOn w:val="Note"/>
    <w:rsid w:val="004964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64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64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64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64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64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64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64FF"/>
    <w:rPr>
      <w:b/>
      <w:smallCaps/>
    </w:rPr>
  </w:style>
  <w:style w:type="paragraph" w:customStyle="1" w:styleId="TableListNumber">
    <w:name w:val="Table List Number"/>
    <w:basedOn w:val="ListNumber"/>
    <w:rsid w:val="004964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64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64FF"/>
    <w:pPr>
      <w:numPr>
        <w:numId w:val="9"/>
      </w:numPr>
    </w:pPr>
  </w:style>
  <w:style w:type="paragraph" w:customStyle="1" w:styleId="ListAlpha2">
    <w:name w:val="List Alpha 2"/>
    <w:basedOn w:val="List2"/>
    <w:rsid w:val="004964FF"/>
    <w:pPr>
      <w:numPr>
        <w:numId w:val="8"/>
      </w:numPr>
    </w:pPr>
  </w:style>
  <w:style w:type="paragraph" w:styleId="List2">
    <w:name w:val="List 2"/>
    <w:basedOn w:val="BodyText"/>
    <w:rsid w:val="004964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64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64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64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64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64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64FF"/>
    <w:pPr>
      <w:numPr>
        <w:numId w:val="4"/>
      </w:numPr>
    </w:pPr>
  </w:style>
  <w:style w:type="paragraph" w:styleId="ListContinue2">
    <w:name w:val="List Continue 2"/>
    <w:basedOn w:val="List2"/>
    <w:rsid w:val="004964FF"/>
    <w:pPr>
      <w:ind w:firstLine="0"/>
    </w:pPr>
  </w:style>
  <w:style w:type="paragraph" w:styleId="ListContinue3">
    <w:name w:val="List Continue 3"/>
    <w:basedOn w:val="List3"/>
    <w:rsid w:val="004964FF"/>
    <w:pPr>
      <w:ind w:left="1021" w:firstLine="0"/>
    </w:pPr>
  </w:style>
  <w:style w:type="paragraph" w:styleId="ListContinue4">
    <w:name w:val="List Continue 4"/>
    <w:basedOn w:val="List4"/>
    <w:rsid w:val="004964FF"/>
    <w:pPr>
      <w:ind w:firstLine="0"/>
    </w:pPr>
  </w:style>
  <w:style w:type="paragraph" w:styleId="ListContinue5">
    <w:name w:val="List Continue 5"/>
    <w:basedOn w:val="List5"/>
    <w:rsid w:val="004964FF"/>
    <w:pPr>
      <w:ind w:firstLine="0"/>
    </w:pPr>
  </w:style>
  <w:style w:type="paragraph" w:styleId="ListNumber3">
    <w:name w:val="List Number 3"/>
    <w:basedOn w:val="List3"/>
    <w:rsid w:val="004964FF"/>
    <w:pPr>
      <w:numPr>
        <w:numId w:val="5"/>
      </w:numPr>
    </w:pPr>
  </w:style>
  <w:style w:type="paragraph" w:styleId="ListNumber4">
    <w:name w:val="List Number 4"/>
    <w:basedOn w:val="List4"/>
    <w:rsid w:val="004964FF"/>
    <w:pPr>
      <w:numPr>
        <w:numId w:val="6"/>
      </w:numPr>
    </w:pPr>
  </w:style>
  <w:style w:type="paragraph" w:styleId="ListNumber5">
    <w:name w:val="List Number 5"/>
    <w:basedOn w:val="List5"/>
    <w:rsid w:val="004964FF"/>
    <w:pPr>
      <w:numPr>
        <w:numId w:val="7"/>
      </w:numPr>
    </w:pPr>
  </w:style>
  <w:style w:type="paragraph" w:styleId="BlockText">
    <w:name w:val="Block Text"/>
    <w:basedOn w:val="Normal"/>
    <w:rsid w:val="004964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64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64FF"/>
    <w:rPr>
      <w:sz w:val="16"/>
      <w:vertAlign w:val="superscript"/>
    </w:rPr>
  </w:style>
  <w:style w:type="character" w:customStyle="1" w:styleId="Symbols">
    <w:name w:val="Symbols"/>
    <w:basedOn w:val="DefaultParagraphFont"/>
    <w:rsid w:val="004964FF"/>
    <w:rPr>
      <w:rFonts w:ascii="Symbol" w:hAnsi="Symbol"/>
    </w:rPr>
  </w:style>
  <w:style w:type="character" w:customStyle="1" w:styleId="MenuOptions">
    <w:name w:val="Menu Options"/>
    <w:basedOn w:val="DefaultParagraphFont"/>
    <w:rsid w:val="004964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64FF"/>
    <w:rPr>
      <w:b/>
    </w:rPr>
  </w:style>
  <w:style w:type="character" w:customStyle="1" w:styleId="Underlined">
    <w:name w:val="Underlined"/>
    <w:basedOn w:val="DefaultParagraphFont"/>
    <w:rsid w:val="004964FF"/>
    <w:rPr>
      <w:u w:val="single"/>
    </w:rPr>
  </w:style>
  <w:style w:type="paragraph" w:customStyle="1" w:styleId="TableBodyTextRight">
    <w:name w:val="Table Body Text Right"/>
    <w:basedOn w:val="TableBodyText"/>
    <w:rsid w:val="004964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64FF"/>
    <w:rPr>
      <w:sz w:val="18"/>
    </w:rPr>
  </w:style>
  <w:style w:type="paragraph" w:customStyle="1" w:styleId="BodySmallRight">
    <w:name w:val="Body Small Right"/>
    <w:basedOn w:val="BodyTextRight"/>
    <w:rsid w:val="004964FF"/>
    <w:rPr>
      <w:sz w:val="18"/>
      <w:szCs w:val="18"/>
    </w:rPr>
  </w:style>
  <w:style w:type="paragraph" w:customStyle="1" w:styleId="MarginEdition">
    <w:name w:val="Margin Edition"/>
    <w:basedOn w:val="MarginNote"/>
    <w:rsid w:val="004964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64FF"/>
    <w:rPr>
      <w:sz w:val="2"/>
      <w:szCs w:val="2"/>
    </w:rPr>
  </w:style>
  <w:style w:type="character" w:customStyle="1" w:styleId="Small">
    <w:name w:val="Small"/>
    <w:basedOn w:val="DefaultParagraphFont"/>
    <w:rsid w:val="004964FF"/>
    <w:rPr>
      <w:sz w:val="16"/>
    </w:rPr>
  </w:style>
  <w:style w:type="paragraph" w:customStyle="1" w:styleId="WideTable">
    <w:name w:val="Wide Table"/>
    <w:basedOn w:val="Normal"/>
    <w:rsid w:val="004964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64FF"/>
  </w:style>
  <w:style w:type="paragraph" w:styleId="Quote">
    <w:name w:val="Quote"/>
    <w:basedOn w:val="Heading1"/>
    <w:link w:val="QuoteChar"/>
    <w:qFormat/>
    <w:rsid w:val="004964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64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64FF"/>
    <w:pPr>
      <w:pageBreakBefore/>
    </w:pPr>
  </w:style>
  <w:style w:type="paragraph" w:customStyle="1" w:styleId="Border">
    <w:name w:val="Border"/>
    <w:basedOn w:val="Normal"/>
    <w:qFormat/>
    <w:rsid w:val="004964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64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4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4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64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64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64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64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64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64FF"/>
    <w:rPr>
      <w:u w:val="single"/>
    </w:rPr>
  </w:style>
  <w:style w:type="character" w:customStyle="1" w:styleId="BoldandItalics">
    <w:name w:val="Bold and Italics"/>
    <w:qFormat/>
    <w:rsid w:val="004964FF"/>
    <w:rPr>
      <w:b/>
      <w:i/>
      <w:u w:val="none"/>
    </w:rPr>
  </w:style>
  <w:style w:type="paragraph" w:styleId="BalloonText">
    <w:name w:val="Balloon Text"/>
    <w:basedOn w:val="Normal"/>
    <w:link w:val="BalloonTextChar"/>
    <w:rsid w:val="004964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64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64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64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64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64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64FF"/>
    <w:pPr>
      <w:spacing w:before="0" w:after="0"/>
    </w:pPr>
  </w:style>
  <w:style w:type="paragraph" w:customStyle="1" w:styleId="BodyTextBold">
    <w:name w:val="Body Text Bold"/>
    <w:basedOn w:val="BodyText"/>
    <w:qFormat/>
    <w:rsid w:val="004964FF"/>
    <w:rPr>
      <w:b/>
    </w:rPr>
  </w:style>
  <w:style w:type="character" w:styleId="Hyperlink">
    <w:name w:val="Hyperlink"/>
    <w:basedOn w:val="DefaultParagraphFont"/>
    <w:uiPriority w:val="99"/>
    <w:unhideWhenUsed/>
    <w:rsid w:val="00382A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2522</Characters>
  <Application>Microsoft Office Word</Application>
  <DocSecurity>0</DocSecurity>
  <Lines>68</Lines>
  <Paragraphs>55</Paragraphs>
  <ScaleCrop>false</ScaleCrop>
  <Company>Author-it Software Corporation Ltd.</Company>
  <LinksUpToDate>false</LinksUpToDate>
  <CharactersWithSpaces>2832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PMAOPS336 Operate and troubleshoot fixed-bed adsorption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2022-09-21T04:54:00Z</dcterms:created>
  <dcterms:modified xsi:type="dcterms:W3CDTF">2022-09-21T04:54:00Z</dcterms:modified>
</cp:coreProperties>
</file>