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871" w:rsidP="00851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PMAOPS332 Generate electrical power</w:t>
      </w:r>
      <w:r>
        <w:fldChar w:fldCharType="end"/>
      </w:r>
    </w:p>
    <w:p w:rsidR="00851871" w:rsidP="00851871">
      <w:pPr>
        <w:pStyle w:val="Version"/>
        <w:sectPr w:rsidSect="00765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C60" w:rsidP="00765C60">
      <w:pPr>
        <w:pStyle w:val="SuperHeading"/>
      </w:pPr>
      <w:r w:rsidRPr="00765C60">
        <w:t>PMAOPS332 Generate electrical power</w:t>
      </w:r>
    </w:p>
    <w:p w:rsidR="00000000" w:rsidRPr="00765C60" w:rsidP="00765C60">
      <w:pPr>
        <w:pStyle w:val="Heading1"/>
      </w:pPr>
      <w:bookmarkStart w:id="1" w:name="O_1072375"/>
      <w:bookmarkEnd w:id="1"/>
      <w:r w:rsidRPr="00765C60">
        <w:t>Modification History</w:t>
      </w:r>
    </w:p>
    <w:p w:rsidR="00000000" w:rsidRPr="00765C60" w:rsidP="00851871">
      <w:pPr>
        <w:pStyle w:val="BodyText"/>
      </w:pPr>
      <w:r w:rsidRPr="00765C60">
        <w:t>Release 1. Unit code and changed. Performance Criteria changed. Range of Conditions removed. Assessment Requirements changed. Supersedes and is equivalent to PMAOPS325 Generate electrical power.</w:t>
      </w:r>
    </w:p>
    <w:p w:rsidR="00000000" w:rsidRPr="00765C60" w:rsidP="00765C60">
      <w:pPr>
        <w:pStyle w:val="Heading1"/>
      </w:pPr>
      <w:bookmarkStart w:id="2" w:name="O_1072376"/>
      <w:bookmarkEnd w:id="2"/>
      <w:r w:rsidRPr="00765C60">
        <w:t>Application</w:t>
      </w:r>
    </w:p>
    <w:p w:rsidR="00000000" w:rsidRPr="00765C60" w:rsidP="00851871">
      <w:pPr>
        <w:pStyle w:val="BodyText"/>
      </w:pPr>
      <w:r w:rsidRPr="00765C60">
        <w:t>This unit</w:t>
      </w:r>
      <w:r w:rsidRPr="00765C60">
        <w:t xml:space="preserve"> describes the skills and knowledge required to operate a power generation system. This unit is expected to apply in offshore, remote or other situations where the site/plant generates electrical power.</w:t>
      </w:r>
    </w:p>
    <w:p w:rsidR="00000000" w:rsidRPr="00765C60" w:rsidP="00851871">
      <w:pPr>
        <w:pStyle w:val="BodyText"/>
      </w:pPr>
      <w:r w:rsidRPr="00765C60">
        <w:t>This unit applies to autonomous operators who are req</w:t>
      </w:r>
      <w:r w:rsidRPr="00765C60">
        <w:t xml:space="preserve">uired to demonstrate a significant understanding of the process and the equipment operation in a plant with local control, or in liaison with the control-room operator in a plant with a centralised control panel. In the case of a large, complex plant, the </w:t>
      </w:r>
      <w:r w:rsidRPr="00765C60">
        <w:t xml:space="preserve">operations technician would be part of a team during startup and shutdown procedures. </w:t>
      </w:r>
    </w:p>
    <w:p w:rsidR="00000000" w:rsidRPr="00765C60" w:rsidP="00851871">
      <w:pPr>
        <w:pStyle w:val="BodyText"/>
      </w:pPr>
      <w:r w:rsidRPr="00765C60">
        <w:t>This unit applies to an individual working alone or as part of a team or group, and working in liaison with other shift team members and the control-room operator.</w:t>
      </w:r>
    </w:p>
    <w:p w:rsidR="00000000" w:rsidRPr="00765C60" w:rsidP="00851871">
      <w:pPr>
        <w:pStyle w:val="BodyText"/>
      </w:pPr>
      <w:r w:rsidRPr="00765C60">
        <w:t>No li</w:t>
      </w:r>
      <w:r w:rsidRPr="00765C60">
        <w:t>censing or certification requirements exist at the time of publication. Relevant legislation, industry standards and codes of practice within Australia must be applied.</w:t>
      </w:r>
    </w:p>
    <w:p w:rsidR="00000000" w:rsidRPr="00765C60" w:rsidP="00765C60">
      <w:pPr>
        <w:pStyle w:val="Heading1"/>
      </w:pPr>
      <w:bookmarkStart w:id="3" w:name="O_1072377"/>
      <w:bookmarkEnd w:id="3"/>
      <w:r w:rsidRPr="00765C60">
        <w:t>Pre-requisite Unit</w:t>
      </w:r>
    </w:p>
    <w:p w:rsidR="00000000" w:rsidRPr="00765C60" w:rsidP="00851871">
      <w:pPr>
        <w:pStyle w:val="BodyText"/>
      </w:pPr>
      <w:r w:rsidRPr="00765C60">
        <w:t>Nil</w:t>
      </w:r>
    </w:p>
    <w:p w:rsidR="00000000" w:rsidRPr="00765C60" w:rsidP="00765C60">
      <w:pPr>
        <w:pStyle w:val="Heading1"/>
      </w:pPr>
      <w:bookmarkStart w:id="4" w:name="O_1072378"/>
      <w:bookmarkEnd w:id="4"/>
      <w:r w:rsidRPr="00765C60">
        <w:t>Competency Field</w:t>
      </w:r>
    </w:p>
    <w:p w:rsidR="00000000" w:rsidRPr="00765C60" w:rsidP="00851871">
      <w:pPr>
        <w:pStyle w:val="BodyText"/>
      </w:pPr>
      <w:r w:rsidRPr="00765C60">
        <w:t>Operation</w:t>
      </w:r>
      <w:r w:rsidRPr="00765C60">
        <w:t>s</w:t>
      </w:r>
    </w:p>
    <w:p w:rsidR="00000000" w:rsidRPr="00765C60" w:rsidP="00765C60">
      <w:pPr>
        <w:pStyle w:val="Heading1"/>
      </w:pPr>
      <w:bookmarkStart w:id="5" w:name="O_1072380"/>
      <w:bookmarkEnd w:id="5"/>
      <w:r w:rsidRPr="00765C6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rPr>
                <w:rStyle w:val="SpecialBold"/>
              </w:rPr>
              <w:t>Performance Criteria</w:t>
            </w:r>
          </w:p>
        </w:tc>
      </w:tr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51871" w:rsidP="00765C60">
            <w:pPr>
              <w:pStyle w:val="BodyText"/>
            </w:pPr>
            <w:r w:rsidRPr="00765C60">
              <w:t>1. Operate power generation system according to procedures</w:t>
            </w:r>
          </w:p>
          <w:p w:rsidR="00851871" w:rsidP="00765C6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t>1.1 Receive and give shift handover</w:t>
            </w:r>
          </w:p>
          <w:p w:rsidR="00000000" w:rsidRPr="00765C60" w:rsidP="00765C60">
            <w:pPr>
              <w:pStyle w:val="BodyText"/>
            </w:pPr>
            <w:r w:rsidRPr="00765C60">
              <w:t>1.2 Communicate with personnel to identify and coordinate work requirements</w:t>
            </w:r>
          </w:p>
          <w:p w:rsidR="00000000" w:rsidRPr="00765C60" w:rsidP="00765C60">
            <w:pPr>
              <w:pStyle w:val="BodyText"/>
            </w:pPr>
            <w:r w:rsidRPr="00765C60">
              <w:t>1.3 Identify, control and report hazards</w:t>
            </w:r>
          </w:p>
          <w:p w:rsidR="00000000" w:rsidRPr="00765C60" w:rsidP="00765C60">
            <w:pPr>
              <w:pStyle w:val="BodyText"/>
            </w:pPr>
            <w:r w:rsidRPr="00765C60">
              <w:t>1.4 Check for recent work undertak</w:t>
            </w:r>
            <w:r w:rsidRPr="00765C60">
              <w:t>en on power generation system and address outstanding and incomplete work</w:t>
            </w:r>
          </w:p>
          <w:p w:rsidR="00000000" w:rsidRPr="00765C60" w:rsidP="00765C60">
            <w:pPr>
              <w:pStyle w:val="BodyText"/>
            </w:pPr>
            <w:r w:rsidRPr="00765C60">
              <w:t>1.5 Check operational status of equipment</w:t>
            </w:r>
          </w:p>
          <w:p w:rsidR="00000000" w:rsidRPr="00765C60" w:rsidP="00765C60">
            <w:pPr>
              <w:pStyle w:val="BodyText"/>
            </w:pPr>
            <w:r w:rsidRPr="00765C60">
              <w:t>1.6 Communicate startup of power generation to personnel</w:t>
            </w:r>
          </w:p>
          <w:p w:rsidR="00000000" w:rsidRPr="00765C60" w:rsidP="00765C60">
            <w:pPr>
              <w:pStyle w:val="BodyText"/>
            </w:pPr>
            <w:r w:rsidRPr="00765C60">
              <w:t>1.7 Select prime mover to be used</w:t>
            </w:r>
          </w:p>
          <w:p w:rsidR="00000000" w:rsidRPr="00765C60" w:rsidP="00765C60">
            <w:pPr>
              <w:pStyle w:val="BodyText"/>
            </w:pPr>
            <w:r w:rsidRPr="00765C60">
              <w:t>1.8 Select system for generation process appropri</w:t>
            </w:r>
            <w:r w:rsidRPr="00765C60">
              <w:t>ate to voltage systems and requirements</w:t>
            </w:r>
          </w:p>
          <w:p w:rsidR="00000000" w:rsidRPr="00765C60" w:rsidP="00765C60">
            <w:pPr>
              <w:pStyle w:val="BodyText"/>
            </w:pPr>
            <w:r w:rsidRPr="00765C60">
              <w:t xml:space="preserve">1.9 Conduct pre-start checks </w:t>
            </w:r>
          </w:p>
          <w:p w:rsidR="00000000" w:rsidRPr="00765C60" w:rsidP="00765C60">
            <w:pPr>
              <w:pStyle w:val="BodyText"/>
            </w:pPr>
            <w:r w:rsidRPr="00765C60">
              <w:t>1.10 Start prime mover for the generation system</w:t>
            </w:r>
          </w:p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1.11 Synchronise all equipment to transfer power safely into the system</w:t>
            </w:r>
          </w:p>
        </w:tc>
      </w:tr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2. Monitor power generation equipment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t>2.1 Balance loads and power factors</w:t>
            </w:r>
          </w:p>
          <w:p w:rsidR="00000000" w:rsidRPr="00765C60" w:rsidP="00765C60">
            <w:pPr>
              <w:pStyle w:val="BodyText"/>
            </w:pPr>
            <w:r w:rsidRPr="00765C60">
              <w:t>2.2 Monitor and adjust loads to ensure that all machine loads are maintained within safe working conditions</w:t>
            </w:r>
          </w:p>
          <w:p w:rsidR="00000000" w:rsidRPr="00765C60" w:rsidP="00765C60">
            <w:pPr>
              <w:pStyle w:val="BodyText"/>
            </w:pPr>
            <w:r w:rsidRPr="00765C60">
              <w:t>2.3 Distribute energy to the generation system in a safe and efficient manner, ensuring that the status of all e</w:t>
            </w:r>
            <w:r w:rsidRPr="00765C60">
              <w:t xml:space="preserve">quipment is monitored </w:t>
            </w:r>
          </w:p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2.4 Rebalance loads to maximise production efficiency</w:t>
            </w:r>
          </w:p>
        </w:tc>
      </w:tr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3.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t>3.1 Monitor generation system frequently and critically throughout shift using own senses, and measured and indica</w:t>
            </w:r>
            <w:r w:rsidRPr="00765C60">
              <w:t xml:space="preserve">ted data </w:t>
            </w:r>
          </w:p>
          <w:p w:rsidR="00000000" w:rsidRPr="00765C60" w:rsidP="00765C60">
            <w:pPr>
              <w:pStyle w:val="BodyText"/>
            </w:pPr>
            <w:r w:rsidRPr="00765C60">
              <w:t>3.2 Monitor field data and instrumentation to ensure that product remains on specification</w:t>
            </w:r>
          </w:p>
          <w:p w:rsidR="00000000" w:rsidRPr="00765C60" w:rsidP="00765C60">
            <w:pPr>
              <w:pStyle w:val="BodyText"/>
            </w:pPr>
            <w:r w:rsidRPr="00765C60">
              <w:t>3.3 Identify impacts of changes upstream and downstream</w:t>
            </w:r>
          </w:p>
          <w:p w:rsidR="00000000" w:rsidRPr="00765C60" w:rsidP="00765C60">
            <w:pPr>
              <w:pStyle w:val="BodyText"/>
            </w:pPr>
            <w:r w:rsidRPr="00765C60">
              <w:t>3.4 Identify actual and developing situations that may require action</w:t>
            </w:r>
          </w:p>
          <w:p w:rsidR="00000000" w:rsidRPr="00765C60" w:rsidP="00765C60">
            <w:pPr>
              <w:pStyle w:val="BodyText"/>
            </w:pPr>
            <w:r w:rsidRPr="00765C60">
              <w:t>3.5 Take action to remedy abn</w:t>
            </w:r>
            <w:r w:rsidRPr="00765C60">
              <w:t>ormal situations according to operating procedures</w:t>
            </w:r>
          </w:p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3.6 Complete required documents outlining abnormal situation management and corrective action taken</w:t>
            </w:r>
          </w:p>
        </w:tc>
      </w:tr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4. Shut down and prepare power generation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t xml:space="preserve">4.1 Prepare power generation system to </w:t>
            </w:r>
            <w:r w:rsidRPr="00765C60">
              <w:t>be shut down according to operating procedures</w:t>
            </w:r>
          </w:p>
          <w:p w:rsidR="00000000" w:rsidRPr="00765C60" w:rsidP="00765C60">
            <w:pPr>
              <w:pStyle w:val="BodyText"/>
            </w:pPr>
            <w:r w:rsidRPr="00765C60">
              <w:t>4.2 Complete pre-shutdown checks according to operating procedures</w:t>
            </w:r>
          </w:p>
          <w:p w:rsidR="00000000" w:rsidRPr="00765C60" w:rsidP="00765C60">
            <w:pPr>
              <w:pStyle w:val="BodyText"/>
            </w:pPr>
            <w:r w:rsidRPr="00765C60">
              <w:t>4.3 Shut down power generation system according to operating procedures</w:t>
            </w:r>
          </w:p>
          <w:p w:rsidR="00000000" w:rsidRPr="00765C60" w:rsidP="00765C60">
            <w:pPr>
              <w:pStyle w:val="BodyText"/>
            </w:pPr>
            <w:r w:rsidRPr="00765C60">
              <w:t>4.4 Identify, control and report shutdown hazards</w:t>
            </w:r>
          </w:p>
          <w:p w:rsidR="00000000" w:rsidRPr="00765C60" w:rsidP="00765C60">
            <w:pPr>
              <w:pStyle w:val="BodyText"/>
            </w:pPr>
            <w:r w:rsidRPr="00765C60">
              <w:t>4.5 Monitor shutdown</w:t>
            </w:r>
            <w:r w:rsidRPr="00765C60">
              <w:t xml:space="preserve"> and identify abnormal situations which may require action</w:t>
            </w:r>
          </w:p>
          <w:p w:rsidR="00000000" w:rsidRPr="00765C60" w:rsidP="00765C60">
            <w:pPr>
              <w:pStyle w:val="BodyText"/>
            </w:pPr>
            <w:r w:rsidRPr="00765C60">
              <w:t>4.6 Take action to remedy abnormal situations according to operating procedures</w:t>
            </w:r>
          </w:p>
          <w:p w:rsidR="00000000" w:rsidRPr="00765C60" w:rsidP="00765C60">
            <w:pPr>
              <w:pStyle w:val="BodyText"/>
            </w:pPr>
            <w:r w:rsidRPr="00765C60">
              <w:t>4.7 Shut down and changeover duty and standby equipment according to operating procedures</w:t>
            </w:r>
          </w:p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>4.8 Isolate power generation system from energy sources</w:t>
            </w:r>
          </w:p>
        </w:tc>
      </w:tr>
      <w:tr w:rsidTr="008518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C60">
            <w:pPr>
              <w:pStyle w:val="BodyText"/>
              <w:rPr>
                <w:lang w:val="en-NZ"/>
              </w:rPr>
            </w:pPr>
            <w:r w:rsidRPr="00765C60">
              <w:t xml:space="preserve">5. Prepare and start up power generation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C60" w:rsidP="00765C60">
            <w:pPr>
              <w:pStyle w:val="BodyText"/>
            </w:pPr>
            <w:r w:rsidRPr="00765C60">
              <w:t>5.1 De-isolate and prepare power generation system to be returned to standby or service</w:t>
            </w:r>
          </w:p>
          <w:p w:rsidR="00000000" w:rsidRPr="00765C60" w:rsidP="00765C60">
            <w:pPr>
              <w:pStyle w:val="BodyText"/>
            </w:pPr>
            <w:r w:rsidRPr="00765C60">
              <w:t>5.2 Complete pre-start checks according to operating procedure</w:t>
            </w:r>
            <w:r w:rsidRPr="00765C60">
              <w:t>s</w:t>
            </w:r>
          </w:p>
          <w:p w:rsidR="00000000" w:rsidRPr="00765C60" w:rsidP="00765C60">
            <w:pPr>
              <w:pStyle w:val="BodyText"/>
            </w:pPr>
            <w:r w:rsidRPr="00765C60">
              <w:t>5.3 Startup power generation system according to operating procedures</w:t>
            </w:r>
          </w:p>
          <w:p w:rsidR="00000000" w:rsidRPr="00765C60" w:rsidP="00765C60">
            <w:pPr>
              <w:pStyle w:val="BodyText"/>
            </w:pPr>
            <w:r w:rsidRPr="00765C60">
              <w:t>5.4 Identify, control and report start-up hazards</w:t>
            </w:r>
          </w:p>
          <w:p w:rsidR="00000000" w:rsidRPr="00765C60" w:rsidP="00765C60">
            <w:pPr>
              <w:pStyle w:val="BodyText"/>
            </w:pPr>
            <w:r w:rsidRPr="00765C60">
              <w:t>5.5 Monitor startup and identify abnormal situations that may require action</w:t>
            </w:r>
          </w:p>
          <w:p w:rsidR="00000000" w:rsidRPr="00765C60" w:rsidP="00765C60">
            <w:pPr>
              <w:pStyle w:val="BodyText"/>
            </w:pPr>
            <w:r w:rsidRPr="00765C60">
              <w:t>5.6 Take action to remedy abnormal situations according t</w:t>
            </w:r>
            <w:r w:rsidRPr="00765C60">
              <w:t xml:space="preserve">o operating procedures </w:t>
            </w:r>
          </w:p>
        </w:tc>
      </w:tr>
    </w:tbl>
    <w:p w:rsidR="00000000" w:rsidRPr="00765C60" w:rsidP="00765C60">
      <w:pPr>
        <w:pStyle w:val="BodyText"/>
      </w:pPr>
    </w:p>
    <w:p w:rsidR="00000000" w:rsidRPr="00765C60" w:rsidP="00765C60">
      <w:pPr>
        <w:pStyle w:val="AllowPageBreak"/>
      </w:pPr>
    </w:p>
    <w:p w:rsidR="00000000" w:rsidRPr="00765C60" w:rsidP="00765C60">
      <w:pPr>
        <w:pStyle w:val="Heading1"/>
      </w:pPr>
      <w:bookmarkStart w:id="6" w:name="O_1072381"/>
      <w:bookmarkEnd w:id="6"/>
      <w:r w:rsidRPr="00765C60">
        <w:t>Foundation Skills</w:t>
      </w:r>
    </w:p>
    <w:p w:rsidR="00000000" w:rsidRPr="00765C60" w:rsidP="00851871">
      <w:pPr>
        <w:pStyle w:val="BodyText"/>
      </w:pPr>
      <w:r w:rsidRPr="00765C60">
        <w:t>This section describes those language, literacy, numeracy and employment skills that are essential to performance.</w:t>
      </w:r>
    </w:p>
    <w:p w:rsidR="00000000" w:rsidRPr="00765C60" w:rsidP="00765C60">
      <w:pPr>
        <w:pStyle w:val="ListBullet"/>
      </w:pPr>
      <w:r w:rsidRPr="00765C60">
        <w:t>Learning skills to follow instructions, monitor process and select appropriat</w:t>
      </w:r>
      <w:r w:rsidRPr="00765C60">
        <w:t>e procedure.</w:t>
      </w:r>
    </w:p>
    <w:p w:rsidR="00000000" w:rsidRPr="00765C60" w:rsidP="00765C60">
      <w:pPr>
        <w:pStyle w:val="ListBullet"/>
      </w:pPr>
      <w:r w:rsidRPr="00765C60">
        <w:t xml:space="preserve">Reading skills to follow written procedures and documentation.  </w:t>
      </w:r>
    </w:p>
    <w:p w:rsidR="00000000" w:rsidRPr="00765C60" w:rsidP="00765C60">
      <w:pPr>
        <w:pStyle w:val="ListBullet"/>
      </w:pPr>
      <w:r w:rsidRPr="00765C60">
        <w:t>Writing skills to complete workplace documentation.</w:t>
      </w:r>
    </w:p>
    <w:p w:rsidR="00000000" w:rsidRPr="00765C60" w:rsidP="00765C60">
      <w:pPr>
        <w:pStyle w:val="ListBullet"/>
      </w:pPr>
      <w:r w:rsidRPr="00765C60">
        <w:t>Oral communication skills to liaise and coordinate with team members and the control-room operator.</w:t>
      </w:r>
    </w:p>
    <w:p w:rsidR="00000000" w:rsidRPr="00765C60" w:rsidP="00765C60">
      <w:pPr>
        <w:pStyle w:val="ListBullet"/>
      </w:pPr>
      <w:r w:rsidRPr="00765C60">
        <w:t xml:space="preserve">Numeracy skills to monitor field data, instrumentation and process parameters.   </w:t>
      </w:r>
    </w:p>
    <w:p w:rsidR="00000000" w:rsidRPr="00765C60" w:rsidP="00765C60">
      <w:pPr>
        <w:pStyle w:val="BodyText"/>
      </w:pPr>
    </w:p>
    <w:p w:rsidR="00000000" w:rsidRPr="00765C60" w:rsidP="00851871">
      <w:pPr>
        <w:pStyle w:val="BodyText"/>
      </w:pPr>
      <w:r w:rsidRPr="00765C60">
        <w:t>Other foundation skills essential to performance are explicit in the performance criteria of this unit of competency.</w:t>
      </w:r>
    </w:p>
    <w:p w:rsidR="00000000" w:rsidRPr="00765C60" w:rsidP="00765C60">
      <w:pPr>
        <w:pStyle w:val="Heading1"/>
      </w:pPr>
      <w:bookmarkStart w:id="7" w:name="O_1072383"/>
      <w:bookmarkEnd w:id="7"/>
      <w:r w:rsidRPr="00765C60">
        <w:t>Unit Mapping Information</w:t>
      </w:r>
    </w:p>
    <w:p w:rsidR="00000000" w:rsidRPr="00765C60" w:rsidP="00851871">
      <w:pPr>
        <w:pStyle w:val="BodyText"/>
      </w:pPr>
      <w:r w:rsidRPr="00765C60">
        <w:t xml:space="preserve">Release 1. </w:t>
      </w:r>
      <w:r w:rsidRPr="00765C60">
        <w:t>Supersedes and is equivalent to PMAOPS325 Generate electrical power.</w:t>
      </w:r>
    </w:p>
    <w:p w:rsidR="00000000" w:rsidRPr="00765C60" w:rsidP="00765C60">
      <w:pPr>
        <w:pStyle w:val="Heading1"/>
      </w:pPr>
      <w:bookmarkStart w:id="8" w:name="O_1072390"/>
      <w:bookmarkEnd w:id="8"/>
      <w:r w:rsidRPr="00765C60">
        <w:t>Links</w:t>
      </w:r>
    </w:p>
    <w:p w:rsidR="00000000" w:rsidRPr="00765C60" w:rsidP="00851871">
      <w:pPr>
        <w:pStyle w:val="BodyText"/>
      </w:pPr>
      <w:r w:rsidRPr="00765C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8155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65C60" w:rsidP="00765C60"/>
    <w:sectPr w:rsidSect="00765C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0" w:rsidRPr="00851871" w:rsidP="00851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71" w:rsidP="00765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871" w:rsidP="00765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1871" w:rsidP="00765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C60" w:rsidRPr="00851871" w:rsidP="00851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71" w:rsidRPr="002D2AF8" w:rsidP="00765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PMAOPS332 Generate electrical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851871" w:rsidP="00765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108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941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C60"/>
  </w:style>
  <w:style w:type="character" w:customStyle="1" w:styleId="Heading1Char">
    <w:name w:val="Heading 1 Char"/>
    <w:basedOn w:val="DefaultParagraphFont"/>
    <w:link w:val="Heading1"/>
    <w:rsid w:val="00765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C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C60"/>
    <w:rPr>
      <w:b/>
      <w:spacing w:val="0"/>
    </w:rPr>
  </w:style>
  <w:style w:type="character" w:styleId="Emphasis">
    <w:name w:val="Emphasis"/>
    <w:basedOn w:val="DefaultParagraphFont"/>
    <w:qFormat/>
    <w:rsid w:val="00765C60"/>
    <w:rPr>
      <w:i/>
    </w:rPr>
  </w:style>
  <w:style w:type="paragraph" w:customStyle="1" w:styleId="SuperHeading">
    <w:name w:val="SuperHeading"/>
    <w:basedOn w:val="Normal"/>
    <w:rsid w:val="00765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C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C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C60"/>
  </w:style>
  <w:style w:type="paragraph" w:styleId="TableofFigures">
    <w:name w:val="table of figures"/>
    <w:basedOn w:val="Normal"/>
    <w:next w:val="Normal"/>
    <w:semiHidden/>
    <w:rsid w:val="00765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C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5C60"/>
    <w:rPr>
      <w:rFonts w:ascii="Wingdings" w:hAnsi="Wingdings"/>
    </w:rPr>
  </w:style>
  <w:style w:type="paragraph" w:customStyle="1" w:styleId="TableHeading">
    <w:name w:val="Table Heading"/>
    <w:basedOn w:val="HeadingBase"/>
    <w:rsid w:val="00765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C60"/>
    <w:rPr>
      <w:color w:val="0033CC"/>
      <w:u w:val="none"/>
    </w:rPr>
  </w:style>
  <w:style w:type="paragraph" w:customStyle="1" w:styleId="BodyTextRight">
    <w:name w:val="Body Text Right"/>
    <w:basedOn w:val="BodyText"/>
    <w:rsid w:val="00765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C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C60"/>
    <w:rPr>
      <w:sz w:val="32"/>
    </w:rPr>
  </w:style>
  <w:style w:type="paragraph" w:customStyle="1" w:styleId="HeadingProcedure">
    <w:name w:val="Heading Procedure"/>
    <w:basedOn w:val="HeadingBase"/>
    <w:next w:val="Normal"/>
    <w:rsid w:val="00765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C60"/>
    <w:pPr>
      <w:spacing w:before="60" w:after="60"/>
    </w:pPr>
  </w:style>
  <w:style w:type="paragraph" w:styleId="ListContinue">
    <w:name w:val="List Continue"/>
    <w:basedOn w:val="List"/>
    <w:rsid w:val="00765C60"/>
    <w:pPr>
      <w:ind w:firstLine="0"/>
    </w:pPr>
  </w:style>
  <w:style w:type="paragraph" w:customStyle="1" w:styleId="ListNote">
    <w:name w:val="List Note"/>
    <w:basedOn w:val="List"/>
    <w:rsid w:val="00765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C60"/>
    <w:rPr>
      <w:rFonts w:ascii="Courier New" w:hAnsi="Courier New"/>
    </w:rPr>
  </w:style>
  <w:style w:type="paragraph" w:customStyle="1" w:styleId="NoteBullet">
    <w:name w:val="Note Bullet"/>
    <w:basedOn w:val="Note"/>
    <w:rsid w:val="00765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C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5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C60"/>
    <w:rPr>
      <w:b/>
      <w:smallCaps/>
    </w:rPr>
  </w:style>
  <w:style w:type="paragraph" w:customStyle="1" w:styleId="TableListNumber">
    <w:name w:val="Table List Number"/>
    <w:basedOn w:val="ListNumber"/>
    <w:rsid w:val="00765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C60"/>
    <w:pPr>
      <w:numPr>
        <w:numId w:val="8"/>
      </w:numPr>
    </w:pPr>
  </w:style>
  <w:style w:type="paragraph" w:customStyle="1" w:styleId="ListAlpha2">
    <w:name w:val="List Alpha 2"/>
    <w:basedOn w:val="List2"/>
    <w:rsid w:val="00765C60"/>
    <w:pPr>
      <w:numPr>
        <w:numId w:val="7"/>
      </w:numPr>
    </w:pPr>
  </w:style>
  <w:style w:type="paragraph" w:styleId="List2">
    <w:name w:val="List 2"/>
    <w:basedOn w:val="BodyText"/>
    <w:rsid w:val="00765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C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C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C60"/>
    <w:pPr>
      <w:numPr>
        <w:numId w:val="3"/>
      </w:numPr>
    </w:pPr>
  </w:style>
  <w:style w:type="paragraph" w:styleId="ListContinue2">
    <w:name w:val="List Continue 2"/>
    <w:basedOn w:val="List2"/>
    <w:rsid w:val="00765C60"/>
    <w:pPr>
      <w:ind w:firstLine="0"/>
    </w:pPr>
  </w:style>
  <w:style w:type="paragraph" w:styleId="ListContinue3">
    <w:name w:val="List Continue 3"/>
    <w:basedOn w:val="List3"/>
    <w:rsid w:val="00765C60"/>
    <w:pPr>
      <w:ind w:left="1021" w:firstLine="0"/>
    </w:pPr>
  </w:style>
  <w:style w:type="paragraph" w:styleId="ListContinue4">
    <w:name w:val="List Continue 4"/>
    <w:basedOn w:val="List4"/>
    <w:rsid w:val="00765C60"/>
    <w:pPr>
      <w:ind w:firstLine="0"/>
    </w:pPr>
  </w:style>
  <w:style w:type="paragraph" w:styleId="ListContinue5">
    <w:name w:val="List Continue 5"/>
    <w:basedOn w:val="List5"/>
    <w:rsid w:val="00765C60"/>
    <w:pPr>
      <w:ind w:firstLine="0"/>
    </w:pPr>
  </w:style>
  <w:style w:type="paragraph" w:styleId="ListNumber3">
    <w:name w:val="List Number 3"/>
    <w:basedOn w:val="List3"/>
    <w:rsid w:val="00765C60"/>
    <w:pPr>
      <w:numPr>
        <w:numId w:val="4"/>
      </w:numPr>
    </w:pPr>
  </w:style>
  <w:style w:type="paragraph" w:styleId="ListNumber4">
    <w:name w:val="List Number 4"/>
    <w:basedOn w:val="List4"/>
    <w:rsid w:val="00765C60"/>
    <w:pPr>
      <w:numPr>
        <w:numId w:val="5"/>
      </w:numPr>
    </w:pPr>
  </w:style>
  <w:style w:type="paragraph" w:styleId="ListNumber5">
    <w:name w:val="List Number 5"/>
    <w:basedOn w:val="List5"/>
    <w:rsid w:val="00765C60"/>
    <w:pPr>
      <w:numPr>
        <w:numId w:val="6"/>
      </w:numPr>
    </w:pPr>
  </w:style>
  <w:style w:type="paragraph" w:styleId="BlockText">
    <w:name w:val="Block Text"/>
    <w:basedOn w:val="Normal"/>
    <w:rsid w:val="00765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C60"/>
    <w:rPr>
      <w:sz w:val="16"/>
      <w:vertAlign w:val="superscript"/>
    </w:rPr>
  </w:style>
  <w:style w:type="character" w:customStyle="1" w:styleId="Symbols">
    <w:name w:val="Symbols"/>
    <w:basedOn w:val="DefaultParagraphFont"/>
    <w:rsid w:val="00765C60"/>
    <w:rPr>
      <w:rFonts w:ascii="Symbol" w:hAnsi="Symbol"/>
    </w:rPr>
  </w:style>
  <w:style w:type="character" w:customStyle="1" w:styleId="MenuOptions">
    <w:name w:val="Menu Options"/>
    <w:basedOn w:val="DefaultParagraphFont"/>
    <w:rsid w:val="00765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C60"/>
    <w:rPr>
      <w:b/>
    </w:rPr>
  </w:style>
  <w:style w:type="character" w:customStyle="1" w:styleId="Underlined">
    <w:name w:val="Underlined"/>
    <w:basedOn w:val="DefaultParagraphFont"/>
    <w:rsid w:val="00765C60"/>
    <w:rPr>
      <w:u w:val="single"/>
    </w:rPr>
  </w:style>
  <w:style w:type="paragraph" w:customStyle="1" w:styleId="TableBodyTextRight">
    <w:name w:val="Table Body Text Right"/>
    <w:basedOn w:val="TableBodyText"/>
    <w:rsid w:val="00765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C60"/>
    <w:rPr>
      <w:sz w:val="18"/>
    </w:rPr>
  </w:style>
  <w:style w:type="paragraph" w:customStyle="1" w:styleId="BodySmallRight">
    <w:name w:val="Body Small Right"/>
    <w:basedOn w:val="BodyTextRight"/>
    <w:rsid w:val="00765C60"/>
    <w:rPr>
      <w:sz w:val="18"/>
      <w:szCs w:val="18"/>
    </w:rPr>
  </w:style>
  <w:style w:type="paragraph" w:customStyle="1" w:styleId="MarginEdition">
    <w:name w:val="Margin Edition"/>
    <w:basedOn w:val="MarginNote"/>
    <w:rsid w:val="00765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C60"/>
    <w:rPr>
      <w:sz w:val="2"/>
      <w:szCs w:val="2"/>
    </w:rPr>
  </w:style>
  <w:style w:type="character" w:customStyle="1" w:styleId="Small">
    <w:name w:val="Small"/>
    <w:basedOn w:val="DefaultParagraphFont"/>
    <w:rsid w:val="00765C60"/>
    <w:rPr>
      <w:sz w:val="16"/>
    </w:rPr>
  </w:style>
  <w:style w:type="paragraph" w:customStyle="1" w:styleId="WideTable">
    <w:name w:val="Wide Table"/>
    <w:basedOn w:val="Normal"/>
    <w:rsid w:val="00765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C60"/>
  </w:style>
  <w:style w:type="paragraph" w:styleId="Quote">
    <w:name w:val="Quote"/>
    <w:basedOn w:val="Heading1"/>
    <w:link w:val="QuoteChar"/>
    <w:qFormat/>
    <w:rsid w:val="00765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C60"/>
    <w:pPr>
      <w:pageBreakBefore/>
    </w:pPr>
  </w:style>
  <w:style w:type="paragraph" w:customStyle="1" w:styleId="Border">
    <w:name w:val="Border"/>
    <w:basedOn w:val="Normal"/>
    <w:qFormat/>
    <w:rsid w:val="00765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C60"/>
    <w:rPr>
      <w:u w:val="single"/>
    </w:rPr>
  </w:style>
  <w:style w:type="character" w:customStyle="1" w:styleId="BoldandItalics">
    <w:name w:val="Bold and Italics"/>
    <w:qFormat/>
    <w:rsid w:val="00765C60"/>
    <w:rPr>
      <w:b/>
      <w:i/>
      <w:u w:val="none"/>
    </w:rPr>
  </w:style>
  <w:style w:type="paragraph" w:styleId="BalloonText">
    <w:name w:val="Balloon Text"/>
    <w:basedOn w:val="Normal"/>
    <w:link w:val="BalloonTextChar"/>
    <w:rsid w:val="0076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C60"/>
    <w:pPr>
      <w:spacing w:before="0" w:after="0"/>
    </w:pPr>
  </w:style>
  <w:style w:type="paragraph" w:customStyle="1" w:styleId="BodyTextBold">
    <w:name w:val="Body Text Bold"/>
    <w:basedOn w:val="BodyText"/>
    <w:qFormat/>
    <w:rsid w:val="00765C60"/>
    <w:rPr>
      <w:b/>
    </w:rPr>
  </w:style>
  <w:style w:type="character" w:styleId="Hyperlink">
    <w:name w:val="Hyperlink"/>
    <w:basedOn w:val="DefaultParagraphFont"/>
    <w:uiPriority w:val="99"/>
    <w:unhideWhenUsed/>
    <w:rsid w:val="00851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4634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PMAOPS332 Generate electrical power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2022-09-21T04:41:00Z</dcterms:created>
  <dcterms:modified xsi:type="dcterms:W3CDTF">2022-09-21T04:41:00Z</dcterms:modified>
</cp:coreProperties>
</file>