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DB9" w:rsidP="00092D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PMAOPS315 Operate and troubleshoot process control systems</w:t>
      </w:r>
      <w:r>
        <w:fldChar w:fldCharType="end"/>
      </w:r>
    </w:p>
    <w:p w:rsidR="00092DB9" w:rsidP="00092DB9">
      <w:pPr>
        <w:pStyle w:val="Version"/>
        <w:sectPr w:rsidSect="00D605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5EA" w:rsidP="00D605EA">
      <w:pPr>
        <w:pStyle w:val="SuperHeading"/>
      </w:pPr>
      <w:r w:rsidRPr="00D605EA">
        <w:t>Assessment Requirements for PMAOPS315 Operate and troubleshoot process control systems</w:t>
      </w:r>
    </w:p>
    <w:p w:rsidR="00000000" w:rsidRPr="00D605EA" w:rsidP="00D605EA">
      <w:pPr>
        <w:pStyle w:val="Heading1"/>
      </w:pPr>
      <w:bookmarkStart w:id="1" w:name="O_1071916"/>
      <w:bookmarkEnd w:id="1"/>
      <w:r w:rsidRPr="00D605EA">
        <w:t>Modification History</w:t>
      </w:r>
    </w:p>
    <w:p w:rsidR="00000000" w:rsidRPr="00D605EA" w:rsidP="00092DB9">
      <w:pPr>
        <w:pStyle w:val="BodyText"/>
      </w:pPr>
      <w:r w:rsidRPr="00D605EA">
        <w:t>Release 1. Unit code and title changed. Application and Pe</w:t>
      </w:r>
      <w:r w:rsidRPr="00D605EA">
        <w:t>rformance Criteria changed. Range of Conditions removed. Assessment Requirements changed. Supersedes and is equivalent to PMAOPS305 Operate process control systems.</w:t>
      </w:r>
    </w:p>
    <w:p w:rsidR="00000000" w:rsidRPr="00D605EA" w:rsidP="00D605EA">
      <w:pPr>
        <w:pStyle w:val="Heading1"/>
      </w:pPr>
      <w:bookmarkStart w:id="2" w:name="O_1071917"/>
      <w:bookmarkEnd w:id="2"/>
      <w:r w:rsidRPr="00D605EA">
        <w:t>Performance Evidence</w:t>
      </w:r>
    </w:p>
    <w:p w:rsidR="00000000" w:rsidRPr="00D605EA" w:rsidP="00092DB9">
      <w:pPr>
        <w:pStyle w:val="BodyText"/>
      </w:pPr>
      <w:r w:rsidRPr="00D605EA">
        <w:t xml:space="preserve">There must be evidence the candidate has completed </w:t>
      </w:r>
      <w:r w:rsidRPr="00D605EA">
        <w:t>the tasks outlined in the elements and performance criteria of this unit:</w:t>
      </w:r>
    </w:p>
    <w:p w:rsidR="00000000" w:rsidRPr="00D605EA" w:rsidP="00D605EA">
      <w:pPr>
        <w:pStyle w:val="ListBullet"/>
      </w:pPr>
      <w:r w:rsidRPr="00D605EA">
        <w:t>at least 2 times, each in a separate work context.</w:t>
      </w:r>
    </w:p>
    <w:p w:rsidR="00000000" w:rsidRPr="00D605EA" w:rsidP="00D605EA">
      <w:pPr>
        <w:pStyle w:val="AllowPageBreak"/>
      </w:pPr>
    </w:p>
    <w:p w:rsidR="00000000" w:rsidRPr="00D605EA" w:rsidP="00D605EA">
      <w:pPr>
        <w:pStyle w:val="Heading1"/>
      </w:pPr>
      <w:bookmarkStart w:id="3" w:name="O_1071918"/>
      <w:bookmarkEnd w:id="3"/>
      <w:r w:rsidRPr="00D605EA">
        <w:t>Knowledge Evidence</w:t>
      </w:r>
    </w:p>
    <w:p w:rsidR="00000000" w:rsidRPr="00D605EA" w:rsidP="00092DB9">
      <w:pPr>
        <w:pStyle w:val="BodyText"/>
      </w:pPr>
      <w:r w:rsidRPr="00D605EA">
        <w:t>There must be evidence the candidate has knowledge of:</w:t>
      </w:r>
    </w:p>
    <w:p w:rsidR="00000000" w:rsidRPr="00D605EA" w:rsidP="00D605EA">
      <w:pPr>
        <w:pStyle w:val="ListBullet"/>
      </w:pPr>
      <w:r w:rsidRPr="00D605EA">
        <w:t>process control systems, including:</w:t>
      </w:r>
    </w:p>
    <w:p w:rsidR="00000000" w:rsidRPr="00D605EA" w:rsidP="00D605EA">
      <w:pPr>
        <w:pStyle w:val="ListBullet2"/>
      </w:pPr>
      <w:r w:rsidRPr="00D605EA">
        <w:t>the function and location of the equipment</w:t>
      </w:r>
    </w:p>
    <w:p w:rsidR="00000000" w:rsidRPr="00D605EA" w:rsidP="00D605EA">
      <w:pPr>
        <w:pStyle w:val="ListBullet2"/>
      </w:pPr>
      <w:r w:rsidRPr="00D605EA">
        <w:t>operating parameters and integrity limits</w:t>
      </w:r>
    </w:p>
    <w:p w:rsidR="00000000" w:rsidRPr="00D605EA" w:rsidP="00D605EA">
      <w:pPr>
        <w:pStyle w:val="ListBullet2"/>
      </w:pPr>
      <w:r w:rsidRPr="00D605EA">
        <w:t>impact of external factors, including variations in weather and feed</w:t>
      </w:r>
    </w:p>
    <w:p w:rsidR="00000000" w:rsidRPr="00D605EA" w:rsidP="00D605EA">
      <w:pPr>
        <w:pStyle w:val="ListBullet2"/>
      </w:pPr>
      <w:r w:rsidRPr="00D605EA">
        <w:t>emergency shutdown procedures</w:t>
      </w:r>
    </w:p>
    <w:p w:rsidR="00000000" w:rsidRPr="00D605EA" w:rsidP="00D605EA">
      <w:pPr>
        <w:pStyle w:val="ListBullet2"/>
      </w:pPr>
      <w:r w:rsidRPr="00D605EA">
        <w:t>control system architecture</w:t>
      </w:r>
    </w:p>
    <w:p w:rsidR="00000000" w:rsidRPr="00D605EA" w:rsidP="00D605EA">
      <w:pPr>
        <w:pStyle w:val="ListBullet2"/>
      </w:pPr>
      <w:r w:rsidRPr="00D605EA">
        <w:t>basis of control for the plant/s</w:t>
      </w:r>
    </w:p>
    <w:p w:rsidR="00000000" w:rsidRPr="00D605EA" w:rsidP="00D605EA">
      <w:pPr>
        <w:pStyle w:val="ListBullet2"/>
      </w:pPr>
      <w:r w:rsidRPr="00D605EA">
        <w:t>types of instrumentation and control systems, including feedforward, feedback and open control</w:t>
      </w:r>
    </w:p>
    <w:p w:rsidR="00000000" w:rsidRPr="00D605EA" w:rsidP="00D605EA">
      <w:pPr>
        <w:pStyle w:val="ListBullet2"/>
      </w:pPr>
      <w:r w:rsidRPr="00D605EA">
        <w:t>types of instrumentation and control system components and their role, including primary sensing devices, final control elements and transducers and transmitters</w:t>
      </w:r>
      <w:r w:rsidRPr="00D605EA">
        <w:t xml:space="preserve"> </w:t>
      </w:r>
    </w:p>
    <w:p w:rsidR="00000000" w:rsidRPr="00D605EA" w:rsidP="00D605EA">
      <w:pPr>
        <w:pStyle w:val="ListBullet2"/>
      </w:pPr>
      <w:r w:rsidRPr="00D605EA">
        <w:t>how control loops and their components, including proportional integral derivative (PID) control, set points, controlled variable and indicated variable, operate to control the process, and their limitations</w:t>
      </w:r>
    </w:p>
    <w:p w:rsidR="00000000" w:rsidRPr="00D605EA" w:rsidP="00D605EA">
      <w:pPr>
        <w:pStyle w:val="ListBullet2"/>
      </w:pPr>
      <w:r w:rsidRPr="00D605EA">
        <w:t>interaction between multiple control loops, in</w:t>
      </w:r>
      <w:r w:rsidRPr="00D605EA">
        <w:t>cluding cascade control</w:t>
      </w:r>
    </w:p>
    <w:p w:rsidR="00000000" w:rsidRPr="00D605EA" w:rsidP="00D605EA">
      <w:pPr>
        <w:pStyle w:val="ListBullet2"/>
      </w:pPr>
      <w:r w:rsidRPr="00D605EA">
        <w:t>impacts of changing controller settings and the limits within which changes can be made</w:t>
      </w:r>
    </w:p>
    <w:p w:rsidR="00000000" w:rsidRPr="00D605EA" w:rsidP="00D605EA">
      <w:pPr>
        <w:pStyle w:val="ListBullet2"/>
      </w:pPr>
      <w:r w:rsidRPr="00D605EA">
        <w:t>uninterruptable power supplies (UPS) and its applications and use</w:t>
      </w:r>
    </w:p>
    <w:p w:rsidR="00000000" w:rsidRPr="00D605EA" w:rsidP="00D605EA">
      <w:pPr>
        <w:pStyle w:val="ListBullet"/>
      </w:pPr>
      <w:r w:rsidRPr="00D605EA">
        <w:t>organisational processes and procedures, including:</w:t>
      </w:r>
    </w:p>
    <w:p w:rsidR="00000000" w:rsidRPr="00D605EA" w:rsidP="00D605EA">
      <w:pPr>
        <w:pStyle w:val="ListBullet2"/>
      </w:pPr>
      <w:r w:rsidRPr="00D605EA">
        <w:t>interactions between pla</w:t>
      </w:r>
      <w:r w:rsidRPr="00D605EA">
        <w:t>nt items and processes</w:t>
      </w:r>
    </w:p>
    <w:p w:rsidR="00000000" w:rsidRPr="00D605EA" w:rsidP="00D605EA">
      <w:pPr>
        <w:pStyle w:val="ListBullet2"/>
      </w:pPr>
      <w:r w:rsidRPr="00D605EA">
        <w:t>specific plant process operations</w:t>
      </w:r>
    </w:p>
    <w:p w:rsidR="00000000" w:rsidRPr="00D605EA" w:rsidP="00D605EA">
      <w:pPr>
        <w:pStyle w:val="ListBullet2"/>
      </w:pPr>
      <w:r w:rsidRPr="00D605EA">
        <w:t>process drawings, such as piping and instrumentation diagram (P&amp;ID) and process flow diagrams (PFD)</w:t>
      </w:r>
    </w:p>
    <w:p w:rsidR="00000000" w:rsidRPr="00D605EA" w:rsidP="00D605EA">
      <w:pPr>
        <w:pStyle w:val="ListBullet2"/>
      </w:pPr>
      <w:r w:rsidRPr="00D605EA">
        <w:t>process control philosophies and strategies</w:t>
      </w:r>
    </w:p>
    <w:p w:rsidR="00000000" w:rsidRPr="00D605EA" w:rsidP="00D605EA">
      <w:pPr>
        <w:pStyle w:val="ListBullet"/>
      </w:pPr>
      <w:r w:rsidRPr="00D605EA">
        <w:t>physics and chemistry to the level of being able to pr</w:t>
      </w:r>
      <w:r w:rsidRPr="00D605EA">
        <w:t>ovide an overview of the science of the process control system</w:t>
      </w:r>
    </w:p>
    <w:p w:rsidR="00000000" w:rsidRPr="00D605EA" w:rsidP="00D605EA">
      <w:pPr>
        <w:pStyle w:val="ListBullet"/>
      </w:pPr>
      <w:r w:rsidRPr="00D605EA">
        <w:t>basic science of upstream and downstream processes</w:t>
      </w:r>
    </w:p>
    <w:p w:rsidR="00000000" w:rsidRPr="00D605EA" w:rsidP="00D605EA">
      <w:pPr>
        <w:pStyle w:val="ListBullet"/>
      </w:pPr>
      <w:r w:rsidRPr="00D605EA">
        <w:t>principles of cause and effect</w:t>
      </w:r>
    </w:p>
    <w:p w:rsidR="00000000" w:rsidRPr="00D605EA" w:rsidP="00D605EA">
      <w:pPr>
        <w:pStyle w:val="ListBullet"/>
      </w:pPr>
      <w:r w:rsidRPr="00D605EA">
        <w:t>product specifications and tolerances</w:t>
      </w:r>
    </w:p>
    <w:p w:rsidR="00000000" w:rsidRPr="00D605EA" w:rsidP="00D605EA">
      <w:pPr>
        <w:pStyle w:val="ListBullet"/>
      </w:pPr>
      <w:r w:rsidRPr="00D605EA">
        <w:t>process control system abnormal situations and required action including but not limited to:</w:t>
      </w:r>
    </w:p>
    <w:p w:rsidR="00000000" w:rsidRPr="00D605EA" w:rsidP="00D605EA">
      <w:pPr>
        <w:pStyle w:val="ListBullet2"/>
      </w:pPr>
      <w:r w:rsidRPr="00D605EA">
        <w:t>instrument failure and malfunction</w:t>
      </w:r>
    </w:p>
    <w:p w:rsidR="00000000" w:rsidRPr="00D605EA" w:rsidP="00D605EA">
      <w:pPr>
        <w:pStyle w:val="ListBullet2"/>
      </w:pPr>
      <w:r w:rsidRPr="00D605EA">
        <w:t>electrical failure and malfunction</w:t>
      </w:r>
    </w:p>
    <w:p w:rsidR="00000000" w:rsidRPr="00D605EA" w:rsidP="00D605EA">
      <w:pPr>
        <w:pStyle w:val="ListBullet2"/>
      </w:pPr>
      <w:r w:rsidRPr="00D605EA">
        <w:t>mechanical failure and malfunction</w:t>
      </w:r>
    </w:p>
    <w:p w:rsidR="00000000" w:rsidRPr="00D605EA" w:rsidP="00D605EA">
      <w:pPr>
        <w:pStyle w:val="ListBullet2"/>
      </w:pPr>
      <w:r w:rsidRPr="00D605EA">
        <w:t xml:space="preserve">equipment design deficiencies </w:t>
      </w:r>
    </w:p>
    <w:p w:rsidR="00000000" w:rsidRPr="00D605EA" w:rsidP="00D605EA">
      <w:pPr>
        <w:pStyle w:val="ListBullet2"/>
      </w:pPr>
      <w:r w:rsidRPr="00D605EA">
        <w:t>product parameters (temper</w:t>
      </w:r>
      <w:r w:rsidRPr="00D605EA">
        <w:t>ature, flows, pressure and levels)</w:t>
      </w:r>
    </w:p>
    <w:p w:rsidR="00000000" w:rsidRPr="00D605EA" w:rsidP="00D605EA">
      <w:pPr>
        <w:pStyle w:val="ListBullet2"/>
      </w:pPr>
      <w:r w:rsidRPr="00D605EA">
        <w:t>process control system malfunction</w:t>
      </w:r>
    </w:p>
    <w:p w:rsidR="00000000" w:rsidRPr="00D605EA" w:rsidP="00D605EA">
      <w:pPr>
        <w:pStyle w:val="ListBullet2"/>
      </w:pPr>
      <w:r w:rsidRPr="00D605EA">
        <w:t>power and utility failures</w:t>
      </w:r>
    </w:p>
    <w:p w:rsidR="00000000" w:rsidRPr="00D605EA" w:rsidP="00D605EA">
      <w:pPr>
        <w:pStyle w:val="ListBullet2"/>
      </w:pPr>
      <w:r w:rsidRPr="00D605EA">
        <w:t>variation in feed rate; quality or loss of feed</w:t>
      </w:r>
    </w:p>
    <w:p w:rsidR="00000000" w:rsidRPr="00D605EA" w:rsidP="00D605EA">
      <w:pPr>
        <w:pStyle w:val="ListBullet2"/>
      </w:pPr>
      <w:r w:rsidRPr="00D605EA">
        <w:t>unstable control of pressure, temperature, level and/or flows</w:t>
      </w:r>
    </w:p>
    <w:p w:rsidR="00000000" w:rsidRPr="00D605EA" w:rsidP="00D605EA">
      <w:pPr>
        <w:pStyle w:val="ListBullet2"/>
      </w:pPr>
      <w:r w:rsidRPr="00D605EA">
        <w:t>unstable and suboptimal operation</w:t>
      </w:r>
    </w:p>
    <w:p w:rsidR="00000000" w:rsidRPr="00D605EA" w:rsidP="00D605EA">
      <w:pPr>
        <w:pStyle w:val="ListBullet2"/>
      </w:pPr>
      <w:r w:rsidRPr="00D605EA">
        <w:t>control equipme</w:t>
      </w:r>
      <w:r w:rsidRPr="00D605EA">
        <w:t xml:space="preserve">nt failure </w:t>
      </w:r>
    </w:p>
    <w:p w:rsidR="00000000" w:rsidRPr="00D605EA" w:rsidP="00D605EA">
      <w:pPr>
        <w:pStyle w:val="ListBullet2"/>
      </w:pPr>
      <w:r w:rsidRPr="00D605EA">
        <w:t>process plant trips</w:t>
      </w:r>
    </w:p>
    <w:p w:rsidR="00000000" w:rsidRPr="00D605EA" w:rsidP="00D605EA">
      <w:pPr>
        <w:pStyle w:val="ListBullet2"/>
      </w:pPr>
      <w:r w:rsidRPr="00D605EA">
        <w:t>change in atmospheric conditions (rain, temperature, wind and lightning)</w:t>
      </w:r>
    </w:p>
    <w:p w:rsidR="00000000" w:rsidRPr="00D605EA" w:rsidP="00D605EA">
      <w:pPr>
        <w:pStyle w:val="ListBullet2"/>
      </w:pPr>
      <w:r w:rsidRPr="00D605EA">
        <w:t>emergency situations</w:t>
      </w:r>
    </w:p>
    <w:p w:rsidR="00000000" w:rsidRPr="00D605EA" w:rsidP="00D605EA">
      <w:pPr>
        <w:pStyle w:val="ListBullet"/>
      </w:pPr>
      <w:r w:rsidRPr="00D605EA">
        <w:t>process control system hazards:</w:t>
      </w:r>
    </w:p>
    <w:p w:rsidR="00000000" w:rsidRPr="00D605EA" w:rsidP="00D605EA">
      <w:pPr>
        <w:pStyle w:val="ListBullet2"/>
      </w:pPr>
      <w:r w:rsidRPr="00D605EA">
        <w:t xml:space="preserve">possible causes </w:t>
      </w:r>
    </w:p>
    <w:p w:rsidR="00000000" w:rsidRPr="00D605EA" w:rsidP="00D605EA">
      <w:pPr>
        <w:pStyle w:val="ListBullet2"/>
      </w:pPr>
      <w:r w:rsidRPr="00D605EA">
        <w:t>potential consequences</w:t>
      </w:r>
    </w:p>
    <w:p w:rsidR="00000000" w:rsidRPr="00D605EA" w:rsidP="00D605EA">
      <w:pPr>
        <w:pStyle w:val="ListBullet2"/>
      </w:pPr>
      <w:r w:rsidRPr="00D605EA">
        <w:t>appropriate risk controls</w:t>
      </w:r>
    </w:p>
    <w:p w:rsidR="00000000" w:rsidRPr="00D605EA" w:rsidP="00D605EA">
      <w:pPr>
        <w:pStyle w:val="ListBullet2"/>
      </w:pPr>
      <w:r w:rsidRPr="00D605EA">
        <w:t>reporting and escalation procedures.</w:t>
      </w:r>
    </w:p>
    <w:p w:rsidR="00000000" w:rsidRPr="00D605EA" w:rsidP="00D605EA">
      <w:pPr>
        <w:pStyle w:val="AllowPageBreak"/>
      </w:pPr>
    </w:p>
    <w:p w:rsidR="00000000" w:rsidRPr="00D605EA" w:rsidP="00D605EA">
      <w:pPr>
        <w:pStyle w:val="Heading1"/>
      </w:pPr>
      <w:bookmarkStart w:id="4" w:name="O_1071919"/>
      <w:bookmarkEnd w:id="4"/>
      <w:r w:rsidRPr="00D605EA">
        <w:t>Assessment Conditions</w:t>
      </w:r>
    </w:p>
    <w:p w:rsidR="00000000" w:rsidRPr="00D605EA" w:rsidP="00092DB9">
      <w:pPr>
        <w:pStyle w:val="BodyText"/>
      </w:pPr>
      <w:r w:rsidRPr="00D605EA">
        <w:t>Skills must have been demonstrated in the workplace or in a simulated environment that reflects workplace conditions and contingencies. The following conditions must be met for t</w:t>
      </w:r>
      <w:r w:rsidRPr="00D605EA">
        <w:t xml:space="preserve">his unit: </w:t>
      </w:r>
    </w:p>
    <w:p w:rsidR="00000000" w:rsidRPr="00D605EA" w:rsidP="00D605EA">
      <w:pPr>
        <w:pStyle w:val="ListBullet"/>
      </w:pPr>
      <w:r w:rsidRPr="00D605EA">
        <w:t xml:space="preserve">use of suitable facilities, equipment and resources, including: </w:t>
      </w:r>
    </w:p>
    <w:p w:rsidR="00000000" w:rsidRPr="00D605EA" w:rsidP="00D605EA">
      <w:pPr>
        <w:pStyle w:val="ListBullet2"/>
      </w:pPr>
      <w:r w:rsidRPr="00D605EA">
        <w:t>plant, process control system, interface</w:t>
      </w:r>
    </w:p>
    <w:p w:rsidR="00000000" w:rsidRPr="00D605EA" w:rsidP="00D605EA">
      <w:pPr>
        <w:pStyle w:val="ListBullet2"/>
      </w:pPr>
      <w:r w:rsidRPr="00D605EA">
        <w:t>operating procedures</w:t>
      </w:r>
    </w:p>
    <w:p w:rsidR="00000000" w:rsidRPr="00D605EA" w:rsidP="00D605EA">
      <w:pPr>
        <w:pStyle w:val="ListBullet"/>
      </w:pPr>
      <w:r w:rsidRPr="00D605EA">
        <w:t>abnormal situations must be relevant to process control systems.</w:t>
      </w:r>
    </w:p>
    <w:p w:rsidR="00000000" w:rsidRPr="00D605EA" w:rsidP="00D605EA">
      <w:pPr>
        <w:pStyle w:val="BodyText"/>
      </w:pPr>
    </w:p>
    <w:p w:rsidR="00000000" w:rsidRPr="00D605EA" w:rsidP="00092DB9">
      <w:pPr>
        <w:pStyle w:val="BodyText"/>
      </w:pPr>
      <w:r w:rsidRPr="00D605EA">
        <w:t xml:space="preserve">Assessors must satisfy the NVR/AQTF </w:t>
      </w:r>
      <w:r w:rsidRPr="00D605EA">
        <w:t>mandatory competency requirements for assessors.</w:t>
      </w:r>
    </w:p>
    <w:p w:rsidR="00000000" w:rsidRPr="00D605EA" w:rsidP="00D605EA">
      <w:pPr>
        <w:pStyle w:val="Heading1"/>
      </w:pPr>
      <w:bookmarkStart w:id="5" w:name="O_1071922"/>
      <w:bookmarkEnd w:id="5"/>
      <w:r w:rsidRPr="00D605EA">
        <w:t>Links</w:t>
      </w:r>
    </w:p>
    <w:p w:rsidR="00000000" w:rsidRPr="00D605EA" w:rsidP="00092DB9">
      <w:pPr>
        <w:pStyle w:val="BodyText"/>
      </w:pPr>
      <w:r w:rsidRPr="00D605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B354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605EA" w:rsidP="00D605EA"/>
    <w:sectPr w:rsidSect="00D605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EA" w:rsidRPr="00092DB9" w:rsidP="00092D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B9" w:rsidP="00D605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DB9" w:rsidP="00D605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2DB9" w:rsidP="00D605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5EA" w:rsidRPr="00092DB9" w:rsidP="00092D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B9" w:rsidRPr="002D2AF8" w:rsidP="00D605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PMAOPS315 Operate and troubleshoot process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092DB9" w:rsidP="00D605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CEB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1ED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9A9E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5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5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5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5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5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5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5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5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5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5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5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5EA"/>
  </w:style>
  <w:style w:type="character" w:customStyle="1" w:styleId="Heading1Char">
    <w:name w:val="Heading 1 Char"/>
    <w:basedOn w:val="DefaultParagraphFont"/>
    <w:link w:val="Heading1"/>
    <w:rsid w:val="00D605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5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5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5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05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05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5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5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5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5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5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5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5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5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5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5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5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5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5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5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5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5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5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05EA"/>
    <w:rPr>
      <w:b/>
      <w:spacing w:val="0"/>
    </w:rPr>
  </w:style>
  <w:style w:type="paragraph" w:customStyle="1" w:styleId="SuperTitle">
    <w:name w:val="SuperTitle"/>
    <w:basedOn w:val="Title"/>
    <w:rsid w:val="00D605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5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5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05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5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5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5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5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5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5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5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5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5EA"/>
    <w:rPr>
      <w:i/>
    </w:rPr>
  </w:style>
  <w:style w:type="paragraph" w:styleId="Caption">
    <w:name w:val="caption"/>
    <w:basedOn w:val="BodyText"/>
    <w:next w:val="Normal"/>
    <w:qFormat/>
    <w:rsid w:val="00D605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5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5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5EA"/>
  </w:style>
  <w:style w:type="paragraph" w:styleId="TableofFigures">
    <w:name w:val="table of figures"/>
    <w:basedOn w:val="Normal"/>
    <w:next w:val="Normal"/>
    <w:semiHidden/>
    <w:rsid w:val="00D605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5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05EA"/>
    <w:rPr>
      <w:rFonts w:ascii="Wingdings" w:hAnsi="Wingdings"/>
    </w:rPr>
  </w:style>
  <w:style w:type="paragraph" w:customStyle="1" w:styleId="TableHeading">
    <w:name w:val="Table Heading"/>
    <w:basedOn w:val="HeadingBase"/>
    <w:rsid w:val="00D605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5EA"/>
    <w:rPr>
      <w:color w:val="0033CC"/>
      <w:u w:val="none"/>
    </w:rPr>
  </w:style>
  <w:style w:type="paragraph" w:customStyle="1" w:styleId="BodyTextRight">
    <w:name w:val="Body Text Right"/>
    <w:basedOn w:val="BodyText"/>
    <w:rsid w:val="00D605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5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5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5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5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5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5EA"/>
    <w:rPr>
      <w:sz w:val="32"/>
    </w:rPr>
  </w:style>
  <w:style w:type="paragraph" w:customStyle="1" w:styleId="HeadingProcedure">
    <w:name w:val="Heading Procedure"/>
    <w:basedOn w:val="HeadingBase"/>
    <w:next w:val="Normal"/>
    <w:rsid w:val="00D605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5EA"/>
    <w:pPr>
      <w:spacing w:before="60" w:after="60"/>
    </w:pPr>
  </w:style>
  <w:style w:type="paragraph" w:styleId="ListContinue">
    <w:name w:val="List Continue"/>
    <w:basedOn w:val="List"/>
    <w:rsid w:val="00D605EA"/>
    <w:pPr>
      <w:ind w:firstLine="0"/>
    </w:pPr>
  </w:style>
  <w:style w:type="paragraph" w:customStyle="1" w:styleId="ListNote">
    <w:name w:val="List Note"/>
    <w:basedOn w:val="List"/>
    <w:rsid w:val="00D605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5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5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5EA"/>
    <w:rPr>
      <w:rFonts w:ascii="Courier New" w:hAnsi="Courier New"/>
    </w:rPr>
  </w:style>
  <w:style w:type="paragraph" w:customStyle="1" w:styleId="NoteBullet">
    <w:name w:val="Note Bullet"/>
    <w:basedOn w:val="Note"/>
    <w:rsid w:val="00D605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5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5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5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5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05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5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5EA"/>
    <w:rPr>
      <w:b/>
      <w:smallCaps/>
    </w:rPr>
  </w:style>
  <w:style w:type="paragraph" w:customStyle="1" w:styleId="TableListNumber">
    <w:name w:val="Table List Number"/>
    <w:basedOn w:val="ListNumber"/>
    <w:rsid w:val="00D605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5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5EA"/>
    <w:pPr>
      <w:numPr>
        <w:numId w:val="9"/>
      </w:numPr>
    </w:pPr>
  </w:style>
  <w:style w:type="paragraph" w:customStyle="1" w:styleId="ListAlpha2">
    <w:name w:val="List Alpha 2"/>
    <w:basedOn w:val="List2"/>
    <w:rsid w:val="00D605EA"/>
    <w:pPr>
      <w:numPr>
        <w:numId w:val="8"/>
      </w:numPr>
    </w:pPr>
  </w:style>
  <w:style w:type="paragraph" w:styleId="List2">
    <w:name w:val="List 2"/>
    <w:basedOn w:val="BodyText"/>
    <w:rsid w:val="00D605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5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5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5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5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5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05EA"/>
    <w:pPr>
      <w:numPr>
        <w:numId w:val="4"/>
      </w:numPr>
    </w:pPr>
  </w:style>
  <w:style w:type="paragraph" w:styleId="ListContinue2">
    <w:name w:val="List Continue 2"/>
    <w:basedOn w:val="List2"/>
    <w:rsid w:val="00D605EA"/>
    <w:pPr>
      <w:ind w:firstLine="0"/>
    </w:pPr>
  </w:style>
  <w:style w:type="paragraph" w:styleId="ListContinue3">
    <w:name w:val="List Continue 3"/>
    <w:basedOn w:val="List3"/>
    <w:rsid w:val="00D605EA"/>
    <w:pPr>
      <w:ind w:left="1021" w:firstLine="0"/>
    </w:pPr>
  </w:style>
  <w:style w:type="paragraph" w:styleId="ListContinue4">
    <w:name w:val="List Continue 4"/>
    <w:basedOn w:val="List4"/>
    <w:rsid w:val="00D605EA"/>
    <w:pPr>
      <w:ind w:firstLine="0"/>
    </w:pPr>
  </w:style>
  <w:style w:type="paragraph" w:styleId="ListContinue5">
    <w:name w:val="List Continue 5"/>
    <w:basedOn w:val="List5"/>
    <w:rsid w:val="00D605EA"/>
    <w:pPr>
      <w:ind w:firstLine="0"/>
    </w:pPr>
  </w:style>
  <w:style w:type="paragraph" w:styleId="ListNumber3">
    <w:name w:val="List Number 3"/>
    <w:basedOn w:val="List3"/>
    <w:rsid w:val="00D605EA"/>
    <w:pPr>
      <w:numPr>
        <w:numId w:val="5"/>
      </w:numPr>
    </w:pPr>
  </w:style>
  <w:style w:type="paragraph" w:styleId="ListNumber4">
    <w:name w:val="List Number 4"/>
    <w:basedOn w:val="List4"/>
    <w:rsid w:val="00D605EA"/>
    <w:pPr>
      <w:numPr>
        <w:numId w:val="6"/>
      </w:numPr>
    </w:pPr>
  </w:style>
  <w:style w:type="paragraph" w:styleId="ListNumber5">
    <w:name w:val="List Number 5"/>
    <w:basedOn w:val="List5"/>
    <w:rsid w:val="00D605EA"/>
    <w:pPr>
      <w:numPr>
        <w:numId w:val="7"/>
      </w:numPr>
    </w:pPr>
  </w:style>
  <w:style w:type="paragraph" w:styleId="BlockText">
    <w:name w:val="Block Text"/>
    <w:basedOn w:val="Normal"/>
    <w:rsid w:val="00D605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5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5EA"/>
    <w:rPr>
      <w:sz w:val="16"/>
      <w:vertAlign w:val="superscript"/>
    </w:rPr>
  </w:style>
  <w:style w:type="character" w:customStyle="1" w:styleId="Symbols">
    <w:name w:val="Symbols"/>
    <w:basedOn w:val="DefaultParagraphFont"/>
    <w:rsid w:val="00D605EA"/>
    <w:rPr>
      <w:rFonts w:ascii="Symbol" w:hAnsi="Symbol"/>
    </w:rPr>
  </w:style>
  <w:style w:type="character" w:customStyle="1" w:styleId="MenuOptions">
    <w:name w:val="Menu Options"/>
    <w:basedOn w:val="DefaultParagraphFont"/>
    <w:rsid w:val="00D605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5EA"/>
    <w:rPr>
      <w:b/>
    </w:rPr>
  </w:style>
  <w:style w:type="character" w:customStyle="1" w:styleId="Underlined">
    <w:name w:val="Underlined"/>
    <w:basedOn w:val="DefaultParagraphFont"/>
    <w:rsid w:val="00D605EA"/>
    <w:rPr>
      <w:u w:val="single"/>
    </w:rPr>
  </w:style>
  <w:style w:type="paragraph" w:customStyle="1" w:styleId="TableBodyTextRight">
    <w:name w:val="Table Body Text Right"/>
    <w:basedOn w:val="TableBodyText"/>
    <w:rsid w:val="00D605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5EA"/>
    <w:rPr>
      <w:sz w:val="18"/>
    </w:rPr>
  </w:style>
  <w:style w:type="paragraph" w:customStyle="1" w:styleId="BodySmallRight">
    <w:name w:val="Body Small Right"/>
    <w:basedOn w:val="BodyTextRight"/>
    <w:rsid w:val="00D605EA"/>
    <w:rPr>
      <w:sz w:val="18"/>
      <w:szCs w:val="18"/>
    </w:rPr>
  </w:style>
  <w:style w:type="paragraph" w:customStyle="1" w:styleId="MarginEdition">
    <w:name w:val="Margin Edition"/>
    <w:basedOn w:val="MarginNote"/>
    <w:rsid w:val="00D605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5EA"/>
    <w:rPr>
      <w:sz w:val="2"/>
      <w:szCs w:val="2"/>
    </w:rPr>
  </w:style>
  <w:style w:type="character" w:customStyle="1" w:styleId="Small">
    <w:name w:val="Small"/>
    <w:basedOn w:val="DefaultParagraphFont"/>
    <w:rsid w:val="00D605EA"/>
    <w:rPr>
      <w:sz w:val="16"/>
    </w:rPr>
  </w:style>
  <w:style w:type="paragraph" w:customStyle="1" w:styleId="WideTable">
    <w:name w:val="Wide Table"/>
    <w:basedOn w:val="Normal"/>
    <w:rsid w:val="00D605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5EA"/>
  </w:style>
  <w:style w:type="paragraph" w:styleId="Quote">
    <w:name w:val="Quote"/>
    <w:basedOn w:val="Heading1"/>
    <w:link w:val="QuoteChar"/>
    <w:qFormat/>
    <w:rsid w:val="00D605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5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5EA"/>
    <w:pPr>
      <w:pageBreakBefore/>
    </w:pPr>
  </w:style>
  <w:style w:type="paragraph" w:customStyle="1" w:styleId="Border">
    <w:name w:val="Border"/>
    <w:basedOn w:val="Normal"/>
    <w:qFormat/>
    <w:rsid w:val="00D605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5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5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5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5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5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5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5EA"/>
    <w:rPr>
      <w:u w:val="single"/>
    </w:rPr>
  </w:style>
  <w:style w:type="character" w:customStyle="1" w:styleId="BoldandItalics">
    <w:name w:val="Bold and Italics"/>
    <w:qFormat/>
    <w:rsid w:val="00D605EA"/>
    <w:rPr>
      <w:b/>
      <w:i/>
      <w:u w:val="none"/>
    </w:rPr>
  </w:style>
  <w:style w:type="paragraph" w:styleId="BalloonText">
    <w:name w:val="Balloon Text"/>
    <w:basedOn w:val="Normal"/>
    <w:link w:val="BalloonTextChar"/>
    <w:rsid w:val="00D605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5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5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5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5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5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5EA"/>
    <w:pPr>
      <w:spacing w:before="0" w:after="0"/>
    </w:pPr>
  </w:style>
  <w:style w:type="paragraph" w:customStyle="1" w:styleId="BodyTextBold">
    <w:name w:val="Body Text Bold"/>
    <w:basedOn w:val="BodyText"/>
    <w:qFormat/>
    <w:rsid w:val="00D605EA"/>
    <w:rPr>
      <w:b/>
    </w:rPr>
  </w:style>
  <w:style w:type="character" w:styleId="Hyperlink">
    <w:name w:val="Hyperlink"/>
    <w:basedOn w:val="DefaultParagraphFont"/>
    <w:uiPriority w:val="99"/>
    <w:unhideWhenUsed/>
    <w:rsid w:val="00092D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3287</Characters>
  <Application>Microsoft Office Word</Application>
  <DocSecurity>0</DocSecurity>
  <Lines>88</Lines>
  <Paragraphs>72</Paragraphs>
  <ScaleCrop>false</ScaleCrop>
  <Company>Author-it Software Corporation Ltd.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PMAOPS315 Operate and troubleshoot process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2022-12-09T00:59:00Z</dcterms:created>
  <dcterms:modified xsi:type="dcterms:W3CDTF">2022-12-09T00:59:00Z</dcterms:modified>
</cp:coreProperties>
</file>