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6F0" w:rsidP="00396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PMAOPS309 Operate solids handling/storage facility</w:t>
      </w:r>
      <w:r>
        <w:fldChar w:fldCharType="end"/>
      </w:r>
    </w:p>
    <w:p w:rsidR="003966F0" w:rsidP="003966F0">
      <w:pPr>
        <w:pStyle w:val="Version"/>
        <w:sectPr w:rsidSect="00947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7A3" w:rsidP="009477A3">
      <w:pPr>
        <w:pStyle w:val="SuperHeading"/>
      </w:pPr>
      <w:r w:rsidRPr="009477A3">
        <w:t>Assessment Requirements for PMAOPS309 Operate solids handling/storage facility</w:t>
      </w:r>
    </w:p>
    <w:p w:rsidR="00000000" w:rsidRPr="009477A3" w:rsidP="009477A3">
      <w:pPr>
        <w:pStyle w:val="Heading1"/>
      </w:pPr>
      <w:bookmarkStart w:id="1" w:name="O_907799"/>
      <w:bookmarkEnd w:id="1"/>
      <w:r w:rsidRPr="009477A3">
        <w:t>Modification History</w:t>
      </w:r>
    </w:p>
    <w:p w:rsidR="00000000" w:rsidRPr="009477A3" w:rsidP="003966F0">
      <w:pPr>
        <w:pStyle w:val="BodyText"/>
      </w:pPr>
      <w:r w:rsidRPr="009477A3">
        <w:t>Release 1. Supersedes and is equivalent to PMAOPS309B Operate particulates handling/storage equipment</w:t>
      </w:r>
    </w:p>
    <w:p w:rsidR="00000000" w:rsidRPr="009477A3" w:rsidP="009477A3">
      <w:pPr>
        <w:pStyle w:val="Heading1"/>
      </w:pPr>
      <w:bookmarkStart w:id="2" w:name="O_907802"/>
      <w:bookmarkEnd w:id="2"/>
      <w:r w:rsidRPr="009477A3">
        <w:t>Performance Evidence</w:t>
      </w:r>
    </w:p>
    <w:p w:rsidR="00000000" w:rsidRPr="009477A3" w:rsidP="009477A3">
      <w:pPr>
        <w:pStyle w:val="ListBullet"/>
      </w:pPr>
      <w:r w:rsidRPr="009477A3">
        <w:t>Evidence required to demonstrate competence in this unit must be relevant to and satisfy the requirements of the elements and performance criteria and includes the ability to:</w:t>
      </w:r>
    </w:p>
    <w:p w:rsidR="00000000" w:rsidRPr="009477A3" w:rsidP="009477A3">
      <w:pPr>
        <w:pStyle w:val="ListBullet"/>
      </w:pPr>
      <w:r w:rsidRPr="009477A3">
        <w:t>perform pre-start checks, start-up/shutdown and cleaning procedures, and isola</w:t>
      </w:r>
      <w:r w:rsidRPr="009477A3">
        <w:t>tions and de-isolations</w:t>
      </w:r>
    </w:p>
    <w:p w:rsidR="00000000" w:rsidRPr="009477A3" w:rsidP="009477A3">
      <w:pPr>
        <w:pStyle w:val="ListBullet"/>
      </w:pPr>
      <w:r w:rsidRPr="009477A3">
        <w:t>set up routing of transport systems</w:t>
      </w:r>
    </w:p>
    <w:p w:rsidR="00000000" w:rsidRPr="009477A3" w:rsidP="009477A3">
      <w:pPr>
        <w:pStyle w:val="ListBullet"/>
      </w:pPr>
      <w:r w:rsidRPr="009477A3">
        <w:t>operate and monitor equipment to safely move stock to and retrieve from the appropriate areas</w:t>
      </w:r>
    </w:p>
    <w:p w:rsidR="00000000" w:rsidRPr="009477A3" w:rsidP="009477A3">
      <w:pPr>
        <w:pStyle w:val="ListBullet"/>
      </w:pPr>
      <w:r w:rsidRPr="009477A3">
        <w:t xml:space="preserve">identify hazards and risks and apply risk control procedures </w:t>
      </w:r>
    </w:p>
    <w:p w:rsidR="00000000" w:rsidRPr="009477A3" w:rsidP="009477A3">
      <w:pPr>
        <w:pStyle w:val="ListBullet"/>
      </w:pPr>
      <w:r w:rsidRPr="009477A3">
        <w:t>identify early warning signs of equipmen</w:t>
      </w:r>
      <w:r w:rsidRPr="009477A3">
        <w:t>t/stock needing attention or with potential problems and take action</w:t>
      </w:r>
    </w:p>
    <w:p w:rsidR="00000000" w:rsidRPr="009477A3" w:rsidP="009477A3">
      <w:pPr>
        <w:pStyle w:val="ListBullet"/>
      </w:pPr>
      <w:r w:rsidRPr="009477A3">
        <w:t xml:space="preserve">resolve non-routine problems </w:t>
      </w:r>
    </w:p>
    <w:p w:rsidR="00000000" w:rsidRPr="009477A3" w:rsidP="009477A3">
      <w:pPr>
        <w:pStyle w:val="ListBullet"/>
      </w:pPr>
      <w:r w:rsidRPr="009477A3">
        <w:t xml:space="preserve">manage storage area taking into account quality and quantity of stock, effective use of storage capacity and customer needs </w:t>
      </w:r>
    </w:p>
    <w:p w:rsidR="00000000" w:rsidRPr="009477A3" w:rsidP="003966F0">
      <w:pPr>
        <w:pStyle w:val="BodyText"/>
      </w:pPr>
      <w:r w:rsidRPr="009477A3">
        <w:t>identify hazards and risks and a</w:t>
      </w:r>
      <w:r w:rsidRPr="009477A3">
        <w:t xml:space="preserve">pply risk control procedures. </w:t>
      </w:r>
    </w:p>
    <w:p w:rsidR="00000000" w:rsidRPr="009477A3" w:rsidP="009477A3">
      <w:pPr>
        <w:pStyle w:val="Heading1"/>
      </w:pPr>
      <w:bookmarkStart w:id="3" w:name="O_907801"/>
      <w:bookmarkEnd w:id="3"/>
      <w:r w:rsidRPr="009477A3">
        <w:t>Knowledge Evidence</w:t>
      </w:r>
    </w:p>
    <w:p w:rsidR="00000000" w:rsidRPr="009477A3" w:rsidP="003966F0">
      <w:pPr>
        <w:pStyle w:val="BodyText"/>
      </w:pPr>
      <w:r w:rsidRPr="009477A3">
        <w:t>Evidence must be provided that demonstrates knowledge of:</w:t>
      </w:r>
    </w:p>
    <w:p w:rsidR="00000000" w:rsidRPr="009477A3" w:rsidP="009477A3">
      <w:pPr>
        <w:pStyle w:val="ListBullet"/>
      </w:pPr>
      <w:r w:rsidRPr="009477A3">
        <w:t xml:space="preserve">all items on a schematic of the system and functions of each </w:t>
      </w:r>
    </w:p>
    <w:p w:rsidR="00000000" w:rsidRPr="009477A3" w:rsidP="009477A3">
      <w:pPr>
        <w:pStyle w:val="ListBullet"/>
      </w:pPr>
      <w:r w:rsidRPr="009477A3">
        <w:t xml:space="preserve">principles of operation of plant/equipment </w:t>
      </w:r>
    </w:p>
    <w:p w:rsidR="00000000" w:rsidRPr="009477A3" w:rsidP="009477A3">
      <w:pPr>
        <w:pStyle w:val="ListBullet"/>
      </w:pPr>
      <w:r w:rsidRPr="009477A3">
        <w:t>interactions between pla</w:t>
      </w:r>
      <w:r w:rsidRPr="009477A3">
        <w:t>nt items/processes</w:t>
      </w:r>
    </w:p>
    <w:p w:rsidR="00000000" w:rsidRPr="009477A3" w:rsidP="009477A3">
      <w:pPr>
        <w:pStyle w:val="ListBullet"/>
      </w:pPr>
      <w:r w:rsidRPr="009477A3">
        <w:t>systems’ operating parameters and integrity limits, product specifications and tolerances</w:t>
      </w:r>
    </w:p>
    <w:p w:rsidR="00000000" w:rsidRPr="009477A3" w:rsidP="009477A3">
      <w:pPr>
        <w:pStyle w:val="ListBullet"/>
      </w:pPr>
      <w:r w:rsidRPr="009477A3">
        <w:t>impact of external factors (e.g. variations in weather)</w:t>
      </w:r>
    </w:p>
    <w:p w:rsidR="00000000" w:rsidRPr="009477A3" w:rsidP="009477A3">
      <w:pPr>
        <w:pStyle w:val="ListBullet"/>
      </w:pPr>
      <w:r w:rsidRPr="009477A3">
        <w:t>function and troubleshooting of major components and their problems and resolution</w:t>
      </w:r>
    </w:p>
    <w:p w:rsidR="00000000" w:rsidRPr="009477A3" w:rsidP="009477A3">
      <w:pPr>
        <w:pStyle w:val="ListBullet"/>
      </w:pPr>
      <w:r w:rsidRPr="009477A3">
        <w:t>parti</w:t>
      </w:r>
      <w:r w:rsidRPr="009477A3">
        <w:t>culate properties</w:t>
      </w:r>
    </w:p>
    <w:p w:rsidR="00000000" w:rsidRPr="009477A3" w:rsidP="009477A3">
      <w:pPr>
        <w:pStyle w:val="ListBullet"/>
      </w:pPr>
      <w:r w:rsidRPr="009477A3">
        <w:t>logistics</w:t>
      </w:r>
    </w:p>
    <w:p w:rsidR="00000000" w:rsidRPr="009477A3" w:rsidP="009477A3">
      <w:pPr>
        <w:pStyle w:val="ListBullet"/>
      </w:pPr>
      <w:r w:rsidRPr="009477A3">
        <w:t>forward demand</w:t>
      </w:r>
    </w:p>
    <w:p w:rsidR="00000000" w:rsidRPr="009477A3" w:rsidP="009477A3">
      <w:pPr>
        <w:pStyle w:val="ListBullet"/>
      </w:pPr>
      <w:r w:rsidRPr="009477A3">
        <w:t>material storage requirements</w:t>
      </w:r>
    </w:p>
    <w:p w:rsidR="00000000" w:rsidRPr="009477A3" w:rsidP="009477A3">
      <w:pPr>
        <w:pStyle w:val="ListBullet"/>
      </w:pPr>
      <w:r w:rsidRPr="009477A3">
        <w:t xml:space="preserve">compatibility and contamination issues </w:t>
      </w:r>
    </w:p>
    <w:p w:rsidR="00000000" w:rsidRPr="009477A3" w:rsidP="009477A3">
      <w:pPr>
        <w:pStyle w:val="ListBullet"/>
      </w:pPr>
      <w:r w:rsidRPr="009477A3">
        <w:t>hierarchy of control</w:t>
      </w:r>
    </w:p>
    <w:p w:rsidR="00000000" w:rsidRPr="009477A3" w:rsidP="009477A3">
      <w:pPr>
        <w:pStyle w:val="ListBullet"/>
      </w:pPr>
      <w:r w:rsidRPr="009477A3">
        <w:t>hazards that may arise in the job/work environment, and:</w:t>
      </w:r>
    </w:p>
    <w:p w:rsidR="00000000" w:rsidRPr="009477A3" w:rsidP="009477A3">
      <w:pPr>
        <w:pStyle w:val="ListBullet2"/>
      </w:pPr>
      <w:r w:rsidRPr="009477A3">
        <w:t xml:space="preserve">their possible causes </w:t>
      </w:r>
    </w:p>
    <w:p w:rsidR="00000000" w:rsidRPr="009477A3" w:rsidP="009477A3">
      <w:pPr>
        <w:pStyle w:val="ListBullet2"/>
      </w:pPr>
      <w:r w:rsidRPr="009477A3">
        <w:t>potential consequences</w:t>
      </w:r>
    </w:p>
    <w:p w:rsidR="00000000" w:rsidRPr="009477A3" w:rsidP="009477A3">
      <w:pPr>
        <w:pStyle w:val="ListBullet2"/>
      </w:pPr>
      <w:r w:rsidRPr="009477A3">
        <w:t>appropriate risk c</w:t>
      </w:r>
      <w:r w:rsidRPr="009477A3">
        <w:t>ontrols.</w:t>
      </w:r>
    </w:p>
    <w:p w:rsidR="00000000" w:rsidRPr="009477A3" w:rsidP="009477A3">
      <w:pPr>
        <w:pStyle w:val="AllowPageBreak"/>
      </w:pPr>
    </w:p>
    <w:p w:rsidR="00000000" w:rsidRPr="009477A3" w:rsidP="009477A3">
      <w:pPr>
        <w:pStyle w:val="Heading1"/>
      </w:pPr>
      <w:bookmarkStart w:id="4" w:name="O_907800"/>
      <w:bookmarkEnd w:id="4"/>
      <w:r w:rsidRPr="009477A3">
        <w:t>Assessment Conditions</w:t>
      </w:r>
    </w:p>
    <w:p w:rsidR="00000000" w:rsidRPr="009477A3" w:rsidP="009477A3">
      <w:pPr>
        <w:pStyle w:val="ListBullet"/>
      </w:pPr>
      <w:r w:rsidRPr="009477A3">
        <w:t>The unit should be assessed holistically and the judgement of competence based on a holistic assessment of the evidence.</w:t>
      </w:r>
    </w:p>
    <w:p w:rsidR="00000000" w:rsidRPr="009477A3" w:rsidP="009477A3">
      <w:pPr>
        <w:pStyle w:val="ListBullet"/>
      </w:pPr>
      <w:r w:rsidRPr="009477A3">
        <w:t>The collection of performance evidence:</w:t>
      </w:r>
    </w:p>
    <w:p w:rsidR="00000000" w:rsidRPr="009477A3" w:rsidP="009477A3">
      <w:pPr>
        <w:pStyle w:val="ListBullet2"/>
      </w:pPr>
      <w:r w:rsidRPr="009477A3">
        <w:t xml:space="preserve">should occur over a range of situations which include typical disruptions to normal, smooth operations </w:t>
      </w:r>
    </w:p>
    <w:p w:rsidR="00000000" w:rsidRPr="009477A3" w:rsidP="009477A3">
      <w:pPr>
        <w:pStyle w:val="ListBullet2"/>
      </w:pPr>
      <w:r w:rsidRPr="009477A3">
        <w:t xml:space="preserve">will typically include a supervisor/third-party report focusing on consistent performance and problem recognition and solving. A supervisor/third-party </w:t>
      </w:r>
      <w:r w:rsidRPr="009477A3">
        <w:t xml:space="preserve">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9477A3" w:rsidP="009477A3">
      <w:pPr>
        <w:pStyle w:val="ListBullet2"/>
      </w:pPr>
      <w:r w:rsidRPr="009477A3">
        <w:t xml:space="preserve">must include the use of industrial </w:t>
      </w:r>
      <w:r w:rsidRPr="009477A3">
        <w:t>type storage and handling facility appropriate to this unit allowing demonstration of operation</w:t>
      </w:r>
    </w:p>
    <w:p w:rsidR="00000000" w:rsidRPr="009477A3" w:rsidP="009477A3">
      <w:pPr>
        <w:pStyle w:val="ListBullet2"/>
      </w:pPr>
      <w:r w:rsidRPr="009477A3">
        <w:t>may use industry-based simulation for part only of the unit particularly where safety, lack of opportunity or significant cost is an issue.</w:t>
      </w:r>
    </w:p>
    <w:p w:rsidR="00000000" w:rsidRPr="009477A3" w:rsidP="009477A3">
      <w:pPr>
        <w:pStyle w:val="ListBullet"/>
      </w:pPr>
      <w:r w:rsidRPr="009477A3">
        <w:t>Assessment should o</w:t>
      </w:r>
      <w:r w:rsidRPr="009477A3">
        <w:t>ccur in operational workplace situations. Where this is not possible, or where personal safety or environmental damage are limiting factors, assessment must occur in a sufficiently rigorous simulated environment reflecting realistic operational workplace c</w:t>
      </w:r>
      <w:r w:rsidRPr="009477A3">
        <w:t xml:space="preserve">onditions. This must cover all aspects of workplace performance, including environment, task skills, task management skills, contingency management skills and job role environment skills. </w:t>
      </w:r>
    </w:p>
    <w:p w:rsidR="00000000" w:rsidRPr="009477A3" w:rsidP="009477A3">
      <w:pPr>
        <w:pStyle w:val="ListBullet"/>
      </w:pPr>
      <w:r w:rsidRPr="009477A3">
        <w:t>Assessment in a simulated environment should use evidence collected</w:t>
      </w:r>
      <w:r w:rsidRPr="009477A3">
        <w:t xml:space="preserve"> from one or more of: </w:t>
      </w:r>
    </w:p>
    <w:p w:rsidR="00000000" w:rsidRPr="009477A3" w:rsidP="009477A3">
      <w:pPr>
        <w:pStyle w:val="ListBullet2"/>
      </w:pPr>
      <w:r w:rsidRPr="009477A3">
        <w:t>walk-throughs</w:t>
      </w:r>
    </w:p>
    <w:p w:rsidR="00000000" w:rsidRPr="009477A3" w:rsidP="009477A3">
      <w:pPr>
        <w:pStyle w:val="ListBullet2"/>
      </w:pPr>
      <w:r w:rsidRPr="009477A3">
        <w:t xml:space="preserve">pilot plant operation </w:t>
      </w:r>
    </w:p>
    <w:p w:rsidR="00000000" w:rsidRPr="009477A3" w:rsidP="009477A3">
      <w:pPr>
        <w:pStyle w:val="ListBullet2"/>
      </w:pPr>
      <w:r w:rsidRPr="009477A3">
        <w:t>demonstration of skills</w:t>
      </w:r>
    </w:p>
    <w:p w:rsidR="00000000" w:rsidRPr="009477A3" w:rsidP="009477A3">
      <w:pPr>
        <w:pStyle w:val="ListBullet2"/>
      </w:pPr>
      <w:r w:rsidRPr="009477A3">
        <w:t xml:space="preserve">industry-based case studies/scenarios </w:t>
      </w:r>
    </w:p>
    <w:p w:rsidR="00000000" w:rsidRPr="009477A3" w:rsidP="009477A3">
      <w:pPr>
        <w:pStyle w:val="ListBullet2"/>
      </w:pPr>
      <w:r w:rsidRPr="009477A3">
        <w:t>‘what ifs’.</w:t>
      </w:r>
    </w:p>
    <w:p w:rsidR="00000000" w:rsidRPr="009477A3" w:rsidP="009477A3">
      <w:pPr>
        <w:pStyle w:val="ListBullet"/>
      </w:pPr>
      <w:r w:rsidRPr="009477A3">
        <w:t>Knowledge evidence may be collected concurrently with performance evidence (provided a record is kept) or through an in</w:t>
      </w:r>
      <w:r w:rsidRPr="009477A3">
        <w:t>dependent process, such as workbooks, written assessments or interviews (provided a record is kept).</w:t>
      </w:r>
    </w:p>
    <w:p w:rsidR="00000000" w:rsidRPr="009477A3" w:rsidP="009477A3">
      <w:pPr>
        <w:pStyle w:val="ListBullet"/>
      </w:pPr>
      <w:r w:rsidRPr="009477A3">
        <w:t>Assessment processes and techniques must be appropriate to the language, literacy and numeracy requirements of the work being performed and the needs of th</w:t>
      </w:r>
      <w:r w:rsidRPr="009477A3">
        <w:t>e candidate.</w:t>
      </w:r>
    </w:p>
    <w:p w:rsidR="00000000" w:rsidRPr="009477A3" w:rsidP="009477A3">
      <w:pPr>
        <w:pStyle w:val="ListBullet"/>
      </w:pPr>
      <w:r w:rsidRPr="009477A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477A3" w:rsidP="009477A3">
      <w:pPr>
        <w:pStyle w:val="ListBullet"/>
      </w:pPr>
      <w:r w:rsidRPr="009477A3">
        <w:t>The regulatory framework will be reflected in workplace policies and procedures and is not required to be independently assessed.</w:t>
      </w:r>
    </w:p>
    <w:p w:rsidR="00000000" w:rsidRPr="009477A3" w:rsidP="009477A3">
      <w:pPr>
        <w:pStyle w:val="ListBullet"/>
      </w:pPr>
      <w:r w:rsidRPr="009477A3">
        <w:t>Foundation skills are integral to competent performance of the unit and should not be assessed separately.</w:t>
      </w:r>
    </w:p>
    <w:p w:rsidR="00000000" w:rsidRPr="009477A3" w:rsidP="009477A3">
      <w:pPr>
        <w:pStyle w:val="ListBullet"/>
      </w:pPr>
      <w:r w:rsidRPr="009477A3">
        <w:t>Assessors must sati</w:t>
      </w:r>
      <w:r w:rsidRPr="009477A3">
        <w:t>sfy the assessor competency requirements that are in place at the time of the assessment as set by the VET regulator.</w:t>
      </w:r>
    </w:p>
    <w:p w:rsidR="00000000" w:rsidRPr="009477A3" w:rsidP="009477A3">
      <w:pPr>
        <w:pStyle w:val="ListBullet"/>
      </w:pPr>
      <w:r w:rsidRPr="009477A3">
        <w:t>In addition, the assessor or anyone acting in subject matter expert role in assessment must demonstrate both technical competency and curr</w:t>
      </w:r>
      <w:r w:rsidRPr="009477A3">
        <w:t xml:space="preserve">ency. If the assessor cannot demonstrate technical competency and currency they must assess with a subject matter expert who does meet these requirements. </w:t>
      </w:r>
    </w:p>
    <w:p w:rsidR="00000000" w:rsidRPr="009477A3" w:rsidP="009477A3">
      <w:pPr>
        <w:pStyle w:val="ListBullet"/>
      </w:pPr>
      <w:r w:rsidRPr="009477A3">
        <w:t>Technical competence can be demonstrated through one or more of:</w:t>
      </w:r>
    </w:p>
    <w:p w:rsidR="00000000" w:rsidRPr="009477A3" w:rsidP="009477A3">
      <w:pPr>
        <w:pStyle w:val="ListBullet2"/>
      </w:pPr>
      <w:r w:rsidRPr="009477A3">
        <w:t>relevant VET or other qualificatio</w:t>
      </w:r>
      <w:r w:rsidRPr="009477A3">
        <w:t xml:space="preserve">n/Statement of Attainment </w:t>
      </w:r>
    </w:p>
    <w:p w:rsidR="00000000" w:rsidRPr="009477A3" w:rsidP="009477A3">
      <w:pPr>
        <w:pStyle w:val="ListBullet2"/>
      </w:pPr>
      <w:r w:rsidRPr="009477A3">
        <w:t xml:space="preserve">appropriate workplace experience undertaking the type of work being assessed under routine and non-routine conditions </w:t>
      </w:r>
    </w:p>
    <w:p w:rsidR="00000000" w:rsidRPr="009477A3" w:rsidP="009477A3">
      <w:pPr>
        <w:pStyle w:val="ListBullet2"/>
      </w:pPr>
      <w:r w:rsidRPr="009477A3">
        <w:t>appropriate workplace experience supervising/evaluating the type of work being assessed under routine and non-</w:t>
      </w:r>
      <w:r w:rsidRPr="009477A3">
        <w:t>routine conditions</w:t>
      </w:r>
    </w:p>
    <w:p w:rsidR="00000000" w:rsidRPr="009477A3" w:rsidP="009477A3">
      <w:pPr>
        <w:pStyle w:val="ListBullet"/>
      </w:pPr>
      <w:r w:rsidRPr="009477A3">
        <w:t>Currency can be demonstrated through one or more of:</w:t>
      </w:r>
    </w:p>
    <w:p w:rsidR="00000000" w:rsidRPr="009477A3" w:rsidP="009477A3">
      <w:pPr>
        <w:pStyle w:val="ListBullet2"/>
      </w:pPr>
      <w:r w:rsidRPr="009477A3">
        <w:t xml:space="preserve">being currently employed undertaking the type of work being assessed </w:t>
      </w:r>
    </w:p>
    <w:p w:rsidR="00000000" w:rsidRPr="009477A3" w:rsidP="009477A3">
      <w:pPr>
        <w:pStyle w:val="ListBullet2"/>
      </w:pPr>
      <w:r w:rsidRPr="009477A3">
        <w:t>being employed by the organisation undertaking the type of work being assessed and having maintained currency in</w:t>
      </w:r>
      <w:r w:rsidRPr="009477A3">
        <w:t xml:space="preserve"> accordance with that organisation’s policies and procedures </w:t>
      </w:r>
    </w:p>
    <w:p w:rsidR="00000000" w:rsidRPr="009477A3" w:rsidP="009477A3">
      <w:pPr>
        <w:pStyle w:val="ListBullet2"/>
      </w:pPr>
      <w:r w:rsidRPr="009477A3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9477A3" w:rsidP="009477A3">
      <w:pPr>
        <w:pStyle w:val="ListBullet2"/>
      </w:pPr>
      <w:r w:rsidRPr="009477A3">
        <w:t>conducting on-t</w:t>
      </w:r>
      <w:r w:rsidRPr="009477A3">
        <w:t xml:space="preserve">he-job training/assessments of the type of work being assessed </w:t>
      </w:r>
    </w:p>
    <w:p w:rsidR="00000000" w:rsidRPr="009477A3" w:rsidP="009477A3">
      <w:pPr>
        <w:pStyle w:val="ListBullet2"/>
      </w:pPr>
      <w:r w:rsidRPr="009477A3">
        <w:t>being an active member of a relevant professional body and participating in activities relevant to the assessment of this type of work.</w:t>
      </w:r>
    </w:p>
    <w:p w:rsidR="00000000" w:rsidRPr="009477A3" w:rsidP="009477A3">
      <w:pPr>
        <w:pStyle w:val="AllowPageBreak"/>
      </w:pPr>
    </w:p>
    <w:p w:rsidR="00000000" w:rsidRPr="009477A3" w:rsidP="009477A3">
      <w:pPr>
        <w:pStyle w:val="Heading1"/>
      </w:pPr>
      <w:bookmarkStart w:id="5" w:name="O_907798"/>
      <w:bookmarkEnd w:id="5"/>
      <w:r w:rsidRPr="009477A3">
        <w:t>Links</w:t>
      </w:r>
    </w:p>
    <w:p w:rsidR="00000000" w:rsidRPr="009477A3" w:rsidP="003966F0">
      <w:pPr>
        <w:pStyle w:val="BodyText"/>
      </w:pPr>
      <w:r w:rsidRPr="009477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A2A5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477A3" w:rsidP="009477A3"/>
    <w:sectPr w:rsidSect="009477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A3" w:rsidRPr="003966F0" w:rsidP="00396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F0" w:rsidP="00947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6F0" w:rsidP="00947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66F0" w:rsidP="00947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7A3" w:rsidRPr="003966F0" w:rsidP="00396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F0" w:rsidRPr="002D2AF8" w:rsidP="00947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PMAOPS309 Operate solids handling/storage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966F0" w:rsidP="00947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A03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F8B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466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7A3"/>
  </w:style>
  <w:style w:type="character" w:customStyle="1" w:styleId="Heading1Char">
    <w:name w:val="Heading 1 Char"/>
    <w:basedOn w:val="DefaultParagraphFont"/>
    <w:link w:val="Heading1"/>
    <w:rsid w:val="00947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7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7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77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7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7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7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77A3"/>
    <w:rPr>
      <w:b/>
      <w:spacing w:val="0"/>
    </w:rPr>
  </w:style>
  <w:style w:type="paragraph" w:customStyle="1" w:styleId="SuperTitle">
    <w:name w:val="SuperTitle"/>
    <w:basedOn w:val="Title"/>
    <w:rsid w:val="00947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7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7A3"/>
    <w:rPr>
      <w:i/>
    </w:rPr>
  </w:style>
  <w:style w:type="paragraph" w:styleId="Caption">
    <w:name w:val="caption"/>
    <w:basedOn w:val="BodyText"/>
    <w:next w:val="Normal"/>
    <w:qFormat/>
    <w:rsid w:val="00947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7A3"/>
  </w:style>
  <w:style w:type="paragraph" w:styleId="TableofFigures">
    <w:name w:val="table of figures"/>
    <w:basedOn w:val="Normal"/>
    <w:next w:val="Normal"/>
    <w:semiHidden/>
    <w:rsid w:val="00947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7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77A3"/>
    <w:rPr>
      <w:rFonts w:ascii="Wingdings" w:hAnsi="Wingdings"/>
    </w:rPr>
  </w:style>
  <w:style w:type="paragraph" w:customStyle="1" w:styleId="TableHeading">
    <w:name w:val="Table Heading"/>
    <w:basedOn w:val="HeadingBase"/>
    <w:rsid w:val="00947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7A3"/>
    <w:rPr>
      <w:color w:val="0033CC"/>
      <w:u w:val="none"/>
    </w:rPr>
  </w:style>
  <w:style w:type="paragraph" w:customStyle="1" w:styleId="BodyTextRight">
    <w:name w:val="Body Text Right"/>
    <w:basedOn w:val="BodyText"/>
    <w:rsid w:val="00947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7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7A3"/>
    <w:rPr>
      <w:sz w:val="32"/>
    </w:rPr>
  </w:style>
  <w:style w:type="paragraph" w:customStyle="1" w:styleId="HeadingProcedure">
    <w:name w:val="Heading Procedure"/>
    <w:basedOn w:val="HeadingBase"/>
    <w:next w:val="Normal"/>
    <w:rsid w:val="00947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7A3"/>
    <w:pPr>
      <w:spacing w:before="60" w:after="60"/>
    </w:pPr>
  </w:style>
  <w:style w:type="paragraph" w:styleId="ListContinue">
    <w:name w:val="List Continue"/>
    <w:basedOn w:val="List"/>
    <w:rsid w:val="009477A3"/>
    <w:pPr>
      <w:ind w:firstLine="0"/>
    </w:pPr>
  </w:style>
  <w:style w:type="paragraph" w:customStyle="1" w:styleId="ListNote">
    <w:name w:val="List Note"/>
    <w:basedOn w:val="List"/>
    <w:rsid w:val="00947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7A3"/>
    <w:rPr>
      <w:rFonts w:ascii="Courier New" w:hAnsi="Courier New"/>
    </w:rPr>
  </w:style>
  <w:style w:type="paragraph" w:customStyle="1" w:styleId="NoteBullet">
    <w:name w:val="Note Bullet"/>
    <w:basedOn w:val="Note"/>
    <w:rsid w:val="00947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7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7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7A3"/>
    <w:rPr>
      <w:b/>
      <w:smallCaps/>
    </w:rPr>
  </w:style>
  <w:style w:type="paragraph" w:customStyle="1" w:styleId="TableListNumber">
    <w:name w:val="Table List Number"/>
    <w:basedOn w:val="ListNumber"/>
    <w:rsid w:val="00947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7A3"/>
    <w:pPr>
      <w:numPr>
        <w:numId w:val="9"/>
      </w:numPr>
    </w:pPr>
  </w:style>
  <w:style w:type="paragraph" w:customStyle="1" w:styleId="ListAlpha2">
    <w:name w:val="List Alpha 2"/>
    <w:basedOn w:val="List2"/>
    <w:rsid w:val="009477A3"/>
    <w:pPr>
      <w:numPr>
        <w:numId w:val="8"/>
      </w:numPr>
    </w:pPr>
  </w:style>
  <w:style w:type="paragraph" w:styleId="List2">
    <w:name w:val="List 2"/>
    <w:basedOn w:val="BodyText"/>
    <w:rsid w:val="00947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7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7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77A3"/>
    <w:pPr>
      <w:numPr>
        <w:numId w:val="4"/>
      </w:numPr>
    </w:pPr>
  </w:style>
  <w:style w:type="paragraph" w:styleId="ListContinue2">
    <w:name w:val="List Continue 2"/>
    <w:basedOn w:val="List2"/>
    <w:rsid w:val="009477A3"/>
    <w:pPr>
      <w:ind w:firstLine="0"/>
    </w:pPr>
  </w:style>
  <w:style w:type="paragraph" w:styleId="ListContinue3">
    <w:name w:val="List Continue 3"/>
    <w:basedOn w:val="List3"/>
    <w:rsid w:val="009477A3"/>
    <w:pPr>
      <w:ind w:left="1021" w:firstLine="0"/>
    </w:pPr>
  </w:style>
  <w:style w:type="paragraph" w:styleId="ListContinue4">
    <w:name w:val="List Continue 4"/>
    <w:basedOn w:val="List4"/>
    <w:rsid w:val="009477A3"/>
    <w:pPr>
      <w:ind w:firstLine="0"/>
    </w:pPr>
  </w:style>
  <w:style w:type="paragraph" w:styleId="ListContinue5">
    <w:name w:val="List Continue 5"/>
    <w:basedOn w:val="List5"/>
    <w:rsid w:val="009477A3"/>
    <w:pPr>
      <w:ind w:firstLine="0"/>
    </w:pPr>
  </w:style>
  <w:style w:type="paragraph" w:styleId="ListNumber3">
    <w:name w:val="List Number 3"/>
    <w:basedOn w:val="List3"/>
    <w:rsid w:val="009477A3"/>
    <w:pPr>
      <w:numPr>
        <w:numId w:val="5"/>
      </w:numPr>
    </w:pPr>
  </w:style>
  <w:style w:type="paragraph" w:styleId="ListNumber4">
    <w:name w:val="List Number 4"/>
    <w:basedOn w:val="List4"/>
    <w:rsid w:val="009477A3"/>
    <w:pPr>
      <w:numPr>
        <w:numId w:val="6"/>
      </w:numPr>
    </w:pPr>
  </w:style>
  <w:style w:type="paragraph" w:styleId="ListNumber5">
    <w:name w:val="List Number 5"/>
    <w:basedOn w:val="List5"/>
    <w:rsid w:val="009477A3"/>
    <w:pPr>
      <w:numPr>
        <w:numId w:val="7"/>
      </w:numPr>
    </w:pPr>
  </w:style>
  <w:style w:type="paragraph" w:styleId="BlockText">
    <w:name w:val="Block Text"/>
    <w:basedOn w:val="Normal"/>
    <w:rsid w:val="00947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7A3"/>
    <w:rPr>
      <w:sz w:val="16"/>
      <w:vertAlign w:val="superscript"/>
    </w:rPr>
  </w:style>
  <w:style w:type="character" w:customStyle="1" w:styleId="Symbols">
    <w:name w:val="Symbols"/>
    <w:basedOn w:val="DefaultParagraphFont"/>
    <w:rsid w:val="009477A3"/>
    <w:rPr>
      <w:rFonts w:ascii="Symbol" w:hAnsi="Symbol"/>
    </w:rPr>
  </w:style>
  <w:style w:type="character" w:customStyle="1" w:styleId="MenuOptions">
    <w:name w:val="Menu Options"/>
    <w:basedOn w:val="DefaultParagraphFont"/>
    <w:rsid w:val="00947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7A3"/>
    <w:rPr>
      <w:b/>
    </w:rPr>
  </w:style>
  <w:style w:type="character" w:customStyle="1" w:styleId="Underlined">
    <w:name w:val="Underlined"/>
    <w:basedOn w:val="DefaultParagraphFont"/>
    <w:rsid w:val="009477A3"/>
    <w:rPr>
      <w:u w:val="single"/>
    </w:rPr>
  </w:style>
  <w:style w:type="paragraph" w:customStyle="1" w:styleId="TableBodyTextRight">
    <w:name w:val="Table Body Text Right"/>
    <w:basedOn w:val="TableBodyText"/>
    <w:rsid w:val="00947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7A3"/>
    <w:rPr>
      <w:sz w:val="18"/>
    </w:rPr>
  </w:style>
  <w:style w:type="paragraph" w:customStyle="1" w:styleId="BodySmallRight">
    <w:name w:val="Body Small Right"/>
    <w:basedOn w:val="BodyTextRight"/>
    <w:rsid w:val="009477A3"/>
    <w:rPr>
      <w:sz w:val="18"/>
      <w:szCs w:val="18"/>
    </w:rPr>
  </w:style>
  <w:style w:type="paragraph" w:customStyle="1" w:styleId="MarginEdition">
    <w:name w:val="Margin Edition"/>
    <w:basedOn w:val="MarginNote"/>
    <w:rsid w:val="00947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7A3"/>
    <w:rPr>
      <w:sz w:val="2"/>
      <w:szCs w:val="2"/>
    </w:rPr>
  </w:style>
  <w:style w:type="character" w:customStyle="1" w:styleId="Small">
    <w:name w:val="Small"/>
    <w:basedOn w:val="DefaultParagraphFont"/>
    <w:rsid w:val="009477A3"/>
    <w:rPr>
      <w:sz w:val="16"/>
    </w:rPr>
  </w:style>
  <w:style w:type="paragraph" w:customStyle="1" w:styleId="WideTable">
    <w:name w:val="Wide Table"/>
    <w:basedOn w:val="Normal"/>
    <w:rsid w:val="00947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7A3"/>
  </w:style>
  <w:style w:type="paragraph" w:styleId="Quote">
    <w:name w:val="Quote"/>
    <w:basedOn w:val="Heading1"/>
    <w:link w:val="QuoteChar"/>
    <w:qFormat/>
    <w:rsid w:val="00947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7A3"/>
    <w:pPr>
      <w:pageBreakBefore/>
    </w:pPr>
  </w:style>
  <w:style w:type="paragraph" w:customStyle="1" w:styleId="Border">
    <w:name w:val="Border"/>
    <w:basedOn w:val="Normal"/>
    <w:qFormat/>
    <w:rsid w:val="00947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7A3"/>
    <w:rPr>
      <w:u w:val="single"/>
    </w:rPr>
  </w:style>
  <w:style w:type="character" w:customStyle="1" w:styleId="BoldandItalics">
    <w:name w:val="Bold and Italics"/>
    <w:qFormat/>
    <w:rsid w:val="009477A3"/>
    <w:rPr>
      <w:b/>
      <w:i/>
      <w:u w:val="none"/>
    </w:rPr>
  </w:style>
  <w:style w:type="paragraph" w:styleId="BalloonText">
    <w:name w:val="Balloon Text"/>
    <w:basedOn w:val="Normal"/>
    <w:link w:val="BalloonTextChar"/>
    <w:rsid w:val="00947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7A3"/>
    <w:pPr>
      <w:spacing w:before="0" w:after="0"/>
    </w:pPr>
  </w:style>
  <w:style w:type="paragraph" w:customStyle="1" w:styleId="BodyTextBold">
    <w:name w:val="Body Text Bold"/>
    <w:basedOn w:val="BodyText"/>
    <w:qFormat/>
    <w:rsid w:val="009477A3"/>
    <w:rPr>
      <w:b/>
    </w:rPr>
  </w:style>
  <w:style w:type="character" w:styleId="Hyperlink">
    <w:name w:val="Hyperlink"/>
    <w:basedOn w:val="DefaultParagraphFont"/>
    <w:uiPriority w:val="99"/>
    <w:unhideWhenUsed/>
    <w:rsid w:val="00396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5275</Characters>
  <Application>Microsoft Office Word</Application>
  <DocSecurity>0</DocSecurity>
  <Lines>114</Lines>
  <Paragraphs>77</Paragraphs>
  <ScaleCrop>false</ScaleCrop>
  <Company>Author-it Software Corporation Ltd.</Company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PMAOPS309 Operate solids handling/storage facility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2022-09-21T04:42:00Z</dcterms:created>
  <dcterms:modified xsi:type="dcterms:W3CDTF">2022-09-21T04:42:00Z</dcterms:modified>
</cp:coreProperties>
</file>