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F78" w:rsidP="00C56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PMAOPS280 Interpret process plant schematics</w:t>
      </w:r>
      <w:r>
        <w:fldChar w:fldCharType="end"/>
      </w:r>
    </w:p>
    <w:p w:rsidR="00C56F78" w:rsidP="00C56F78">
      <w:pPr>
        <w:pStyle w:val="Version"/>
        <w:sectPr w:rsidSect="009E6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EDF" w:rsidP="009E6EDF">
      <w:pPr>
        <w:pStyle w:val="SuperHeading"/>
      </w:pPr>
      <w:r w:rsidRPr="009E6EDF">
        <w:t>PMAOPS280 Interpret process plant schematics</w:t>
      </w:r>
    </w:p>
    <w:p w:rsidR="00000000" w:rsidRPr="009E6EDF" w:rsidP="009E6EDF">
      <w:pPr>
        <w:pStyle w:val="Heading1"/>
      </w:pPr>
      <w:bookmarkStart w:id="1" w:name="O_907613"/>
      <w:bookmarkEnd w:id="1"/>
      <w:r w:rsidRPr="009E6EDF">
        <w:t>Modification History</w:t>
      </w:r>
    </w:p>
    <w:p w:rsidR="00000000" w:rsidRPr="009E6EDF" w:rsidP="00C56F78">
      <w:pPr>
        <w:pStyle w:val="BodyText"/>
      </w:pPr>
      <w:r w:rsidRPr="009E6EDF">
        <w:t>Release 1. Supersedes and is equivalent to PMAOPS280B Interpret process plant schematics</w:t>
      </w:r>
    </w:p>
    <w:p w:rsidR="00000000" w:rsidRPr="009E6EDF" w:rsidP="009E6EDF">
      <w:pPr>
        <w:pStyle w:val="Heading1"/>
      </w:pPr>
      <w:bookmarkStart w:id="2" w:name="O_907621"/>
      <w:bookmarkEnd w:id="2"/>
      <w:r w:rsidRPr="009E6EDF">
        <w:t>Application</w:t>
      </w:r>
    </w:p>
    <w:p w:rsidR="00000000" w:rsidRPr="009E6EDF" w:rsidP="00C56F78">
      <w:pPr>
        <w:pStyle w:val="BodyText"/>
      </w:pPr>
      <w:r w:rsidRPr="009E6EDF">
        <w:t>This unit of competency covers the skills and knowledge required to interpret process plant schematics for a range of</w:t>
      </w:r>
      <w:r w:rsidRPr="009E6EDF">
        <w:t xml:space="preserve"> operations uses. </w:t>
      </w:r>
    </w:p>
    <w:p w:rsidR="00000000" w:rsidRPr="009E6EDF" w:rsidP="00C56F78">
      <w:pPr>
        <w:pStyle w:val="BodyText"/>
      </w:pPr>
      <w:r w:rsidRPr="009E6EDF">
        <w:t>This unit of competency applies to operators who are required to find specific information from a schematic, mark up a schematic for their own or someone else’s use, and sketch a schematic using relevant symbols as part of an explanatio</w:t>
      </w:r>
      <w:r w:rsidRPr="009E6EDF">
        <w:t>n to another person or as an aide memoir for themselves.</w:t>
      </w:r>
    </w:p>
    <w:p w:rsidR="00000000" w:rsidRPr="009E6EDF" w:rsidP="00C56F78">
      <w:pPr>
        <w:pStyle w:val="BodyText"/>
      </w:pPr>
      <w:r w:rsidRPr="009E6EDF">
        <w:t>This unit of competency applies to a wide range of schematics and covers all general and common symbols. It also includes those specific to the plant which is the operator</w:t>
      </w:r>
      <w:r>
        <w:t>’</w:t>
      </w:r>
      <w:r w:rsidRPr="009E6EDF">
        <w:t>s area of responsibility a</w:t>
      </w:r>
      <w:r w:rsidRPr="009E6EDF">
        <w:t>nd any conventions which are applied by the organisation.</w:t>
      </w:r>
    </w:p>
    <w:p w:rsidR="00000000" w:rsidRPr="009E6EDF" w:rsidP="00C56F78">
      <w:pPr>
        <w:pStyle w:val="BodyText"/>
      </w:pPr>
      <w:r w:rsidRPr="009E6EDF">
        <w:t>No licensing, legislative or certification requirements apply to this unit at the time of publication.</w:t>
      </w:r>
    </w:p>
    <w:p w:rsidR="00000000" w:rsidRPr="009E6EDF" w:rsidP="009E6EDF">
      <w:pPr>
        <w:pStyle w:val="Heading1"/>
      </w:pPr>
      <w:bookmarkStart w:id="3" w:name="O_907620"/>
      <w:bookmarkEnd w:id="3"/>
      <w:r w:rsidRPr="009E6EDF">
        <w:t>Pre-requisite Unit</w:t>
      </w:r>
    </w:p>
    <w:p w:rsidR="00000000" w:rsidRPr="009E6EDF" w:rsidP="00C56F78">
      <w:pPr>
        <w:pStyle w:val="BodyText"/>
      </w:pPr>
      <w:r w:rsidRPr="009E6EDF">
        <w:t>Nil</w:t>
      </w:r>
    </w:p>
    <w:p w:rsidR="00000000" w:rsidRPr="009E6EDF" w:rsidP="009E6EDF">
      <w:pPr>
        <w:pStyle w:val="Heading1"/>
      </w:pPr>
      <w:bookmarkStart w:id="4" w:name="O_907619"/>
      <w:bookmarkEnd w:id="4"/>
      <w:r w:rsidRPr="009E6EDF">
        <w:t>Competency Field</w:t>
      </w:r>
    </w:p>
    <w:p w:rsidR="00000000" w:rsidRPr="009E6EDF" w:rsidP="00C56F78">
      <w:pPr>
        <w:pStyle w:val="BodyText"/>
      </w:pPr>
      <w:r w:rsidRPr="009E6EDF">
        <w:t>Operations</w:t>
      </w:r>
    </w:p>
    <w:p w:rsidR="00000000" w:rsidRPr="009E6EDF" w:rsidP="009E6EDF">
      <w:pPr>
        <w:pStyle w:val="Heading1"/>
      </w:pPr>
      <w:bookmarkStart w:id="5" w:name="O_907618"/>
      <w:bookmarkEnd w:id="5"/>
      <w:r w:rsidRPr="009E6EDF">
        <w:t>Unit Sector</w:t>
      </w:r>
    </w:p>
    <w:p w:rsidR="00000000" w:rsidRPr="009E6EDF" w:rsidP="009E6EDF">
      <w:pPr>
        <w:pStyle w:val="Heading1"/>
      </w:pPr>
      <w:bookmarkStart w:id="6" w:name="O_907617"/>
      <w:bookmarkEnd w:id="6"/>
      <w:r w:rsidRPr="009E6E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Performance criteria describe the performance needed to demonstrate achievement of the element.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Relate schematic to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Match items on schematic with items in plant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Determine relevant pipe and flange schedules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Identify sizes and types of minor equipment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Locate relevant instrument tapping points and control points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Identify direction of flow on schematic and in plant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Identify points required to prepare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Locate isolation and blanking points for any item of the relevant schematic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Identify drain/vent/purge points for any item on the relevant schematic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Identify trip system elements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Use schematic to check/develop work lists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Describe the process with a schematic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Use a schematic as the basis of a description of the process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Describe the process using a manual schematic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Walk through process identifying all plant items in process order</w:t>
            </w:r>
          </w:p>
        </w:tc>
      </w:tr>
      <w:tr w:rsidTr="009E6E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Identify key conditions/variables from a relevant schematic</w:t>
            </w:r>
          </w:p>
        </w:tc>
      </w:tr>
    </w:tbl>
    <w:p w:rsidR="00000000" w:rsidRPr="009E6EDF" w:rsidP="009E6EDF">
      <w:pPr>
        <w:pStyle w:val="BodyText"/>
      </w:pPr>
    </w:p>
    <w:p w:rsidR="00000000" w:rsidRPr="009E6EDF" w:rsidP="009E6EDF">
      <w:pPr>
        <w:pStyle w:val="AllowPageBreak"/>
      </w:pPr>
    </w:p>
    <w:p w:rsidR="00000000" w:rsidRPr="009E6EDF" w:rsidP="009E6EDF">
      <w:pPr>
        <w:pStyle w:val="Heading1"/>
      </w:pPr>
      <w:bookmarkStart w:id="7" w:name="O_907616"/>
      <w:bookmarkEnd w:id="7"/>
      <w:r w:rsidRPr="009E6EDF">
        <w:t>Foundation Skills</w:t>
      </w:r>
    </w:p>
    <w:p w:rsidR="00000000" w:rsidRPr="009E6EDF" w:rsidP="00C56F78">
      <w:pPr>
        <w:pStyle w:val="BodyText"/>
      </w:pPr>
      <w:r w:rsidRPr="009E6EDF">
        <w:t>This section describes those language, literacy, numeracy and employment skills that are essential to performance.</w:t>
      </w:r>
    </w:p>
    <w:p w:rsidR="00000000" w:rsidRPr="009E6EDF" w:rsidP="00C56F78">
      <w:pPr>
        <w:pStyle w:val="BodyText"/>
      </w:pPr>
      <w:r w:rsidRPr="009E6EDF">
        <w:t>Foundation skills essential to performance are explicit in the performance criteria of this unit of compe</w:t>
      </w:r>
      <w:r w:rsidRPr="009E6EDF">
        <w:t>tency.</w:t>
      </w:r>
    </w:p>
    <w:p w:rsidR="00000000" w:rsidRPr="009E6EDF" w:rsidP="009E6EDF">
      <w:pPr>
        <w:pStyle w:val="Heading1"/>
      </w:pPr>
      <w:bookmarkStart w:id="8" w:name="O_907615"/>
      <w:bookmarkEnd w:id="8"/>
      <w:r w:rsidRPr="009E6ED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t>This field allows for different work environments and conditions that may affect performance. Essential operating conditions that may be present (depending on the work situation, needs of the candidate, accessibi</w:t>
            </w:r>
            <w:r w:rsidRPr="009E6EDF">
              <w:t>lity of the item, and local industry and regional contexts) are included.</w:t>
            </w: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The latest version of all legislation, regulations, industry codes of practice and Australian/international standards, or the version specified by the local r</w:t>
            </w:r>
            <w:r w:rsidRPr="009E6EDF">
              <w:t>egulatory authority, must be used, and include one or more of the following:</w:t>
            </w:r>
          </w:p>
          <w:p w:rsidR="00000000" w:rsidRPr="009E6EDF" w:rsidP="009E6EDF">
            <w:pPr>
              <w:pStyle w:val="ListBullet"/>
            </w:pPr>
            <w:r w:rsidRPr="009E6EDF">
              <w:t>legislative requirements, including work health and safety (WHS)</w:t>
            </w:r>
          </w:p>
          <w:p w:rsidR="00000000" w:rsidRPr="009E6EDF" w:rsidP="009E6EDF">
            <w:pPr>
              <w:pStyle w:val="ListBullet"/>
            </w:pPr>
            <w:r w:rsidRPr="009E6EDF">
              <w:t>industry codes of practice and guidelines</w:t>
            </w:r>
          </w:p>
          <w:p w:rsidR="00000000" w:rsidRPr="009E6EDF" w:rsidP="009E6EDF">
            <w:pPr>
              <w:pStyle w:val="ListBullet"/>
            </w:pPr>
            <w:r w:rsidRPr="009E6EDF">
              <w:t xml:space="preserve">environmental regulations and guidelines </w:t>
            </w:r>
          </w:p>
          <w:p w:rsidR="00000000" w:rsidRPr="009E6EDF" w:rsidP="009E6EDF">
            <w:pPr>
              <w:pStyle w:val="ListBullet"/>
            </w:pPr>
            <w:r w:rsidRPr="009E6EDF">
              <w:t xml:space="preserve">Australian </w:t>
            </w:r>
            <w:r w:rsidRPr="009E6EDF">
              <w:t>and other standards</w:t>
            </w:r>
          </w:p>
          <w:p w:rsidR="00000000" w:rsidRPr="009E6EDF" w:rsidP="009E6EDF">
            <w:pPr>
              <w:pStyle w:val="ListBullet"/>
            </w:pPr>
            <w:r w:rsidRPr="009E6EDF">
              <w:t xml:space="preserve">licence and certification requirements </w:t>
            </w:r>
          </w:p>
          <w:p w:rsidR="00000000" w:rsidRPr="009E6EDF" w:rsidP="009E6EDF">
            <w:pPr>
              <w:pStyle w:val="BodyText"/>
            </w:pPr>
          </w:p>
          <w:p w:rsidR="00000000" w:rsidRPr="009E6EDF" w:rsidP="009E6EDF">
            <w:pPr>
              <w:pStyle w:val="BodyText"/>
            </w:pPr>
            <w:r w:rsidRPr="009E6EDF">
              <w:t>All operations to which this unit applies are subject to stringent health, safety and environment (HSE) requirements, which may be imposed through state/territory or federal legislation, and thes</w:t>
            </w:r>
            <w:r w:rsidRPr="009E6EDF">
              <w:t>e must not be compromised at any time. Where there is an apparent conflict between performance criteria and HSE requirements, the HSE requirements take precedence.</w:t>
            </w:r>
          </w:p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Items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Items on schematic/in plant include the following:</w:t>
            </w:r>
          </w:p>
          <w:p w:rsidR="00000000" w:rsidRPr="009E6EDF" w:rsidP="009E6EDF">
            <w:pPr>
              <w:pStyle w:val="ListBullet"/>
            </w:pPr>
            <w:r w:rsidRPr="009E6EDF">
              <w:t>all major plant items, such as:</w:t>
            </w:r>
          </w:p>
          <w:p w:rsidR="00000000" w:rsidRPr="009E6EDF" w:rsidP="009E6EDF">
            <w:pPr>
              <w:pStyle w:val="ListBullet2"/>
            </w:pPr>
            <w:r w:rsidRPr="009E6EDF">
              <w:t>vessels</w:t>
            </w:r>
          </w:p>
          <w:p w:rsidR="00000000" w:rsidRPr="009E6EDF" w:rsidP="009E6EDF">
            <w:pPr>
              <w:pStyle w:val="ListBullet2"/>
            </w:pPr>
            <w:r w:rsidRPr="009E6EDF">
              <w:t>columns</w:t>
            </w:r>
          </w:p>
          <w:p w:rsidR="00000000" w:rsidRPr="009E6EDF" w:rsidP="009E6EDF">
            <w:pPr>
              <w:pStyle w:val="ListBullet2"/>
            </w:pPr>
            <w:r w:rsidRPr="009E6EDF">
              <w:t>reactors</w:t>
            </w:r>
          </w:p>
          <w:p w:rsidR="00000000" w:rsidRPr="009E6EDF" w:rsidP="009E6EDF">
            <w:pPr>
              <w:pStyle w:val="ListBullet2"/>
            </w:pPr>
            <w:r w:rsidRPr="009E6EDF">
              <w:t>heat exchangers</w:t>
            </w:r>
          </w:p>
          <w:p w:rsidR="00000000" w:rsidRPr="009E6EDF" w:rsidP="009E6EDF">
            <w:pPr>
              <w:pStyle w:val="ListBullet"/>
            </w:pPr>
            <w:r w:rsidRPr="009E6EDF">
              <w:t>minor plant items, such as:</w:t>
            </w:r>
          </w:p>
          <w:p w:rsidR="00000000" w:rsidRPr="009E6EDF" w:rsidP="009E6EDF">
            <w:pPr>
              <w:pStyle w:val="ListBullet2"/>
            </w:pPr>
            <w:r w:rsidRPr="009E6EDF">
              <w:t>pumps</w:t>
            </w:r>
          </w:p>
          <w:p w:rsidR="00000000" w:rsidRPr="009E6EDF" w:rsidP="009E6EDF">
            <w:pPr>
              <w:pStyle w:val="ListBullet2"/>
            </w:pPr>
            <w:r w:rsidRPr="009E6EDF">
              <w:t>valves</w:t>
            </w:r>
          </w:p>
          <w:p w:rsidR="00000000" w:rsidRPr="009E6EDF" w:rsidP="009E6EDF">
            <w:pPr>
              <w:pStyle w:val="ListBullet2"/>
            </w:pPr>
            <w:r w:rsidRPr="009E6EDF">
              <w:t>strainers</w:t>
            </w:r>
          </w:p>
          <w:p w:rsidR="00000000" w:rsidRPr="009E6EDF" w:rsidP="009E6EDF">
            <w:pPr>
              <w:pStyle w:val="ListBullet2"/>
            </w:pPr>
            <w:r w:rsidRPr="009E6EDF">
              <w:t>filters</w:t>
            </w:r>
          </w:p>
          <w:p w:rsidR="00000000" w:rsidRPr="009E6EDF" w:rsidP="009E6EDF">
            <w:pPr>
              <w:pStyle w:val="ListBullet2"/>
            </w:pPr>
            <w:r w:rsidRPr="009E6EDF">
              <w:t>instrumentation (local and remote)</w:t>
            </w:r>
          </w:p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Schematics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Schematics are formally drawn, authorised diagrams and are hard copy or electronic.</w:t>
            </w:r>
          </w:p>
          <w:p w:rsidR="00000000" w:rsidRPr="009E6EDF" w:rsidP="009E6EDF">
            <w:pPr>
              <w:pStyle w:val="BodyText"/>
            </w:pPr>
          </w:p>
          <w:p w:rsidR="00000000" w:rsidRPr="009E6EDF" w:rsidP="009E6EDF">
            <w:pPr>
              <w:pStyle w:val="BodyText"/>
            </w:pPr>
            <w:r w:rsidRPr="009E6EDF">
              <w:t>Schematics have various names, including:</w:t>
            </w:r>
          </w:p>
          <w:p w:rsidR="00000000" w:rsidRPr="009E6EDF" w:rsidP="009E6EDF">
            <w:pPr>
              <w:pStyle w:val="ListBullet"/>
            </w:pPr>
            <w:r w:rsidRPr="009E6EDF">
              <w:t>piping and instrumentation diagram (P&amp;ID)</w:t>
            </w:r>
          </w:p>
          <w:p w:rsidR="00000000" w:rsidRPr="009E6EDF" w:rsidP="009E6EDF">
            <w:pPr>
              <w:pStyle w:val="ListBullet"/>
            </w:pPr>
            <w:r w:rsidRPr="009E6EDF">
              <w:t>process flow diagram (PFD)</w:t>
            </w:r>
          </w:p>
          <w:p w:rsidR="00000000" w:rsidRPr="009E6EDF" w:rsidP="009E6EDF">
            <w:pPr>
              <w:pStyle w:val="ListBullet"/>
            </w:pPr>
            <w:r w:rsidRPr="009E6EDF">
              <w:t>process engineering flow (PEF)</w:t>
            </w:r>
          </w:p>
          <w:p w:rsidR="00000000" w:rsidRPr="009E6EDF" w:rsidP="009E6EDF">
            <w:pPr>
              <w:pStyle w:val="ListBullet"/>
            </w:pPr>
            <w:r w:rsidRPr="009E6EDF">
              <w:t>cause and effect diagrams/matrix</w:t>
            </w:r>
          </w:p>
          <w:p w:rsidR="00000000" w:rsidRPr="009E6EDF" w:rsidP="009E6EDF">
            <w:pPr>
              <w:pStyle w:val="BodyText"/>
            </w:pPr>
          </w:p>
          <w:p w:rsidR="00000000" w:rsidRPr="009E6EDF" w:rsidP="009E6EDF">
            <w:pPr>
              <w:pStyle w:val="BodyText"/>
            </w:pPr>
            <w:r w:rsidRPr="009E6EDF">
              <w:t>Manual schematic includes one or more of the following:</w:t>
            </w:r>
          </w:p>
          <w:p w:rsidR="00000000" w:rsidRPr="009E6EDF" w:rsidP="009E6EDF">
            <w:pPr>
              <w:pStyle w:val="ListBullet"/>
            </w:pPr>
            <w:r w:rsidRPr="009E6EDF">
              <w:t>a hand drawn sketch of</w:t>
            </w:r>
            <w:r w:rsidRPr="009E6EDF">
              <w:t xml:space="preserve"> the part of the process of interest</w:t>
            </w:r>
          </w:p>
          <w:p w:rsidR="00000000" w:rsidRPr="009E6EDF" w:rsidP="009E6EDF">
            <w:pPr>
              <w:pStyle w:val="ListBullet"/>
            </w:pPr>
            <w:r w:rsidRPr="009E6EDF">
              <w:t>a mark up of a formally drawn schematic</w:t>
            </w:r>
          </w:p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Symbols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Symbols and conventions used in the schematics for the relevant plant area should be used, and include of one or more of the following:</w:t>
            </w:r>
          </w:p>
          <w:p w:rsidR="00000000" w:rsidRPr="009E6EDF" w:rsidP="009E6EDF">
            <w:pPr>
              <w:pStyle w:val="ListBullet"/>
            </w:pPr>
            <w:r w:rsidRPr="009E6EDF">
              <w:t>Australian Standards symbols</w:t>
            </w:r>
          </w:p>
          <w:p w:rsidR="00000000" w:rsidRPr="009E6EDF" w:rsidP="009E6EDF">
            <w:pPr>
              <w:pStyle w:val="ListBullet"/>
            </w:pPr>
            <w:r w:rsidRPr="009E6EDF">
              <w:t>the organisation</w:t>
            </w:r>
            <w:r>
              <w:t>’</w:t>
            </w:r>
            <w:r w:rsidRPr="009E6EDF">
              <w:t xml:space="preserve">s standard symbols </w:t>
            </w:r>
          </w:p>
          <w:p w:rsidR="00000000" w:rsidRPr="009E6EDF" w:rsidP="009E6EDF">
            <w:pPr>
              <w:pStyle w:val="ListBullet"/>
            </w:pPr>
            <w:r w:rsidRPr="009E6EDF">
              <w:t>some other standard system</w:t>
            </w:r>
          </w:p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Points required to prepare plant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Points required to prepare plant include three or more of the following:</w:t>
            </w:r>
          </w:p>
          <w:p w:rsidR="00000000" w:rsidRPr="009E6EDF" w:rsidP="009E6EDF">
            <w:pPr>
              <w:pStyle w:val="ListBullet"/>
            </w:pPr>
            <w:r w:rsidRPr="009E6EDF">
              <w:t>isolations</w:t>
            </w:r>
          </w:p>
          <w:p w:rsidR="00000000" w:rsidRPr="009E6EDF" w:rsidP="009E6EDF">
            <w:pPr>
              <w:pStyle w:val="ListBullet"/>
            </w:pPr>
            <w:r w:rsidRPr="009E6EDF">
              <w:t>blank/spade/spectacle blind, breakout spool locations</w:t>
            </w:r>
          </w:p>
          <w:p w:rsidR="00000000" w:rsidRPr="009E6EDF" w:rsidP="009E6EDF">
            <w:pPr>
              <w:pStyle w:val="ListBullet"/>
            </w:pPr>
            <w:r w:rsidRPr="009E6EDF">
              <w:t>draining</w:t>
            </w:r>
          </w:p>
          <w:p w:rsidR="00000000" w:rsidRPr="009E6EDF" w:rsidP="009E6EDF">
            <w:pPr>
              <w:pStyle w:val="ListBullet"/>
            </w:pPr>
            <w:r w:rsidRPr="009E6EDF">
              <w:t>purging</w:t>
            </w:r>
          </w:p>
          <w:p w:rsidR="00000000" w:rsidRPr="009E6EDF" w:rsidP="009E6EDF">
            <w:pPr>
              <w:pStyle w:val="ListBullet"/>
            </w:pPr>
            <w:r w:rsidRPr="009E6EDF">
              <w:t>b</w:t>
            </w:r>
            <w:r w:rsidRPr="009E6EDF">
              <w:t>lanketing</w:t>
            </w:r>
          </w:p>
          <w:p w:rsidR="00000000" w:rsidRPr="009E6EDF" w:rsidP="009E6EDF">
            <w:pPr>
              <w:pStyle w:val="ListBullet"/>
            </w:pPr>
            <w:r w:rsidRPr="009E6EDF">
              <w:t>venting</w:t>
            </w:r>
          </w:p>
          <w:p w:rsidR="00000000" w:rsidRPr="009E6EDF" w:rsidP="009E6EDF">
            <w:pPr>
              <w:pStyle w:val="ListBullet"/>
            </w:pPr>
            <w:r w:rsidRPr="009E6EDF">
              <w:t>ventilating</w:t>
            </w:r>
          </w:p>
          <w:p w:rsidR="00000000" w:rsidRPr="009E6EDF" w:rsidP="009E6EDF">
            <w:pPr>
              <w:pStyle w:val="ListBullet"/>
            </w:pPr>
            <w:r w:rsidRPr="009E6EDF">
              <w:t>locating plant, equipment and services - above ground</w:t>
            </w:r>
          </w:p>
          <w:p w:rsidR="00000000" w:rsidRPr="009E6EDF" w:rsidP="009E6EDF">
            <w:pPr>
              <w:pStyle w:val="ListBullet"/>
            </w:pPr>
            <w:r w:rsidRPr="009E6EDF">
              <w:t>locating below ground (or otherwise obscured) pipeline and services</w:t>
            </w:r>
          </w:p>
          <w:p w:rsidR="00000000" w:rsidP="009E6EDF">
            <w:pPr>
              <w:pStyle w:val="BodyText"/>
              <w:rPr>
                <w:lang w:val="en-NZ"/>
              </w:rPr>
            </w:pPr>
          </w:p>
        </w:tc>
      </w:tr>
      <w:tr w:rsidTr="00C56F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EDF">
            <w:pPr>
              <w:pStyle w:val="BodyText"/>
              <w:rPr>
                <w:lang w:val="en-NZ"/>
              </w:rPr>
            </w:pPr>
            <w:r w:rsidRPr="009E6EDF">
              <w:rPr>
                <w:rStyle w:val="SpecialBold"/>
              </w:rPr>
              <w:t>Key conditions/ variables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EDF" w:rsidP="009E6EDF">
            <w:pPr>
              <w:pStyle w:val="BodyText"/>
            </w:pPr>
            <w:r w:rsidRPr="009E6EDF">
              <w:t>Key conditions/variables include one or more of the following:</w:t>
            </w:r>
          </w:p>
          <w:p w:rsidR="00000000" w:rsidRPr="009E6EDF" w:rsidP="009E6EDF">
            <w:pPr>
              <w:pStyle w:val="ListBullet"/>
            </w:pPr>
            <w:r w:rsidRPr="009E6EDF">
              <w:t>normal range of process conditions, such as:</w:t>
            </w:r>
          </w:p>
          <w:p w:rsidR="00000000" w:rsidRPr="009E6EDF" w:rsidP="009E6EDF">
            <w:pPr>
              <w:pStyle w:val="ListBullet2"/>
            </w:pPr>
            <w:r w:rsidRPr="009E6EDF">
              <w:t>level</w:t>
            </w:r>
          </w:p>
          <w:p w:rsidR="00000000" w:rsidRPr="009E6EDF" w:rsidP="009E6EDF">
            <w:pPr>
              <w:pStyle w:val="ListBullet2"/>
            </w:pPr>
            <w:r w:rsidRPr="009E6EDF">
              <w:t>pressure</w:t>
            </w:r>
          </w:p>
          <w:p w:rsidR="00000000" w:rsidRPr="009E6EDF" w:rsidP="009E6EDF">
            <w:pPr>
              <w:pStyle w:val="ListBullet2"/>
            </w:pPr>
            <w:r w:rsidRPr="009E6EDF">
              <w:t>flow</w:t>
            </w:r>
          </w:p>
          <w:p w:rsidR="00000000" w:rsidRPr="009E6EDF" w:rsidP="009E6EDF">
            <w:pPr>
              <w:pStyle w:val="ListBullet2"/>
            </w:pPr>
            <w:r w:rsidRPr="009E6EDF">
              <w:t>temperature</w:t>
            </w:r>
          </w:p>
          <w:p w:rsidR="00000000" w:rsidRPr="009E6EDF" w:rsidP="009E6EDF">
            <w:pPr>
              <w:pStyle w:val="ListBullet"/>
            </w:pPr>
            <w:r w:rsidRPr="009E6EDF">
              <w:t>alarm conditions/values</w:t>
            </w:r>
          </w:p>
          <w:p w:rsidR="00000000" w:rsidRPr="009E6EDF" w:rsidP="009E6EDF">
            <w:pPr>
              <w:pStyle w:val="ListBullet"/>
            </w:pPr>
            <w:r w:rsidRPr="009E6EDF">
              <w:t>trip and emergency shutdown (ESD) values</w:t>
            </w:r>
          </w:p>
          <w:p w:rsidR="00000000" w:rsidRPr="009E6EDF" w:rsidP="009E6EDF">
            <w:pPr>
              <w:pStyle w:val="BodyText"/>
            </w:pPr>
          </w:p>
        </w:tc>
      </w:tr>
    </w:tbl>
    <w:p w:rsidR="00000000" w:rsidRPr="009E6EDF" w:rsidP="009E6EDF">
      <w:pPr>
        <w:pStyle w:val="BodyText"/>
      </w:pPr>
    </w:p>
    <w:p w:rsidR="00000000" w:rsidRPr="009E6EDF" w:rsidP="009E6EDF">
      <w:pPr>
        <w:pStyle w:val="AllowPageBreak"/>
      </w:pPr>
    </w:p>
    <w:p w:rsidR="00000000" w:rsidRPr="009E6EDF" w:rsidP="009E6EDF">
      <w:pPr>
        <w:pStyle w:val="Heading1"/>
      </w:pPr>
      <w:bookmarkStart w:id="9" w:name="O_907614"/>
      <w:bookmarkEnd w:id="9"/>
      <w:r w:rsidRPr="009E6EDF">
        <w:t>Unit Mapping Information</w:t>
      </w:r>
    </w:p>
    <w:p w:rsidR="00000000" w:rsidRPr="009E6EDF" w:rsidP="00C56F78">
      <w:pPr>
        <w:pStyle w:val="BodyText"/>
      </w:pPr>
      <w:r w:rsidRPr="009E6EDF">
        <w:t>Release 1. Supersedes and is equivalent to PMAOPS280B Interpret process plant schematics</w:t>
      </w:r>
    </w:p>
    <w:p w:rsidR="00000000" w:rsidRPr="009E6EDF" w:rsidP="009E6EDF">
      <w:pPr>
        <w:pStyle w:val="Heading1"/>
      </w:pPr>
      <w:bookmarkStart w:id="10" w:name="O_907607"/>
      <w:bookmarkEnd w:id="10"/>
      <w:r w:rsidRPr="009E6EDF">
        <w:t>Links</w:t>
      </w:r>
    </w:p>
    <w:p w:rsidR="00000000" w:rsidRPr="009E6EDF" w:rsidP="00C56F78">
      <w:pPr>
        <w:pStyle w:val="BodyText"/>
      </w:pPr>
      <w:r w:rsidRPr="009E6E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F66F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E6EDF" w:rsidP="009E6EDF"/>
    <w:sectPr w:rsidSect="009E6E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F" w:rsidRPr="00C56F78" w:rsidP="00C56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78" w:rsidP="009E6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F78" w:rsidP="009E6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56F78" w:rsidP="009E6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EDF" w:rsidRPr="00C56F78" w:rsidP="00C56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78" w:rsidRPr="002D2AF8" w:rsidP="009E6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PMAOPS280 Interpret process plant schematics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56F78" w:rsidP="009E6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4D5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84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2C8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EDF"/>
  </w:style>
  <w:style w:type="character" w:customStyle="1" w:styleId="Heading1Char">
    <w:name w:val="Heading 1 Char"/>
    <w:basedOn w:val="DefaultParagraphFont"/>
    <w:link w:val="Heading1"/>
    <w:rsid w:val="009E6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E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EDF"/>
    <w:rPr>
      <w:b/>
      <w:spacing w:val="0"/>
    </w:rPr>
  </w:style>
  <w:style w:type="paragraph" w:styleId="ListBullet2">
    <w:name w:val="List Bullet 2"/>
    <w:basedOn w:val="List2"/>
    <w:rsid w:val="009E6E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6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6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6EDF"/>
    <w:rPr>
      <w:i/>
    </w:rPr>
  </w:style>
  <w:style w:type="paragraph" w:styleId="Caption">
    <w:name w:val="caption"/>
    <w:basedOn w:val="BodyText"/>
    <w:next w:val="Normal"/>
    <w:qFormat/>
    <w:rsid w:val="009E6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EDF"/>
  </w:style>
  <w:style w:type="paragraph" w:styleId="TableofFigures">
    <w:name w:val="table of figures"/>
    <w:basedOn w:val="Normal"/>
    <w:next w:val="Normal"/>
    <w:semiHidden/>
    <w:rsid w:val="009E6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6EDF"/>
    <w:rPr>
      <w:rFonts w:ascii="Wingdings" w:hAnsi="Wingdings"/>
    </w:rPr>
  </w:style>
  <w:style w:type="paragraph" w:customStyle="1" w:styleId="TableHeading">
    <w:name w:val="Table Heading"/>
    <w:basedOn w:val="HeadingBase"/>
    <w:rsid w:val="009E6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EDF"/>
    <w:rPr>
      <w:color w:val="0033CC"/>
      <w:u w:val="none"/>
    </w:rPr>
  </w:style>
  <w:style w:type="paragraph" w:customStyle="1" w:styleId="BodyTextRight">
    <w:name w:val="Body Text Right"/>
    <w:basedOn w:val="BodyText"/>
    <w:rsid w:val="009E6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EDF"/>
    <w:rPr>
      <w:sz w:val="32"/>
    </w:rPr>
  </w:style>
  <w:style w:type="paragraph" w:customStyle="1" w:styleId="HeadingProcedure">
    <w:name w:val="Heading Procedure"/>
    <w:basedOn w:val="HeadingBase"/>
    <w:next w:val="Normal"/>
    <w:rsid w:val="009E6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EDF"/>
    <w:pPr>
      <w:spacing w:before="60" w:after="60"/>
    </w:pPr>
  </w:style>
  <w:style w:type="paragraph" w:styleId="ListContinue">
    <w:name w:val="List Continue"/>
    <w:basedOn w:val="List"/>
    <w:rsid w:val="009E6EDF"/>
    <w:pPr>
      <w:ind w:firstLine="0"/>
    </w:pPr>
  </w:style>
  <w:style w:type="paragraph" w:customStyle="1" w:styleId="ListNote">
    <w:name w:val="List Note"/>
    <w:basedOn w:val="List"/>
    <w:rsid w:val="009E6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EDF"/>
    <w:rPr>
      <w:rFonts w:ascii="Courier New" w:hAnsi="Courier New"/>
    </w:rPr>
  </w:style>
  <w:style w:type="paragraph" w:customStyle="1" w:styleId="NoteBullet">
    <w:name w:val="Note Bullet"/>
    <w:basedOn w:val="Note"/>
    <w:rsid w:val="009E6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6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EDF"/>
    <w:rPr>
      <w:b/>
      <w:smallCaps/>
    </w:rPr>
  </w:style>
  <w:style w:type="paragraph" w:customStyle="1" w:styleId="TableListNumber">
    <w:name w:val="Table List Number"/>
    <w:basedOn w:val="ListNumber"/>
    <w:rsid w:val="009E6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EDF"/>
    <w:pPr>
      <w:numPr>
        <w:numId w:val="9"/>
      </w:numPr>
    </w:pPr>
  </w:style>
  <w:style w:type="paragraph" w:customStyle="1" w:styleId="ListAlpha2">
    <w:name w:val="List Alpha 2"/>
    <w:basedOn w:val="List2"/>
    <w:rsid w:val="009E6EDF"/>
    <w:pPr>
      <w:numPr>
        <w:numId w:val="8"/>
      </w:numPr>
    </w:pPr>
  </w:style>
  <w:style w:type="paragraph" w:styleId="List2">
    <w:name w:val="List 2"/>
    <w:basedOn w:val="BodyText"/>
    <w:rsid w:val="009E6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6EDF"/>
    <w:pPr>
      <w:numPr>
        <w:numId w:val="4"/>
      </w:numPr>
    </w:pPr>
  </w:style>
  <w:style w:type="paragraph" w:styleId="ListContinue2">
    <w:name w:val="List Continue 2"/>
    <w:basedOn w:val="List2"/>
    <w:rsid w:val="009E6EDF"/>
    <w:pPr>
      <w:ind w:firstLine="0"/>
    </w:pPr>
  </w:style>
  <w:style w:type="paragraph" w:styleId="ListContinue3">
    <w:name w:val="List Continue 3"/>
    <w:basedOn w:val="List3"/>
    <w:rsid w:val="009E6EDF"/>
    <w:pPr>
      <w:ind w:left="1021" w:firstLine="0"/>
    </w:pPr>
  </w:style>
  <w:style w:type="paragraph" w:styleId="ListContinue4">
    <w:name w:val="List Continue 4"/>
    <w:basedOn w:val="List4"/>
    <w:rsid w:val="009E6EDF"/>
    <w:pPr>
      <w:ind w:firstLine="0"/>
    </w:pPr>
  </w:style>
  <w:style w:type="paragraph" w:styleId="ListContinue5">
    <w:name w:val="List Continue 5"/>
    <w:basedOn w:val="List5"/>
    <w:rsid w:val="009E6EDF"/>
    <w:pPr>
      <w:ind w:firstLine="0"/>
    </w:pPr>
  </w:style>
  <w:style w:type="paragraph" w:styleId="ListNumber3">
    <w:name w:val="List Number 3"/>
    <w:basedOn w:val="List3"/>
    <w:rsid w:val="009E6EDF"/>
    <w:pPr>
      <w:numPr>
        <w:numId w:val="5"/>
      </w:numPr>
    </w:pPr>
  </w:style>
  <w:style w:type="paragraph" w:styleId="ListNumber4">
    <w:name w:val="List Number 4"/>
    <w:basedOn w:val="List4"/>
    <w:rsid w:val="009E6EDF"/>
    <w:pPr>
      <w:numPr>
        <w:numId w:val="6"/>
      </w:numPr>
    </w:pPr>
  </w:style>
  <w:style w:type="paragraph" w:styleId="ListNumber5">
    <w:name w:val="List Number 5"/>
    <w:basedOn w:val="List5"/>
    <w:rsid w:val="009E6EDF"/>
    <w:pPr>
      <w:numPr>
        <w:numId w:val="7"/>
      </w:numPr>
    </w:pPr>
  </w:style>
  <w:style w:type="paragraph" w:styleId="BlockText">
    <w:name w:val="Block Text"/>
    <w:basedOn w:val="Normal"/>
    <w:rsid w:val="009E6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EDF"/>
    <w:rPr>
      <w:sz w:val="16"/>
      <w:vertAlign w:val="superscript"/>
    </w:rPr>
  </w:style>
  <w:style w:type="character" w:customStyle="1" w:styleId="Symbols">
    <w:name w:val="Symbols"/>
    <w:basedOn w:val="DefaultParagraphFont"/>
    <w:rsid w:val="009E6EDF"/>
    <w:rPr>
      <w:rFonts w:ascii="Symbol" w:hAnsi="Symbol"/>
    </w:rPr>
  </w:style>
  <w:style w:type="character" w:customStyle="1" w:styleId="MenuOptions">
    <w:name w:val="Menu Options"/>
    <w:basedOn w:val="DefaultParagraphFont"/>
    <w:rsid w:val="009E6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EDF"/>
    <w:rPr>
      <w:b/>
    </w:rPr>
  </w:style>
  <w:style w:type="character" w:customStyle="1" w:styleId="Underlined">
    <w:name w:val="Underlined"/>
    <w:basedOn w:val="DefaultParagraphFont"/>
    <w:rsid w:val="009E6EDF"/>
    <w:rPr>
      <w:u w:val="single"/>
    </w:rPr>
  </w:style>
  <w:style w:type="paragraph" w:customStyle="1" w:styleId="TableBodyTextRight">
    <w:name w:val="Table Body Text Right"/>
    <w:basedOn w:val="TableBodyText"/>
    <w:rsid w:val="009E6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EDF"/>
    <w:rPr>
      <w:sz w:val="18"/>
    </w:rPr>
  </w:style>
  <w:style w:type="paragraph" w:customStyle="1" w:styleId="BodySmallRight">
    <w:name w:val="Body Small Right"/>
    <w:basedOn w:val="BodyTextRight"/>
    <w:rsid w:val="009E6EDF"/>
    <w:rPr>
      <w:sz w:val="18"/>
      <w:szCs w:val="18"/>
    </w:rPr>
  </w:style>
  <w:style w:type="paragraph" w:customStyle="1" w:styleId="MarginEdition">
    <w:name w:val="Margin Edition"/>
    <w:basedOn w:val="MarginNote"/>
    <w:rsid w:val="009E6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EDF"/>
    <w:rPr>
      <w:sz w:val="2"/>
      <w:szCs w:val="2"/>
    </w:rPr>
  </w:style>
  <w:style w:type="character" w:customStyle="1" w:styleId="Small">
    <w:name w:val="Small"/>
    <w:basedOn w:val="DefaultParagraphFont"/>
    <w:rsid w:val="009E6EDF"/>
    <w:rPr>
      <w:sz w:val="16"/>
    </w:rPr>
  </w:style>
  <w:style w:type="paragraph" w:customStyle="1" w:styleId="WideTable">
    <w:name w:val="Wide Table"/>
    <w:basedOn w:val="Normal"/>
    <w:rsid w:val="009E6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EDF"/>
  </w:style>
  <w:style w:type="paragraph" w:styleId="Quote">
    <w:name w:val="Quote"/>
    <w:basedOn w:val="Heading1"/>
    <w:link w:val="QuoteChar"/>
    <w:qFormat/>
    <w:rsid w:val="009E6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EDF"/>
    <w:pPr>
      <w:pageBreakBefore/>
    </w:pPr>
  </w:style>
  <w:style w:type="paragraph" w:customStyle="1" w:styleId="Border">
    <w:name w:val="Border"/>
    <w:basedOn w:val="Normal"/>
    <w:qFormat/>
    <w:rsid w:val="009E6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EDF"/>
    <w:rPr>
      <w:u w:val="single"/>
    </w:rPr>
  </w:style>
  <w:style w:type="character" w:customStyle="1" w:styleId="BoldandItalics">
    <w:name w:val="Bold and Italics"/>
    <w:qFormat/>
    <w:rsid w:val="009E6EDF"/>
    <w:rPr>
      <w:b/>
      <w:i/>
      <w:u w:val="none"/>
    </w:rPr>
  </w:style>
  <w:style w:type="paragraph" w:styleId="BalloonText">
    <w:name w:val="Balloon Text"/>
    <w:basedOn w:val="Normal"/>
    <w:link w:val="BalloonTextChar"/>
    <w:rsid w:val="009E6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EDF"/>
    <w:pPr>
      <w:spacing w:before="0" w:after="0"/>
    </w:pPr>
  </w:style>
  <w:style w:type="paragraph" w:customStyle="1" w:styleId="BodyTextBold">
    <w:name w:val="Body Text Bold"/>
    <w:basedOn w:val="BodyText"/>
    <w:qFormat/>
    <w:rsid w:val="009E6EDF"/>
    <w:rPr>
      <w:b/>
    </w:rPr>
  </w:style>
  <w:style w:type="character" w:styleId="Hyperlink">
    <w:name w:val="Hyperlink"/>
    <w:basedOn w:val="DefaultParagraphFont"/>
    <w:uiPriority w:val="99"/>
    <w:unhideWhenUsed/>
    <w:rsid w:val="00C56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4676</Characters>
  <Application>Microsoft Office Word</Application>
  <DocSecurity>0</DocSecurity>
  <Lines>212</Lines>
  <Paragraphs>136</Paragraphs>
  <ScaleCrop>false</ScaleCrop>
  <Company>Author-it Software Corporation Ltd.</Company>
  <LinksUpToDate>false</LinksUpToDate>
  <CharactersWithSpaces>5315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PMAOPS280 Interpret process plant schematics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