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F14" w:rsidP="00BC7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PMAOPS280 Interpret process plant schematics</w:t>
      </w:r>
      <w:r>
        <w:fldChar w:fldCharType="end"/>
      </w:r>
    </w:p>
    <w:p w:rsidR="00BC7F14" w:rsidP="00BC7F14">
      <w:pPr>
        <w:pStyle w:val="Version"/>
        <w:sectPr w:rsidSect="00666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640" w:rsidP="00666640">
      <w:pPr>
        <w:pStyle w:val="SuperHeading"/>
      </w:pPr>
      <w:r w:rsidRPr="00666640">
        <w:t>PMAOPS280 Interpret process plant schematics</w:t>
      </w:r>
    </w:p>
    <w:p w:rsidR="00000000" w:rsidRPr="00666640" w:rsidP="00666640">
      <w:pPr>
        <w:pStyle w:val="Heading1"/>
      </w:pPr>
      <w:bookmarkStart w:id="1" w:name="O_907613"/>
      <w:bookmarkEnd w:id="1"/>
      <w:r w:rsidRPr="00666640">
        <w:t>Modification History</w:t>
      </w:r>
    </w:p>
    <w:p w:rsidR="00000000" w:rsidRPr="00666640" w:rsidP="00BC7F14">
      <w:pPr>
        <w:pStyle w:val="BodyText"/>
      </w:pPr>
      <w:r w:rsidRPr="00666640">
        <w:t>Release 1. Supersedes and is equivalent to PMAOPS280B Interpret process plant schematics</w:t>
      </w:r>
    </w:p>
    <w:p w:rsidR="00000000" w:rsidRPr="00666640" w:rsidP="00666640">
      <w:pPr>
        <w:pStyle w:val="Heading1"/>
      </w:pPr>
      <w:bookmarkStart w:id="2" w:name="O_907621"/>
      <w:bookmarkEnd w:id="2"/>
      <w:r w:rsidRPr="00666640">
        <w:t>Application</w:t>
      </w:r>
    </w:p>
    <w:p w:rsidR="00000000" w:rsidRPr="00666640" w:rsidP="00BC7F14">
      <w:pPr>
        <w:pStyle w:val="BodyText"/>
      </w:pPr>
      <w:r w:rsidRPr="00666640">
        <w:t>This unit of competency covers the skills and knowledge required to interpret process plant schematics for a range of</w:t>
      </w:r>
      <w:r w:rsidRPr="00666640">
        <w:t xml:space="preserve"> operations uses. </w:t>
      </w:r>
    </w:p>
    <w:p w:rsidR="00000000" w:rsidRPr="00666640" w:rsidP="00BC7F14">
      <w:pPr>
        <w:pStyle w:val="BodyText"/>
      </w:pPr>
      <w:r w:rsidRPr="00666640">
        <w:t>This unit of competency applies to operators who are required to find specific information from a schematic, mark up a schematic for their own or someone else’s use, and sketch a schematic using relevant symbols as part of an explanatio</w:t>
      </w:r>
      <w:r w:rsidRPr="00666640">
        <w:t>n to another person or as an aide memoir for themselves.</w:t>
      </w:r>
    </w:p>
    <w:p w:rsidR="00000000" w:rsidRPr="00666640" w:rsidP="00BC7F14">
      <w:pPr>
        <w:pStyle w:val="BodyText"/>
      </w:pPr>
      <w:r w:rsidRPr="00666640">
        <w:t>This unit of competency applies to a wide range of schematics and covers all general and common symbols. It also includes those specific to the plant which is the operator</w:t>
      </w:r>
      <w:r>
        <w:t>’</w:t>
      </w:r>
      <w:r w:rsidRPr="00666640">
        <w:t>s area of responsibility a</w:t>
      </w:r>
      <w:r w:rsidRPr="00666640">
        <w:t>nd any conventions which are applied by the organisation.</w:t>
      </w:r>
    </w:p>
    <w:p w:rsidR="00000000" w:rsidRPr="00666640" w:rsidP="00BC7F14">
      <w:pPr>
        <w:pStyle w:val="BodyText"/>
      </w:pPr>
      <w:r w:rsidRPr="00666640">
        <w:t>No licensing, legislative or certification requirements apply to this unit at the time of publication.</w:t>
      </w:r>
    </w:p>
    <w:p w:rsidR="00000000" w:rsidRPr="00666640" w:rsidP="00666640">
      <w:pPr>
        <w:pStyle w:val="Heading1"/>
      </w:pPr>
      <w:bookmarkStart w:id="3" w:name="O_907620"/>
      <w:bookmarkEnd w:id="3"/>
      <w:r w:rsidRPr="00666640">
        <w:t>Pre-requisite Unit</w:t>
      </w:r>
    </w:p>
    <w:p w:rsidR="00000000" w:rsidRPr="00666640" w:rsidP="00BC7F14">
      <w:pPr>
        <w:pStyle w:val="BodyText"/>
      </w:pPr>
      <w:r w:rsidRPr="00666640">
        <w:t>Nil</w:t>
      </w:r>
    </w:p>
    <w:p w:rsidR="00000000" w:rsidRPr="00666640" w:rsidP="00666640">
      <w:pPr>
        <w:pStyle w:val="Heading1"/>
      </w:pPr>
      <w:bookmarkStart w:id="4" w:name="O_907619"/>
      <w:bookmarkEnd w:id="4"/>
      <w:r w:rsidRPr="00666640">
        <w:t>Competency Field</w:t>
      </w:r>
    </w:p>
    <w:p w:rsidR="00000000" w:rsidRPr="00666640" w:rsidP="00BC7F14">
      <w:pPr>
        <w:pStyle w:val="BodyText"/>
      </w:pPr>
      <w:r w:rsidRPr="00666640">
        <w:t>Operations</w:t>
      </w:r>
    </w:p>
    <w:p w:rsidR="00000000" w:rsidRPr="00666640" w:rsidP="00666640">
      <w:pPr>
        <w:pStyle w:val="Heading1"/>
      </w:pPr>
      <w:bookmarkStart w:id="5" w:name="O_907618"/>
      <w:bookmarkEnd w:id="5"/>
      <w:r w:rsidRPr="00666640">
        <w:t>Unit Sector</w:t>
      </w:r>
    </w:p>
    <w:p w:rsidR="00000000" w:rsidRPr="00666640" w:rsidP="00666640">
      <w:pPr>
        <w:pStyle w:val="Heading1"/>
      </w:pPr>
      <w:bookmarkStart w:id="6" w:name="O_907617"/>
      <w:bookmarkEnd w:id="6"/>
      <w:r w:rsidRPr="006666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Performance criteria describe the performance needed to demonstrate achievement of the element.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Relate schematic to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Match items on schematic with items in plant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Determine relevant pipe and flange schedules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Identify sizes and types of minor equipment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Locate relevant instrument tapping points and control points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Identify direction of flow on schematic and in plant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Identify points required to prepare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Locate isolation and blanking points for any item of the relevant schematic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Identify drain/vent/purge points for any item on the relevant schematic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Identify trip system elements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Use schematic to check/develop work lists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Describe the process with a schematic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Use a schematic as the basis of a description of the process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Describe the process using a manual schematic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Walk through process identifying all plant items in process order</w:t>
            </w:r>
          </w:p>
        </w:tc>
      </w:tr>
      <w:tr w:rsidTr="0066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Identify key conditions/variables from a relevant schematic</w:t>
            </w:r>
          </w:p>
        </w:tc>
      </w:tr>
    </w:tbl>
    <w:p w:rsidR="00000000" w:rsidRPr="00666640" w:rsidP="00666640">
      <w:pPr>
        <w:pStyle w:val="BodyText"/>
      </w:pPr>
    </w:p>
    <w:p w:rsidR="00000000" w:rsidRPr="00666640" w:rsidP="00666640">
      <w:pPr>
        <w:pStyle w:val="AllowPageBreak"/>
      </w:pPr>
    </w:p>
    <w:p w:rsidR="00000000" w:rsidRPr="00666640" w:rsidP="00666640">
      <w:pPr>
        <w:pStyle w:val="Heading1"/>
      </w:pPr>
      <w:bookmarkStart w:id="7" w:name="O_907616"/>
      <w:bookmarkEnd w:id="7"/>
      <w:r w:rsidRPr="00666640">
        <w:t>Foundation Skills</w:t>
      </w:r>
    </w:p>
    <w:p w:rsidR="00000000" w:rsidRPr="00666640" w:rsidP="00BC7F14">
      <w:pPr>
        <w:pStyle w:val="BodyText"/>
      </w:pPr>
      <w:r w:rsidRPr="00666640">
        <w:t>This section describes those language, literacy, numeracy and employment skills that are essential to performance.</w:t>
      </w:r>
    </w:p>
    <w:p w:rsidR="00000000" w:rsidRPr="00666640" w:rsidP="00BC7F14">
      <w:pPr>
        <w:pStyle w:val="BodyText"/>
      </w:pPr>
      <w:r w:rsidRPr="00666640">
        <w:t>Foundation skills essential to performance are explicit in the performance criteria of this unit of compe</w:t>
      </w:r>
      <w:r w:rsidRPr="00666640">
        <w:t>tency.</w:t>
      </w:r>
    </w:p>
    <w:p w:rsidR="00000000" w:rsidRPr="00666640" w:rsidP="00666640">
      <w:pPr>
        <w:pStyle w:val="Heading1"/>
      </w:pPr>
      <w:bookmarkStart w:id="8" w:name="O_907615"/>
      <w:bookmarkEnd w:id="8"/>
      <w:r w:rsidRPr="0066664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666640">
              <w:t>lity of the item, and local industry and regional contexts) are included.</w:t>
            </w: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 xml:space="preserve">The latest version of all legislation, regulations, industry codes of practice and Australian/international standards, or the version specified by the local </w:t>
            </w:r>
            <w:r w:rsidRPr="00666640">
              <w:t>regulatory authority, must be used, and include one or more of the following:</w:t>
            </w:r>
          </w:p>
          <w:p w:rsidR="00000000" w:rsidRPr="00666640" w:rsidP="00666640">
            <w:pPr>
              <w:pStyle w:val="ListBullet"/>
            </w:pPr>
            <w:r w:rsidRPr="00666640">
              <w:t>legislative requirements, including work health and safety (WHS)</w:t>
            </w:r>
          </w:p>
          <w:p w:rsidR="00000000" w:rsidRPr="00666640" w:rsidP="00666640">
            <w:pPr>
              <w:pStyle w:val="ListBullet"/>
            </w:pPr>
            <w:r w:rsidRPr="00666640">
              <w:t>industry codes of practice and guidelines</w:t>
            </w:r>
          </w:p>
          <w:p w:rsidR="00000000" w:rsidRPr="00666640" w:rsidP="00666640">
            <w:pPr>
              <w:pStyle w:val="ListBullet"/>
            </w:pPr>
            <w:r w:rsidRPr="00666640">
              <w:t xml:space="preserve">environmental regulations and guidelines </w:t>
            </w:r>
          </w:p>
          <w:p w:rsidR="00000000" w:rsidRPr="00666640" w:rsidP="00666640">
            <w:pPr>
              <w:pStyle w:val="ListBullet"/>
            </w:pPr>
            <w:r w:rsidRPr="00666640">
              <w:t>Australian and other standar</w:t>
            </w:r>
            <w:r w:rsidRPr="00666640">
              <w:t>ds</w:t>
            </w:r>
          </w:p>
          <w:p w:rsidR="00000000" w:rsidRPr="00666640" w:rsidP="00666640">
            <w:pPr>
              <w:pStyle w:val="ListBullet"/>
            </w:pPr>
            <w:r w:rsidRPr="00666640">
              <w:t xml:space="preserve">licence and certification requirements </w:t>
            </w:r>
          </w:p>
          <w:p w:rsidR="00000000" w:rsidRPr="00666640" w:rsidP="00666640">
            <w:pPr>
              <w:pStyle w:val="BodyText"/>
            </w:pPr>
          </w:p>
          <w:p w:rsidR="00000000" w:rsidRPr="00666640" w:rsidP="00666640">
            <w:pPr>
              <w:pStyle w:val="BodyText"/>
            </w:pPr>
            <w:r w:rsidRPr="00666640">
              <w:t>All operations to which this unit applies are subject to stringent health, safety and environment (HSE) requirements, which may be imposed through state/territory or federal legislation, and these must not be com</w:t>
            </w:r>
            <w:r w:rsidRPr="00666640">
              <w:t>promised at any time. Where there is an apparent conflict between performance criteria and HSE requirements, the HSE requirements take precedence.</w:t>
            </w:r>
          </w:p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Items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Items on schematic/in plant include the following:</w:t>
            </w:r>
          </w:p>
          <w:p w:rsidR="00000000" w:rsidRPr="00666640" w:rsidP="00666640">
            <w:pPr>
              <w:pStyle w:val="ListBullet"/>
            </w:pPr>
            <w:r w:rsidRPr="00666640">
              <w:t>all major plant items, such as:</w:t>
            </w:r>
          </w:p>
          <w:p w:rsidR="00000000" w:rsidRPr="00666640" w:rsidP="00666640">
            <w:pPr>
              <w:pStyle w:val="ListBullet2"/>
            </w:pPr>
            <w:r w:rsidRPr="00666640">
              <w:t>vessels</w:t>
            </w:r>
          </w:p>
          <w:p w:rsidR="00000000" w:rsidRPr="00666640" w:rsidP="00666640">
            <w:pPr>
              <w:pStyle w:val="ListBullet2"/>
            </w:pPr>
            <w:r w:rsidRPr="00666640">
              <w:t>columns</w:t>
            </w:r>
          </w:p>
          <w:p w:rsidR="00000000" w:rsidRPr="00666640" w:rsidP="00666640">
            <w:pPr>
              <w:pStyle w:val="ListBullet2"/>
            </w:pPr>
            <w:r w:rsidRPr="00666640">
              <w:t>reactors</w:t>
            </w:r>
          </w:p>
          <w:p w:rsidR="00000000" w:rsidRPr="00666640" w:rsidP="00666640">
            <w:pPr>
              <w:pStyle w:val="ListBullet2"/>
            </w:pPr>
            <w:r w:rsidRPr="00666640">
              <w:t>heat exchangers</w:t>
            </w:r>
          </w:p>
          <w:p w:rsidR="00000000" w:rsidRPr="00666640" w:rsidP="00666640">
            <w:pPr>
              <w:pStyle w:val="ListBullet"/>
            </w:pPr>
            <w:r w:rsidRPr="00666640">
              <w:t>minor plant items, such as:</w:t>
            </w:r>
          </w:p>
          <w:p w:rsidR="00000000" w:rsidRPr="00666640" w:rsidP="00666640">
            <w:pPr>
              <w:pStyle w:val="ListBullet2"/>
            </w:pPr>
            <w:r w:rsidRPr="00666640">
              <w:t>pumps</w:t>
            </w:r>
          </w:p>
          <w:p w:rsidR="00000000" w:rsidRPr="00666640" w:rsidP="00666640">
            <w:pPr>
              <w:pStyle w:val="ListBullet2"/>
            </w:pPr>
            <w:r w:rsidRPr="00666640">
              <w:t>valves</w:t>
            </w:r>
          </w:p>
          <w:p w:rsidR="00000000" w:rsidRPr="00666640" w:rsidP="00666640">
            <w:pPr>
              <w:pStyle w:val="ListBullet2"/>
            </w:pPr>
            <w:r w:rsidRPr="00666640">
              <w:t>strainers</w:t>
            </w:r>
          </w:p>
          <w:p w:rsidR="00000000" w:rsidRPr="00666640" w:rsidP="00666640">
            <w:pPr>
              <w:pStyle w:val="ListBullet2"/>
            </w:pPr>
            <w:r w:rsidRPr="00666640">
              <w:t>filters</w:t>
            </w:r>
          </w:p>
          <w:p w:rsidR="00000000" w:rsidRPr="00666640" w:rsidP="00666640">
            <w:pPr>
              <w:pStyle w:val="ListBullet2"/>
            </w:pPr>
            <w:r w:rsidRPr="00666640">
              <w:t>instrumentation (local and remote)</w:t>
            </w:r>
          </w:p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Schematics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Schematics are formally drawn, authorised diagrams and are hard copy or electronic.</w:t>
            </w:r>
          </w:p>
          <w:p w:rsidR="00000000" w:rsidRPr="00666640" w:rsidP="00666640">
            <w:pPr>
              <w:pStyle w:val="BodyText"/>
            </w:pPr>
          </w:p>
          <w:p w:rsidR="00000000" w:rsidRPr="00666640" w:rsidP="00666640">
            <w:pPr>
              <w:pStyle w:val="BodyText"/>
            </w:pPr>
            <w:r w:rsidRPr="00666640">
              <w:t>Schematics have various names, including:</w:t>
            </w:r>
          </w:p>
          <w:p w:rsidR="00000000" w:rsidRPr="00666640" w:rsidP="00666640">
            <w:pPr>
              <w:pStyle w:val="ListBullet"/>
            </w:pPr>
            <w:r w:rsidRPr="00666640">
              <w:t>piping and instrumentation diagram (P&amp;ID)</w:t>
            </w:r>
          </w:p>
          <w:p w:rsidR="00000000" w:rsidRPr="00666640" w:rsidP="00666640">
            <w:pPr>
              <w:pStyle w:val="ListBullet"/>
            </w:pPr>
            <w:r w:rsidRPr="00666640">
              <w:t>process flow diagram (PFD)</w:t>
            </w:r>
          </w:p>
          <w:p w:rsidR="00000000" w:rsidRPr="00666640" w:rsidP="00666640">
            <w:pPr>
              <w:pStyle w:val="ListBullet"/>
            </w:pPr>
            <w:r w:rsidRPr="00666640">
              <w:t>process engineering flow (PEF)</w:t>
            </w:r>
          </w:p>
          <w:p w:rsidR="00000000" w:rsidRPr="00666640" w:rsidP="00666640">
            <w:pPr>
              <w:pStyle w:val="ListBullet"/>
            </w:pPr>
            <w:r w:rsidRPr="00666640">
              <w:t>cause and effect diagrams/matrix</w:t>
            </w:r>
          </w:p>
          <w:p w:rsidR="00000000" w:rsidRPr="00666640" w:rsidP="00666640">
            <w:pPr>
              <w:pStyle w:val="BodyText"/>
            </w:pPr>
          </w:p>
          <w:p w:rsidR="00000000" w:rsidRPr="00666640" w:rsidP="00666640">
            <w:pPr>
              <w:pStyle w:val="BodyText"/>
            </w:pPr>
            <w:r w:rsidRPr="00666640">
              <w:t>Manual schematic includes one or more of the following:</w:t>
            </w:r>
          </w:p>
          <w:p w:rsidR="00000000" w:rsidRPr="00666640" w:rsidP="00666640">
            <w:pPr>
              <w:pStyle w:val="ListBullet"/>
            </w:pPr>
            <w:r w:rsidRPr="00666640">
              <w:t>a hand drawn sketch of</w:t>
            </w:r>
            <w:r w:rsidRPr="00666640">
              <w:t xml:space="preserve"> the part of the process of interest</w:t>
            </w:r>
          </w:p>
          <w:p w:rsidR="00000000" w:rsidRPr="00666640" w:rsidP="00666640">
            <w:pPr>
              <w:pStyle w:val="ListBullet"/>
            </w:pPr>
            <w:r w:rsidRPr="00666640">
              <w:t>a mark up of a formally drawn schematic</w:t>
            </w:r>
          </w:p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Symbols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Symbols and conventions used in the schematics for the relevant plant area should be used, and include of one or more of the following:</w:t>
            </w:r>
          </w:p>
          <w:p w:rsidR="00000000" w:rsidRPr="00666640" w:rsidP="00666640">
            <w:pPr>
              <w:pStyle w:val="ListBullet"/>
            </w:pPr>
            <w:r w:rsidRPr="00666640">
              <w:t>Australian Standards symbols</w:t>
            </w:r>
          </w:p>
          <w:p w:rsidR="00000000" w:rsidRPr="00666640" w:rsidP="00666640">
            <w:pPr>
              <w:pStyle w:val="ListBullet"/>
            </w:pPr>
            <w:r w:rsidRPr="00666640">
              <w:t>the organisation</w:t>
            </w:r>
            <w:r>
              <w:t>’</w:t>
            </w:r>
            <w:r w:rsidRPr="00666640">
              <w:t xml:space="preserve">s standard symbols </w:t>
            </w:r>
          </w:p>
          <w:p w:rsidR="00000000" w:rsidRPr="00666640" w:rsidP="00666640">
            <w:pPr>
              <w:pStyle w:val="ListBullet"/>
            </w:pPr>
            <w:r w:rsidRPr="00666640">
              <w:t>some other standard system</w:t>
            </w:r>
          </w:p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Points required to prepare 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Points required to prepare plant include three or more of the following:</w:t>
            </w:r>
          </w:p>
          <w:p w:rsidR="00000000" w:rsidRPr="00666640" w:rsidP="00666640">
            <w:pPr>
              <w:pStyle w:val="ListBullet"/>
            </w:pPr>
            <w:r w:rsidRPr="00666640">
              <w:t>isolations</w:t>
            </w:r>
          </w:p>
          <w:p w:rsidR="00000000" w:rsidRPr="00666640" w:rsidP="00666640">
            <w:pPr>
              <w:pStyle w:val="ListBullet"/>
            </w:pPr>
            <w:r w:rsidRPr="00666640">
              <w:t>blank/spade/spectacle blind, breakout spool locations</w:t>
            </w:r>
          </w:p>
          <w:p w:rsidR="00000000" w:rsidRPr="00666640" w:rsidP="00666640">
            <w:pPr>
              <w:pStyle w:val="ListBullet"/>
            </w:pPr>
            <w:r w:rsidRPr="00666640">
              <w:t>draining</w:t>
            </w:r>
          </w:p>
          <w:p w:rsidR="00000000" w:rsidRPr="00666640" w:rsidP="00666640">
            <w:pPr>
              <w:pStyle w:val="ListBullet"/>
            </w:pPr>
            <w:r w:rsidRPr="00666640">
              <w:t>purging</w:t>
            </w:r>
          </w:p>
          <w:p w:rsidR="00000000" w:rsidRPr="00666640" w:rsidP="00666640">
            <w:pPr>
              <w:pStyle w:val="ListBullet"/>
            </w:pPr>
            <w:r w:rsidRPr="00666640">
              <w:t>b</w:t>
            </w:r>
            <w:r w:rsidRPr="00666640">
              <w:t>lanketing</w:t>
            </w:r>
          </w:p>
          <w:p w:rsidR="00000000" w:rsidRPr="00666640" w:rsidP="00666640">
            <w:pPr>
              <w:pStyle w:val="ListBullet"/>
            </w:pPr>
            <w:r w:rsidRPr="00666640">
              <w:t>venting</w:t>
            </w:r>
          </w:p>
          <w:p w:rsidR="00000000" w:rsidRPr="00666640" w:rsidP="00666640">
            <w:pPr>
              <w:pStyle w:val="ListBullet"/>
            </w:pPr>
            <w:r w:rsidRPr="00666640">
              <w:t>ventilating</w:t>
            </w:r>
          </w:p>
          <w:p w:rsidR="00000000" w:rsidRPr="00666640" w:rsidP="00666640">
            <w:pPr>
              <w:pStyle w:val="ListBullet"/>
            </w:pPr>
            <w:r w:rsidRPr="00666640">
              <w:t>locating plant, equipment and services - above ground</w:t>
            </w:r>
          </w:p>
          <w:p w:rsidR="00000000" w:rsidRPr="00666640" w:rsidP="00666640">
            <w:pPr>
              <w:pStyle w:val="ListBullet"/>
            </w:pPr>
            <w:r w:rsidRPr="00666640">
              <w:t>locating below ground (or otherwise obscured) pipeline and services</w:t>
            </w:r>
          </w:p>
          <w:p w:rsidR="00000000" w:rsidP="00666640">
            <w:pPr>
              <w:pStyle w:val="BodyText"/>
              <w:rPr>
                <w:lang w:val="en-NZ"/>
              </w:rPr>
            </w:pPr>
          </w:p>
        </w:tc>
      </w:tr>
      <w:tr w:rsidTr="00BC7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40">
            <w:pPr>
              <w:pStyle w:val="BodyText"/>
              <w:rPr>
                <w:lang w:val="en-NZ"/>
              </w:rPr>
            </w:pPr>
            <w:r w:rsidRPr="00666640">
              <w:rPr>
                <w:rStyle w:val="SpecialBold"/>
              </w:rPr>
              <w:t>Key conditions/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40" w:rsidP="00666640">
            <w:pPr>
              <w:pStyle w:val="BodyText"/>
            </w:pPr>
            <w:r w:rsidRPr="00666640">
              <w:t>Key conditions/variables include one or more of the following:</w:t>
            </w:r>
          </w:p>
          <w:p w:rsidR="00000000" w:rsidRPr="00666640" w:rsidP="00666640">
            <w:pPr>
              <w:pStyle w:val="ListBullet"/>
            </w:pPr>
            <w:r w:rsidRPr="00666640">
              <w:t>normal range of process conditions, such as:</w:t>
            </w:r>
          </w:p>
          <w:p w:rsidR="00000000" w:rsidRPr="00666640" w:rsidP="00666640">
            <w:pPr>
              <w:pStyle w:val="ListBullet2"/>
            </w:pPr>
            <w:r w:rsidRPr="00666640">
              <w:t>level</w:t>
            </w:r>
          </w:p>
          <w:p w:rsidR="00000000" w:rsidRPr="00666640" w:rsidP="00666640">
            <w:pPr>
              <w:pStyle w:val="ListBullet2"/>
            </w:pPr>
            <w:r w:rsidRPr="00666640">
              <w:t>pressure</w:t>
            </w:r>
          </w:p>
          <w:p w:rsidR="00000000" w:rsidRPr="00666640" w:rsidP="00666640">
            <w:pPr>
              <w:pStyle w:val="ListBullet2"/>
            </w:pPr>
            <w:r w:rsidRPr="00666640">
              <w:t>flow</w:t>
            </w:r>
          </w:p>
          <w:p w:rsidR="00000000" w:rsidRPr="00666640" w:rsidP="00666640">
            <w:pPr>
              <w:pStyle w:val="ListBullet2"/>
            </w:pPr>
            <w:r w:rsidRPr="00666640">
              <w:t>temperature</w:t>
            </w:r>
          </w:p>
          <w:p w:rsidR="00000000" w:rsidRPr="00666640" w:rsidP="00666640">
            <w:pPr>
              <w:pStyle w:val="ListBullet"/>
            </w:pPr>
            <w:r w:rsidRPr="00666640">
              <w:t>alarm conditions/values</w:t>
            </w:r>
          </w:p>
          <w:p w:rsidR="00000000" w:rsidRPr="00666640" w:rsidP="00666640">
            <w:pPr>
              <w:pStyle w:val="ListBullet"/>
            </w:pPr>
            <w:r w:rsidRPr="00666640">
              <w:t>trip and emergency shutdown (ESD) values</w:t>
            </w:r>
          </w:p>
          <w:p w:rsidR="00000000" w:rsidRPr="00666640" w:rsidP="00666640">
            <w:pPr>
              <w:pStyle w:val="BodyText"/>
            </w:pPr>
          </w:p>
        </w:tc>
      </w:tr>
    </w:tbl>
    <w:p w:rsidR="00000000" w:rsidRPr="00666640" w:rsidP="00666640">
      <w:pPr>
        <w:pStyle w:val="BodyText"/>
      </w:pPr>
    </w:p>
    <w:p w:rsidR="00000000" w:rsidRPr="00666640" w:rsidP="00666640">
      <w:pPr>
        <w:pStyle w:val="AllowPageBreak"/>
      </w:pPr>
    </w:p>
    <w:p w:rsidR="00000000" w:rsidRPr="00666640" w:rsidP="00666640">
      <w:pPr>
        <w:pStyle w:val="Heading1"/>
      </w:pPr>
      <w:bookmarkStart w:id="9" w:name="O_907614"/>
      <w:bookmarkEnd w:id="9"/>
      <w:r w:rsidRPr="00666640">
        <w:t>Unit Mapping Information</w:t>
      </w:r>
    </w:p>
    <w:p w:rsidR="00000000" w:rsidRPr="00666640" w:rsidP="00BC7F14">
      <w:pPr>
        <w:pStyle w:val="BodyText"/>
      </w:pPr>
      <w:r w:rsidRPr="00666640">
        <w:t>Release 1. Supersedes and is equivalent to PMAOPS280B Interpret process plant schematics</w:t>
      </w:r>
    </w:p>
    <w:p w:rsidR="00000000" w:rsidRPr="00666640" w:rsidP="00666640">
      <w:pPr>
        <w:pStyle w:val="Heading1"/>
      </w:pPr>
      <w:bookmarkStart w:id="10" w:name="O_907607"/>
      <w:bookmarkEnd w:id="10"/>
      <w:r w:rsidRPr="00666640">
        <w:t>Links</w:t>
      </w:r>
    </w:p>
    <w:p w:rsidR="00000000" w:rsidRPr="00666640" w:rsidP="00BC7F14">
      <w:pPr>
        <w:pStyle w:val="BodyText"/>
      </w:pPr>
      <w:r w:rsidRPr="00666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1C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66640" w:rsidP="00BC7F14">
      <w:pPr>
        <w:pStyle w:val="BodyText"/>
        <w:sectPr w:rsidSect="00666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6640" w:rsidP="00666640">
      <w:pPr>
        <w:pStyle w:val="SuperHeading"/>
      </w:pPr>
      <w:r w:rsidRPr="00666640">
        <w:t>Assessment Requirements for PMAOPS280 Interpret process plant schematics</w:t>
      </w:r>
    </w:p>
    <w:p w:rsidR="00000000" w:rsidRPr="00666640" w:rsidP="00666640">
      <w:pPr>
        <w:pStyle w:val="Heading1"/>
      </w:pPr>
      <w:bookmarkStart w:id="11" w:name="O_907609"/>
      <w:bookmarkEnd w:id="11"/>
      <w:r w:rsidRPr="00666640">
        <w:t>Modification History</w:t>
      </w:r>
    </w:p>
    <w:p w:rsidR="00000000" w:rsidRPr="00666640" w:rsidP="00BC7F14">
      <w:pPr>
        <w:pStyle w:val="BodyText"/>
      </w:pPr>
      <w:r w:rsidRPr="00666640">
        <w:t>Release 1. Supersedes and is equivalent to PMAOPS280B Interpret process plant schematics</w:t>
      </w:r>
    </w:p>
    <w:p w:rsidR="00000000" w:rsidRPr="00666640" w:rsidP="00666640">
      <w:pPr>
        <w:pStyle w:val="Heading1"/>
      </w:pPr>
      <w:bookmarkStart w:id="12" w:name="O_907612"/>
      <w:bookmarkEnd w:id="12"/>
      <w:r w:rsidRPr="00666640">
        <w:t>Performance Evidence</w:t>
      </w:r>
    </w:p>
    <w:p w:rsidR="00000000" w:rsidRPr="00666640" w:rsidP="00BC7F14">
      <w:pPr>
        <w:pStyle w:val="BodyText"/>
      </w:pPr>
      <w:r w:rsidRPr="00666640">
        <w:t>Evidence required to demonstrate competence in this unit must be relevant to and satisfy the requirements of the elements and performance criteria, and include the ability to:</w:t>
      </w:r>
    </w:p>
    <w:p w:rsidR="00000000" w:rsidRPr="00666640" w:rsidP="00666640">
      <w:pPr>
        <w:pStyle w:val="ListBullet"/>
      </w:pPr>
      <w:r w:rsidRPr="00666640">
        <w:t>interpret symbols and other drawing elemen</w:t>
      </w:r>
      <w:r w:rsidRPr="00666640">
        <w:t>ts and explain their relationship to the plant and process</w:t>
      </w:r>
    </w:p>
    <w:p w:rsidR="00000000" w:rsidRPr="00666640" w:rsidP="00666640">
      <w:pPr>
        <w:pStyle w:val="ListBullet"/>
      </w:pPr>
      <w:r w:rsidRPr="00666640">
        <w:t>identify critical processes and plant items from a schematic</w:t>
      </w:r>
    </w:p>
    <w:p w:rsidR="00000000" w:rsidRPr="00666640" w:rsidP="00666640">
      <w:pPr>
        <w:pStyle w:val="ListBullet"/>
      </w:pPr>
      <w:r w:rsidRPr="00666640">
        <w:t>draw or mark up a schematic and use it to describe main process features and plant items.</w:t>
      </w:r>
    </w:p>
    <w:p w:rsidR="00000000" w:rsidRPr="00666640" w:rsidP="00666640">
      <w:pPr>
        <w:pStyle w:val="AllowPageBreak"/>
      </w:pPr>
    </w:p>
    <w:p w:rsidR="00000000" w:rsidRPr="00666640" w:rsidP="00666640">
      <w:pPr>
        <w:pStyle w:val="Heading1"/>
      </w:pPr>
      <w:bookmarkStart w:id="13" w:name="O_907611"/>
      <w:bookmarkEnd w:id="13"/>
      <w:r w:rsidRPr="00666640">
        <w:t>Knowledge Evidence</w:t>
      </w:r>
    </w:p>
    <w:p w:rsidR="00000000" w:rsidRPr="00666640" w:rsidP="00BC7F14">
      <w:pPr>
        <w:pStyle w:val="BodyText"/>
      </w:pPr>
      <w:r w:rsidRPr="00666640">
        <w:t>Evidence must be provided that demonstrates knowledge of:</w:t>
      </w:r>
    </w:p>
    <w:p w:rsidR="00000000" w:rsidRPr="00666640" w:rsidP="00666640">
      <w:pPr>
        <w:pStyle w:val="ListBullet"/>
      </w:pPr>
      <w:r w:rsidRPr="00666640">
        <w:t xml:space="preserve">standard/common symbols used on schematics </w:t>
      </w:r>
    </w:p>
    <w:p w:rsidR="00000000" w:rsidRPr="00666640" w:rsidP="00666640">
      <w:pPr>
        <w:pStyle w:val="ListBullet"/>
      </w:pPr>
      <w:r w:rsidRPr="00666640">
        <w:t>schematic conventions (e.g. with particular reference to crossing and branching lines)</w:t>
      </w:r>
    </w:p>
    <w:p w:rsidR="00000000" w:rsidRPr="00666640" w:rsidP="00666640">
      <w:pPr>
        <w:pStyle w:val="ListBullet"/>
      </w:pPr>
      <w:r w:rsidRPr="00666640">
        <w:t>symbols and conventions used by the organisation, if different fro</w:t>
      </w:r>
      <w:r w:rsidRPr="00666640">
        <w:t>m common usage</w:t>
      </w:r>
    </w:p>
    <w:p w:rsidR="00000000" w:rsidRPr="00666640" w:rsidP="00666640">
      <w:pPr>
        <w:pStyle w:val="ListBullet"/>
      </w:pPr>
      <w:r w:rsidRPr="00666640">
        <w:t>indications of equipment/pipe specifications</w:t>
      </w:r>
    </w:p>
    <w:p w:rsidR="00000000" w:rsidRPr="00666640" w:rsidP="00666640">
      <w:pPr>
        <w:pStyle w:val="ListBullet"/>
      </w:pPr>
      <w:r w:rsidRPr="00666640">
        <w:t>indications of process conditions/limits.</w:t>
      </w:r>
    </w:p>
    <w:p w:rsidR="00000000" w:rsidRPr="00666640" w:rsidP="00666640">
      <w:pPr>
        <w:pStyle w:val="AllowPageBreak"/>
      </w:pPr>
    </w:p>
    <w:p w:rsidR="00000000" w:rsidRPr="00666640" w:rsidP="00666640">
      <w:pPr>
        <w:pStyle w:val="Heading1"/>
      </w:pPr>
      <w:bookmarkStart w:id="14" w:name="O_907610"/>
      <w:bookmarkEnd w:id="14"/>
      <w:r w:rsidRPr="00666640">
        <w:t>Assessment Conditions</w:t>
      </w:r>
    </w:p>
    <w:p w:rsidR="00000000" w:rsidRPr="00666640" w:rsidP="00666640">
      <w:pPr>
        <w:pStyle w:val="ListBullet"/>
      </w:pPr>
      <w:r w:rsidRPr="00666640">
        <w:t>The unit should be assessed holistically and the judgement of competence based on a holistic assessment of the evi</w:t>
      </w:r>
      <w:r w:rsidRPr="00666640">
        <w:t xml:space="preserve">dence. </w:t>
      </w:r>
    </w:p>
    <w:p w:rsidR="00000000" w:rsidRPr="00666640" w:rsidP="00666640">
      <w:pPr>
        <w:pStyle w:val="ListBullet"/>
      </w:pPr>
      <w:r w:rsidRPr="00666640">
        <w:t>The collection of performance evidence is best done from a report and/or folio of evidence drawn from:</w:t>
      </w:r>
    </w:p>
    <w:p w:rsidR="00000000" w:rsidRPr="00666640" w:rsidP="00666640">
      <w:pPr>
        <w:pStyle w:val="ListBullet2"/>
      </w:pPr>
      <w:r w:rsidRPr="00666640">
        <w:t>a single project which provides sufficient evidence of the requirements of all the elements and performance criteria</w:t>
      </w:r>
    </w:p>
    <w:p w:rsidR="00000000" w:rsidRPr="00666640" w:rsidP="00666640">
      <w:pPr>
        <w:pStyle w:val="ListBullet2"/>
      </w:pPr>
      <w:r w:rsidRPr="00666640">
        <w:t>multiple smaller projects which together provide sufficient evidence of the requirements of all the elements and performance criteria.</w:t>
      </w:r>
    </w:p>
    <w:p w:rsidR="00000000" w:rsidRPr="00666640" w:rsidP="00666640">
      <w:pPr>
        <w:pStyle w:val="ListBullet"/>
      </w:pPr>
      <w:r w:rsidRPr="00666640">
        <w:t>A third-party report, or similar, may be needed to testify to the work done by the individual, particularly when the pro</w:t>
      </w:r>
      <w:r w:rsidRPr="00666640">
        <w:t>ject has been done as part of a project team.</w:t>
      </w:r>
    </w:p>
    <w:p w:rsidR="00000000" w:rsidRPr="00666640" w:rsidP="00666640">
      <w:pPr>
        <w:pStyle w:val="ListBullet"/>
      </w:pPr>
      <w:r w:rsidRPr="00666640">
        <w:t>Assessment should occur in operational workplace situations. Where this is not possible or practical, assessment must occur in a sufficiently rigorous simulated environment reflecting realistic operational work</w:t>
      </w:r>
      <w:r w:rsidRPr="00666640">
        <w:t xml:space="preserve">place conditions. This must cover all aspects of workplace performance, including environment, task skills, task management skills, contingency management skills and job role environment skills. </w:t>
      </w:r>
    </w:p>
    <w:p w:rsidR="00000000" w:rsidRPr="00666640" w:rsidP="00666640">
      <w:pPr>
        <w:pStyle w:val="ListBullet"/>
      </w:pPr>
      <w:r w:rsidRPr="00666640">
        <w:t>Knowledge evidence may be collected concurrently with perfor</w:t>
      </w:r>
      <w:r w:rsidRPr="00666640">
        <w:t>mance evidence (provided a record is kept) or through an independent process, such as workbooks, written assessments or interviews (provided a record is kept).</w:t>
      </w:r>
    </w:p>
    <w:p w:rsidR="00000000" w:rsidRPr="00666640" w:rsidP="00666640">
      <w:pPr>
        <w:pStyle w:val="ListBullet"/>
      </w:pPr>
      <w:r w:rsidRPr="00666640">
        <w:t>Assessment processes and techniques must be appropriate to the language, literacy and numeracy r</w:t>
      </w:r>
      <w:r w:rsidRPr="00666640">
        <w:t>equirements of the work being performed and the needs of the candidate.</w:t>
      </w:r>
    </w:p>
    <w:p w:rsidR="00000000" w:rsidRPr="00666640" w:rsidP="00666640">
      <w:pPr>
        <w:pStyle w:val="ListBullet"/>
      </w:pPr>
      <w:r w:rsidRPr="00666640">
        <w:t>Conditions for assessment must include access to all tools, equipment, materials and documentation required, including relevant workplace procedures, product and manufacturing specific</w:t>
      </w:r>
      <w:r w:rsidRPr="00666640">
        <w:t>ations associated with this unit.</w:t>
      </w:r>
    </w:p>
    <w:p w:rsidR="00000000" w:rsidRPr="00666640" w:rsidP="00666640">
      <w:pPr>
        <w:pStyle w:val="ListBullet"/>
      </w:pPr>
      <w:r w:rsidRPr="00666640">
        <w:t xml:space="preserve">The regulatory framework will be reflected in workplace policies and procedures and is not required to be independently assessed. </w:t>
      </w:r>
    </w:p>
    <w:p w:rsidR="00000000" w:rsidRPr="00666640" w:rsidP="00666640">
      <w:pPr>
        <w:pStyle w:val="ListBullet"/>
      </w:pPr>
      <w:r w:rsidRPr="00666640">
        <w:t>Foundation skills are integral to competent performance of the unit and should not be asses</w:t>
      </w:r>
      <w:r w:rsidRPr="00666640">
        <w:t>sed.</w:t>
      </w:r>
    </w:p>
    <w:p w:rsidR="00000000" w:rsidRPr="00666640" w:rsidP="00666640">
      <w:pPr>
        <w:pStyle w:val="ListBullet"/>
      </w:pPr>
      <w:r w:rsidRPr="00666640">
        <w:t>Assessors must satisfy the assessor competency requirements that are in place at the time of the assessment as set by the VET regulator.</w:t>
      </w:r>
    </w:p>
    <w:p w:rsidR="00000000" w:rsidRPr="00666640" w:rsidP="00666640">
      <w:pPr>
        <w:pStyle w:val="ListBullet"/>
      </w:pPr>
      <w:r w:rsidRPr="00666640">
        <w:t>In addition, the assessor or anyone acting in subject matter expert role in assessment must demonstrate both techn</w:t>
      </w:r>
      <w:r w:rsidRPr="00666640">
        <w:t xml:space="preserve">ical competency and currency. If the assessor cannot demonstrate technical competency and currency they must assess with a subject matter expert who does meet these requirements. </w:t>
      </w:r>
    </w:p>
    <w:p w:rsidR="00000000" w:rsidRPr="00666640" w:rsidP="00666640">
      <w:pPr>
        <w:pStyle w:val="ListBullet"/>
      </w:pPr>
      <w:r w:rsidRPr="00666640">
        <w:t>Technical competence can be demonstrated through one or more of:</w:t>
      </w:r>
    </w:p>
    <w:p w:rsidR="00000000" w:rsidRPr="00666640" w:rsidP="00666640">
      <w:pPr>
        <w:pStyle w:val="ListBullet2"/>
      </w:pPr>
      <w:r w:rsidRPr="00666640">
        <w:t>relevant V</w:t>
      </w:r>
      <w:r w:rsidRPr="00666640">
        <w:t xml:space="preserve">ET or other qualification/Statement of Attainment </w:t>
      </w:r>
    </w:p>
    <w:p w:rsidR="00000000" w:rsidRPr="00666640" w:rsidP="00666640">
      <w:pPr>
        <w:pStyle w:val="ListBullet2"/>
      </w:pPr>
      <w:r w:rsidRPr="00666640">
        <w:t xml:space="preserve">appropriate workplace experience undertaking the type of work being assessed under routine and non-routine conditions </w:t>
      </w:r>
    </w:p>
    <w:p w:rsidR="00000000" w:rsidRPr="00666640" w:rsidP="00666640">
      <w:pPr>
        <w:pStyle w:val="ListBullet2"/>
      </w:pPr>
      <w:r w:rsidRPr="00666640">
        <w:t>appropriate workplace experience s</w:t>
      </w:r>
      <w:r w:rsidRPr="00666640">
        <w:t>upervising/evaluating the type of work being assessed under routine and non-routine conditions</w:t>
      </w:r>
    </w:p>
    <w:p w:rsidR="00000000" w:rsidRPr="00666640" w:rsidP="00666640">
      <w:pPr>
        <w:pStyle w:val="ListBullet"/>
      </w:pPr>
      <w:r w:rsidRPr="00666640">
        <w:t>Currency can be demonstrated through one or more of:</w:t>
      </w:r>
    </w:p>
    <w:p w:rsidR="00000000" w:rsidRPr="00666640" w:rsidP="00666640">
      <w:pPr>
        <w:pStyle w:val="ListBullet2"/>
      </w:pPr>
      <w:r w:rsidRPr="00666640">
        <w:t xml:space="preserve">being currently employed undertaking the type of work being assessed </w:t>
      </w:r>
    </w:p>
    <w:p w:rsidR="00000000" w:rsidRPr="00666640" w:rsidP="00666640">
      <w:pPr>
        <w:pStyle w:val="ListBullet2"/>
      </w:pPr>
      <w:r w:rsidRPr="00666640">
        <w:t>being employed by the organisation u</w:t>
      </w:r>
      <w:r w:rsidRPr="00666640">
        <w:t xml:space="preserve">ndertaking the type of work being assessed and having maintained currency in accordance with that organisation’s policies and procedures </w:t>
      </w:r>
    </w:p>
    <w:p w:rsidR="00000000" w:rsidRPr="00666640" w:rsidP="00666640">
      <w:pPr>
        <w:pStyle w:val="ListBullet2"/>
      </w:pPr>
      <w:r w:rsidRPr="00666640">
        <w:t>having consulted/had contact with an organisation undertaking the type of work being assessed within the last twelve m</w:t>
      </w:r>
      <w:r w:rsidRPr="00666640">
        <w:t xml:space="preserve">onths, the consultation/contact being related to assessment </w:t>
      </w:r>
    </w:p>
    <w:p w:rsidR="00000000" w:rsidRPr="00666640" w:rsidP="00666640">
      <w:pPr>
        <w:pStyle w:val="ListBullet2"/>
      </w:pPr>
      <w:r w:rsidRPr="00666640">
        <w:t xml:space="preserve">conducting on-the-job training/assessments of the type of work being assessed </w:t>
      </w:r>
    </w:p>
    <w:p w:rsidR="00000000" w:rsidRPr="00666640" w:rsidP="00666640">
      <w:pPr>
        <w:pStyle w:val="ListBullet2"/>
      </w:pPr>
      <w:r w:rsidRPr="00666640">
        <w:t>being an active member of a relevant professional body and participating in activities relevant to the assessment of</w:t>
      </w:r>
      <w:r w:rsidRPr="00666640">
        <w:t xml:space="preserve"> this type of work.</w:t>
      </w:r>
    </w:p>
    <w:p w:rsidR="00000000" w:rsidRPr="00666640" w:rsidP="00666640">
      <w:pPr>
        <w:pStyle w:val="AllowPageBreak"/>
      </w:pPr>
    </w:p>
    <w:p w:rsidR="00000000" w:rsidRPr="00666640" w:rsidP="00666640">
      <w:pPr>
        <w:pStyle w:val="Heading1"/>
      </w:pPr>
      <w:bookmarkStart w:id="15" w:name="O_907608"/>
      <w:bookmarkEnd w:id="15"/>
      <w:r w:rsidRPr="00666640">
        <w:t>Links</w:t>
      </w:r>
    </w:p>
    <w:p w:rsidR="00000000" w:rsidRPr="00666640" w:rsidP="00BC7F14">
      <w:pPr>
        <w:pStyle w:val="BodyText"/>
      </w:pPr>
      <w:r w:rsidRPr="00666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1C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66640" w:rsidP="00666640"/>
    <w:sectPr w:rsidSect="00666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 w:rsidRPr="00BC7F14" w:rsidP="00BC7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4" w:rsidP="0066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7F14" w:rsidP="0066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7F14" w:rsidP="00666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 w:rsidP="0066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F14">
      <w:t>Approved</w:t>
    </w:r>
    <w:r w:rsidR="00BC7F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F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F14">
      <w:rPr>
        <w:noProof/>
      </w:rPr>
      <w:t>5</w:t>
    </w:r>
    <w:r>
      <w:rPr>
        <w:noProof/>
      </w:rPr>
      <w:fldChar w:fldCharType="end"/>
    </w:r>
  </w:p>
  <w:p w:rsidR="00666640" w:rsidP="0066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F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F14">
      <w:t>Manufacturing Industry Skills Alliance</w:t>
    </w:r>
    <w:r w:rsidR="00BC7F14">
      <w:fldChar w:fldCharType="end"/>
    </w:r>
  </w:p>
  <w:p w:rsidR="00666640" w:rsidP="00666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640" w:rsidRPr="00BC7F14" w:rsidP="00BC7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4" w:rsidRPr="002D2AF8" w:rsidP="0066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PMAOPS280 Interpret process plant schematics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7F14" w:rsidP="00666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0" w:rsidRPr="002D2AF8" w:rsidP="0066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F14">
      <w:t>PMAOPS280 Interpret process plant schematics</w:t>
    </w:r>
    <w:r w:rsidR="00BC7F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F14">
      <w:rPr>
        <w:noProof/>
      </w:rPr>
      <w:t>1 March 2025</w:t>
    </w:r>
    <w:r>
      <w:fldChar w:fldCharType="end"/>
    </w:r>
  </w:p>
  <w:p w:rsidR="00666640" w:rsidP="00666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CA5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A6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6A0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640"/>
  </w:style>
  <w:style w:type="character" w:customStyle="1" w:styleId="Heading1Char">
    <w:name w:val="Heading 1 Char"/>
    <w:basedOn w:val="DefaultParagraphFont"/>
    <w:link w:val="Heading1"/>
    <w:rsid w:val="00666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6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640"/>
    <w:rPr>
      <w:b/>
      <w:spacing w:val="0"/>
    </w:rPr>
  </w:style>
  <w:style w:type="paragraph" w:styleId="ListBullet2">
    <w:name w:val="List Bullet 2"/>
    <w:basedOn w:val="List2"/>
    <w:rsid w:val="006666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6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640"/>
    <w:rPr>
      <w:i/>
    </w:rPr>
  </w:style>
  <w:style w:type="paragraph" w:styleId="Caption">
    <w:name w:val="caption"/>
    <w:basedOn w:val="BodyText"/>
    <w:next w:val="Normal"/>
    <w:qFormat/>
    <w:rsid w:val="00666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640"/>
  </w:style>
  <w:style w:type="paragraph" w:styleId="TableofFigures">
    <w:name w:val="table of figures"/>
    <w:basedOn w:val="Normal"/>
    <w:next w:val="Normal"/>
    <w:semiHidden/>
    <w:rsid w:val="00666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6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6640"/>
    <w:rPr>
      <w:rFonts w:ascii="Wingdings" w:hAnsi="Wingdings"/>
    </w:rPr>
  </w:style>
  <w:style w:type="paragraph" w:customStyle="1" w:styleId="TableHeading">
    <w:name w:val="Table Heading"/>
    <w:basedOn w:val="HeadingBase"/>
    <w:rsid w:val="00666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640"/>
    <w:rPr>
      <w:color w:val="0033CC"/>
      <w:u w:val="none"/>
    </w:rPr>
  </w:style>
  <w:style w:type="paragraph" w:customStyle="1" w:styleId="BodyTextRight">
    <w:name w:val="Body Text Right"/>
    <w:basedOn w:val="BodyText"/>
    <w:rsid w:val="00666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6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640"/>
    <w:rPr>
      <w:sz w:val="32"/>
    </w:rPr>
  </w:style>
  <w:style w:type="paragraph" w:customStyle="1" w:styleId="HeadingProcedure">
    <w:name w:val="Heading Procedure"/>
    <w:basedOn w:val="HeadingBase"/>
    <w:next w:val="Normal"/>
    <w:rsid w:val="00666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640"/>
    <w:pPr>
      <w:spacing w:before="60" w:after="60"/>
    </w:pPr>
  </w:style>
  <w:style w:type="paragraph" w:styleId="ListContinue">
    <w:name w:val="List Continue"/>
    <w:basedOn w:val="List"/>
    <w:rsid w:val="00666640"/>
    <w:pPr>
      <w:ind w:firstLine="0"/>
    </w:pPr>
  </w:style>
  <w:style w:type="paragraph" w:customStyle="1" w:styleId="ListNote">
    <w:name w:val="List Note"/>
    <w:basedOn w:val="List"/>
    <w:rsid w:val="00666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640"/>
    <w:rPr>
      <w:rFonts w:ascii="Courier New" w:hAnsi="Courier New"/>
    </w:rPr>
  </w:style>
  <w:style w:type="paragraph" w:customStyle="1" w:styleId="NoteBullet">
    <w:name w:val="Note Bullet"/>
    <w:basedOn w:val="Note"/>
    <w:rsid w:val="00666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6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6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640"/>
    <w:rPr>
      <w:b/>
      <w:smallCaps/>
    </w:rPr>
  </w:style>
  <w:style w:type="paragraph" w:customStyle="1" w:styleId="TableListNumber">
    <w:name w:val="Table List Number"/>
    <w:basedOn w:val="ListNumber"/>
    <w:rsid w:val="00666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640"/>
    <w:pPr>
      <w:numPr>
        <w:numId w:val="9"/>
      </w:numPr>
    </w:pPr>
  </w:style>
  <w:style w:type="paragraph" w:customStyle="1" w:styleId="ListAlpha2">
    <w:name w:val="List Alpha 2"/>
    <w:basedOn w:val="List2"/>
    <w:rsid w:val="00666640"/>
    <w:pPr>
      <w:numPr>
        <w:numId w:val="8"/>
      </w:numPr>
    </w:pPr>
  </w:style>
  <w:style w:type="paragraph" w:styleId="List2">
    <w:name w:val="List 2"/>
    <w:basedOn w:val="BodyText"/>
    <w:rsid w:val="00666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6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6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6640"/>
    <w:pPr>
      <w:numPr>
        <w:numId w:val="4"/>
      </w:numPr>
    </w:pPr>
  </w:style>
  <w:style w:type="paragraph" w:styleId="ListContinue2">
    <w:name w:val="List Continue 2"/>
    <w:basedOn w:val="List2"/>
    <w:rsid w:val="00666640"/>
    <w:pPr>
      <w:ind w:firstLine="0"/>
    </w:pPr>
  </w:style>
  <w:style w:type="paragraph" w:styleId="ListContinue3">
    <w:name w:val="List Continue 3"/>
    <w:basedOn w:val="List3"/>
    <w:rsid w:val="00666640"/>
    <w:pPr>
      <w:ind w:left="1021" w:firstLine="0"/>
    </w:pPr>
  </w:style>
  <w:style w:type="paragraph" w:styleId="ListContinue4">
    <w:name w:val="List Continue 4"/>
    <w:basedOn w:val="List4"/>
    <w:rsid w:val="00666640"/>
    <w:pPr>
      <w:ind w:firstLine="0"/>
    </w:pPr>
  </w:style>
  <w:style w:type="paragraph" w:styleId="ListContinue5">
    <w:name w:val="List Continue 5"/>
    <w:basedOn w:val="List5"/>
    <w:rsid w:val="00666640"/>
    <w:pPr>
      <w:ind w:firstLine="0"/>
    </w:pPr>
  </w:style>
  <w:style w:type="paragraph" w:styleId="ListNumber3">
    <w:name w:val="List Number 3"/>
    <w:basedOn w:val="List3"/>
    <w:rsid w:val="00666640"/>
    <w:pPr>
      <w:numPr>
        <w:numId w:val="5"/>
      </w:numPr>
    </w:pPr>
  </w:style>
  <w:style w:type="paragraph" w:styleId="ListNumber4">
    <w:name w:val="List Number 4"/>
    <w:basedOn w:val="List4"/>
    <w:rsid w:val="00666640"/>
    <w:pPr>
      <w:numPr>
        <w:numId w:val="6"/>
      </w:numPr>
    </w:pPr>
  </w:style>
  <w:style w:type="paragraph" w:styleId="ListNumber5">
    <w:name w:val="List Number 5"/>
    <w:basedOn w:val="List5"/>
    <w:rsid w:val="00666640"/>
    <w:pPr>
      <w:numPr>
        <w:numId w:val="7"/>
      </w:numPr>
    </w:pPr>
  </w:style>
  <w:style w:type="paragraph" w:styleId="BlockText">
    <w:name w:val="Block Text"/>
    <w:basedOn w:val="Normal"/>
    <w:rsid w:val="00666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640"/>
    <w:rPr>
      <w:sz w:val="16"/>
      <w:vertAlign w:val="superscript"/>
    </w:rPr>
  </w:style>
  <w:style w:type="character" w:customStyle="1" w:styleId="Symbols">
    <w:name w:val="Symbols"/>
    <w:basedOn w:val="DefaultParagraphFont"/>
    <w:rsid w:val="00666640"/>
    <w:rPr>
      <w:rFonts w:ascii="Symbol" w:hAnsi="Symbol"/>
    </w:rPr>
  </w:style>
  <w:style w:type="character" w:customStyle="1" w:styleId="MenuOptions">
    <w:name w:val="Menu Options"/>
    <w:basedOn w:val="DefaultParagraphFont"/>
    <w:rsid w:val="00666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640"/>
    <w:rPr>
      <w:b/>
    </w:rPr>
  </w:style>
  <w:style w:type="character" w:customStyle="1" w:styleId="Underlined">
    <w:name w:val="Underlined"/>
    <w:basedOn w:val="DefaultParagraphFont"/>
    <w:rsid w:val="00666640"/>
    <w:rPr>
      <w:u w:val="single"/>
    </w:rPr>
  </w:style>
  <w:style w:type="paragraph" w:customStyle="1" w:styleId="TableBodyTextRight">
    <w:name w:val="Table Body Text Right"/>
    <w:basedOn w:val="TableBodyText"/>
    <w:rsid w:val="00666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640"/>
    <w:rPr>
      <w:sz w:val="18"/>
    </w:rPr>
  </w:style>
  <w:style w:type="paragraph" w:customStyle="1" w:styleId="BodySmallRight">
    <w:name w:val="Body Small Right"/>
    <w:basedOn w:val="BodyTextRight"/>
    <w:rsid w:val="00666640"/>
    <w:rPr>
      <w:sz w:val="18"/>
      <w:szCs w:val="18"/>
    </w:rPr>
  </w:style>
  <w:style w:type="paragraph" w:customStyle="1" w:styleId="MarginEdition">
    <w:name w:val="Margin Edition"/>
    <w:basedOn w:val="MarginNote"/>
    <w:rsid w:val="00666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640"/>
    <w:rPr>
      <w:sz w:val="2"/>
      <w:szCs w:val="2"/>
    </w:rPr>
  </w:style>
  <w:style w:type="character" w:customStyle="1" w:styleId="Small">
    <w:name w:val="Small"/>
    <w:basedOn w:val="DefaultParagraphFont"/>
    <w:rsid w:val="00666640"/>
    <w:rPr>
      <w:sz w:val="16"/>
    </w:rPr>
  </w:style>
  <w:style w:type="paragraph" w:customStyle="1" w:styleId="WideTable">
    <w:name w:val="Wide Table"/>
    <w:basedOn w:val="Normal"/>
    <w:rsid w:val="00666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640"/>
  </w:style>
  <w:style w:type="paragraph" w:styleId="Quote">
    <w:name w:val="Quote"/>
    <w:basedOn w:val="Heading1"/>
    <w:link w:val="QuoteChar"/>
    <w:qFormat/>
    <w:rsid w:val="00666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640"/>
    <w:pPr>
      <w:pageBreakBefore/>
    </w:pPr>
  </w:style>
  <w:style w:type="paragraph" w:customStyle="1" w:styleId="Border">
    <w:name w:val="Border"/>
    <w:basedOn w:val="Normal"/>
    <w:qFormat/>
    <w:rsid w:val="00666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640"/>
    <w:rPr>
      <w:u w:val="single"/>
    </w:rPr>
  </w:style>
  <w:style w:type="character" w:customStyle="1" w:styleId="BoldandItalics">
    <w:name w:val="Bold and Italics"/>
    <w:qFormat/>
    <w:rsid w:val="00666640"/>
    <w:rPr>
      <w:b/>
      <w:i/>
      <w:u w:val="none"/>
    </w:rPr>
  </w:style>
  <w:style w:type="paragraph" w:styleId="BalloonText">
    <w:name w:val="Balloon Text"/>
    <w:basedOn w:val="Normal"/>
    <w:link w:val="BalloonTextChar"/>
    <w:rsid w:val="00666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640"/>
    <w:pPr>
      <w:spacing w:before="0" w:after="0"/>
    </w:pPr>
  </w:style>
  <w:style w:type="paragraph" w:customStyle="1" w:styleId="BodyTextBold">
    <w:name w:val="Body Text Bold"/>
    <w:basedOn w:val="BodyText"/>
    <w:qFormat/>
    <w:rsid w:val="00666640"/>
    <w:rPr>
      <w:b/>
    </w:rPr>
  </w:style>
  <w:style w:type="character" w:styleId="Hyperlink">
    <w:name w:val="Hyperlink"/>
    <w:basedOn w:val="DefaultParagraphFont"/>
    <w:uiPriority w:val="99"/>
    <w:unhideWhenUsed/>
    <w:rsid w:val="00BC7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8698</Characters>
  <Application>Microsoft Office Word</Application>
  <DocSecurity>0</DocSecurity>
  <Lines>289</Lines>
  <Paragraphs>183</Paragraphs>
  <ScaleCrop>false</ScaleCrop>
  <Company>Author-it Software Corporation Ltd.</Company>
  <LinksUpToDate>false</LinksUpToDate>
  <CharactersWithSpaces>9933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PMAOPS280 Interpret process plant schematics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