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414" w:rsidP="00B934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PMAOPS280 Interpret process plant schematics</w:t>
      </w:r>
      <w:r>
        <w:fldChar w:fldCharType="end"/>
      </w:r>
    </w:p>
    <w:p w:rsidR="00B93414" w:rsidP="00B93414">
      <w:pPr>
        <w:pStyle w:val="Version"/>
        <w:sectPr w:rsidSect="00AD4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656" w:rsidP="00AD4656">
      <w:pPr>
        <w:pStyle w:val="SuperHeading"/>
      </w:pPr>
      <w:r w:rsidRPr="00AD4656">
        <w:t>Assessment Requirements for PMAOPS280 Interpret process plant schematics</w:t>
      </w:r>
    </w:p>
    <w:p w:rsidR="00000000" w:rsidRPr="00AD4656" w:rsidP="00AD4656">
      <w:pPr>
        <w:pStyle w:val="Heading1"/>
      </w:pPr>
      <w:bookmarkStart w:id="1" w:name="O_907609"/>
      <w:bookmarkEnd w:id="1"/>
      <w:r w:rsidRPr="00AD4656">
        <w:t>Modification History</w:t>
      </w:r>
    </w:p>
    <w:p w:rsidR="00000000" w:rsidRPr="00AD4656" w:rsidP="00B93414">
      <w:pPr>
        <w:pStyle w:val="BodyText"/>
      </w:pPr>
      <w:r w:rsidRPr="00AD4656">
        <w:t>Release 1. Supersedes and is equivalent to PMAOPS280B Interpret process plant schematics</w:t>
      </w:r>
    </w:p>
    <w:p w:rsidR="00000000" w:rsidRPr="00AD4656" w:rsidP="00AD4656">
      <w:pPr>
        <w:pStyle w:val="Heading1"/>
      </w:pPr>
      <w:bookmarkStart w:id="2" w:name="O_907612"/>
      <w:bookmarkEnd w:id="2"/>
      <w:r w:rsidRPr="00AD4656">
        <w:t>Performance Evidence</w:t>
      </w:r>
    </w:p>
    <w:p w:rsidR="00000000" w:rsidRPr="00AD4656" w:rsidP="00B93414">
      <w:pPr>
        <w:pStyle w:val="BodyText"/>
      </w:pPr>
      <w:r w:rsidRPr="00AD4656">
        <w:t>Evidence required to demonstrate competence in this unit must be relevant to and satisfy the requirements of the elements and performance criteria, and include the ability to:</w:t>
      </w:r>
    </w:p>
    <w:p w:rsidR="00000000" w:rsidRPr="00AD4656" w:rsidP="00AD4656">
      <w:pPr>
        <w:pStyle w:val="ListBullet"/>
      </w:pPr>
      <w:r w:rsidRPr="00AD4656">
        <w:t xml:space="preserve">interpret symbols and other drawing elements and explain their relationship to </w:t>
      </w:r>
      <w:r w:rsidRPr="00AD4656">
        <w:t>the plant and process</w:t>
      </w:r>
    </w:p>
    <w:p w:rsidR="00000000" w:rsidRPr="00AD4656" w:rsidP="00AD4656">
      <w:pPr>
        <w:pStyle w:val="ListBullet"/>
      </w:pPr>
      <w:r w:rsidRPr="00AD4656">
        <w:t>identify critical processes and plant items from a schematic</w:t>
      </w:r>
    </w:p>
    <w:p w:rsidR="00000000" w:rsidRPr="00AD4656" w:rsidP="00AD4656">
      <w:pPr>
        <w:pStyle w:val="ListBullet"/>
      </w:pPr>
      <w:r w:rsidRPr="00AD4656">
        <w:t>draw or mark up a schematic and use it to describe main process features and plant items.</w:t>
      </w:r>
    </w:p>
    <w:p w:rsidR="00000000" w:rsidRPr="00AD4656" w:rsidP="00AD4656">
      <w:pPr>
        <w:pStyle w:val="AllowPageBreak"/>
      </w:pPr>
    </w:p>
    <w:p w:rsidR="00000000" w:rsidRPr="00AD4656" w:rsidP="00AD4656">
      <w:pPr>
        <w:pStyle w:val="Heading1"/>
      </w:pPr>
      <w:bookmarkStart w:id="3" w:name="O_907611"/>
      <w:bookmarkEnd w:id="3"/>
      <w:r w:rsidRPr="00AD4656">
        <w:t>Knowledge Evidence</w:t>
      </w:r>
    </w:p>
    <w:p w:rsidR="00000000" w:rsidRPr="00AD4656" w:rsidP="00B93414">
      <w:pPr>
        <w:pStyle w:val="BodyText"/>
      </w:pPr>
      <w:r w:rsidRPr="00AD4656">
        <w:t>Evidence must be provided that demonstrates kno</w:t>
      </w:r>
      <w:r w:rsidRPr="00AD4656">
        <w:t>wledge of:</w:t>
      </w:r>
    </w:p>
    <w:p w:rsidR="00000000" w:rsidRPr="00AD4656" w:rsidP="00AD4656">
      <w:pPr>
        <w:pStyle w:val="ListBullet"/>
      </w:pPr>
      <w:r w:rsidRPr="00AD4656">
        <w:t xml:space="preserve">standard/common symbols used on schematics </w:t>
      </w:r>
    </w:p>
    <w:p w:rsidR="00000000" w:rsidRPr="00AD4656" w:rsidP="00AD4656">
      <w:pPr>
        <w:pStyle w:val="ListBullet"/>
      </w:pPr>
      <w:r w:rsidRPr="00AD4656">
        <w:t>schematic conventions (e.g. with particular reference to crossing and branching lines)</w:t>
      </w:r>
    </w:p>
    <w:p w:rsidR="00000000" w:rsidRPr="00AD4656" w:rsidP="00AD4656">
      <w:pPr>
        <w:pStyle w:val="ListBullet"/>
      </w:pPr>
      <w:r w:rsidRPr="00AD4656">
        <w:t>symbols and conventions used by the organisation, if different from common usage</w:t>
      </w:r>
    </w:p>
    <w:p w:rsidR="00000000" w:rsidRPr="00AD4656" w:rsidP="00AD4656">
      <w:pPr>
        <w:pStyle w:val="ListBullet"/>
      </w:pPr>
      <w:r w:rsidRPr="00AD4656">
        <w:t>indications of equipment/pipe sp</w:t>
      </w:r>
      <w:r w:rsidRPr="00AD4656">
        <w:t>ecifications</w:t>
      </w:r>
    </w:p>
    <w:p w:rsidR="00000000" w:rsidRPr="00AD4656" w:rsidP="00AD4656">
      <w:pPr>
        <w:pStyle w:val="ListBullet"/>
      </w:pPr>
      <w:r w:rsidRPr="00AD4656">
        <w:t>indications of process conditions/limits.</w:t>
      </w:r>
    </w:p>
    <w:p w:rsidR="00000000" w:rsidRPr="00AD4656" w:rsidP="00AD4656">
      <w:pPr>
        <w:pStyle w:val="AllowPageBreak"/>
      </w:pPr>
    </w:p>
    <w:p w:rsidR="00000000" w:rsidRPr="00AD4656" w:rsidP="00AD4656">
      <w:pPr>
        <w:pStyle w:val="Heading1"/>
      </w:pPr>
      <w:bookmarkStart w:id="4" w:name="O_907610"/>
      <w:bookmarkEnd w:id="4"/>
      <w:r w:rsidRPr="00AD4656">
        <w:t>Assessment Conditions</w:t>
      </w:r>
    </w:p>
    <w:p w:rsidR="00000000" w:rsidRPr="00AD4656" w:rsidP="00AD4656">
      <w:pPr>
        <w:pStyle w:val="ListBullet"/>
      </w:pPr>
      <w:r w:rsidRPr="00AD4656">
        <w:t xml:space="preserve">The unit should be assessed holistically and the judgement of competence based on a holistic assessment of the evidence. </w:t>
      </w:r>
    </w:p>
    <w:p w:rsidR="00000000" w:rsidRPr="00AD4656" w:rsidP="00AD4656">
      <w:pPr>
        <w:pStyle w:val="ListBullet"/>
      </w:pPr>
      <w:r w:rsidRPr="00AD4656">
        <w:t xml:space="preserve">The collection of performance evidence </w:t>
      </w:r>
      <w:r w:rsidRPr="00AD4656">
        <w:t>is best done from a report and/or folio of evidence drawn from:</w:t>
      </w:r>
    </w:p>
    <w:p w:rsidR="00000000" w:rsidRPr="00AD4656" w:rsidP="00AD4656">
      <w:pPr>
        <w:pStyle w:val="ListBullet2"/>
      </w:pPr>
      <w:r w:rsidRPr="00AD4656">
        <w:t>a single project which provides sufficient evidence of the requirements of all the elements and performance criteria</w:t>
      </w:r>
    </w:p>
    <w:p w:rsidR="00000000" w:rsidRPr="00AD4656" w:rsidP="00AD4656">
      <w:pPr>
        <w:pStyle w:val="ListBullet2"/>
      </w:pPr>
      <w:r w:rsidRPr="00AD4656">
        <w:t>multip</w:t>
      </w:r>
      <w:r w:rsidRPr="00AD4656">
        <w:t>le smaller projects which together provide sufficient evidence of the requirements of all the elements and performance criteria.</w:t>
      </w:r>
    </w:p>
    <w:p w:rsidR="00000000" w:rsidRPr="00AD4656" w:rsidP="00AD4656">
      <w:pPr>
        <w:pStyle w:val="ListBullet"/>
      </w:pPr>
      <w:r w:rsidRPr="00AD4656">
        <w:t>A third-party report, or similar, may be needed to testify to the work done by the individual, particularly when the project h</w:t>
      </w:r>
      <w:r w:rsidRPr="00AD4656">
        <w:t>as been done as part of a project team.</w:t>
      </w:r>
    </w:p>
    <w:p w:rsidR="00000000" w:rsidRPr="00AD4656" w:rsidP="00AD4656">
      <w:pPr>
        <w:pStyle w:val="ListBullet"/>
      </w:pPr>
      <w:r w:rsidRPr="00AD4656">
        <w:t xml:space="preserve">Assessment should occur in operational workplace situations. Where this is not possible or practical, assessment must occur in a sufficiently rigorous simulated environment reflecting realistic operational workplace </w:t>
      </w:r>
      <w:r w:rsidRPr="00AD4656">
        <w:t xml:space="preserve">conditions. This must cover all aspects of workplace performance, including environment, task skills, task management skills, contingency management skills and job role environment skills. </w:t>
      </w:r>
    </w:p>
    <w:p w:rsidR="00000000" w:rsidRPr="00AD4656" w:rsidP="00AD4656">
      <w:pPr>
        <w:pStyle w:val="ListBullet"/>
      </w:pPr>
      <w:r w:rsidRPr="00AD4656">
        <w:t xml:space="preserve">Knowledge evidence may be collected concurrently with performance </w:t>
      </w:r>
      <w:r w:rsidRPr="00AD4656">
        <w:t>evidence (provided a record is kept) or through an independent process, such as workbooks, written assessments or interviews (provided a record is kept).</w:t>
      </w:r>
    </w:p>
    <w:p w:rsidR="00000000" w:rsidRPr="00AD4656" w:rsidP="00AD4656">
      <w:pPr>
        <w:pStyle w:val="ListBullet"/>
      </w:pPr>
      <w:r w:rsidRPr="00AD4656">
        <w:t>Assessment processes and techniques must be appropriate to the language, literacy and numeracy require</w:t>
      </w:r>
      <w:r w:rsidRPr="00AD4656">
        <w:t>ments of the work being performed and the needs of the candidate.</w:t>
      </w:r>
    </w:p>
    <w:p w:rsidR="00000000" w:rsidRPr="00AD4656" w:rsidP="00AD4656">
      <w:pPr>
        <w:pStyle w:val="ListBullet"/>
      </w:pPr>
      <w:r w:rsidRPr="00AD4656">
        <w:t>Conditions for assessment must include access to all tools, equipment, materials and documentation required, including relevant workplace procedures, product and manufacturing specifications</w:t>
      </w:r>
      <w:r w:rsidRPr="00AD4656">
        <w:t xml:space="preserve"> associated with this unit.</w:t>
      </w:r>
    </w:p>
    <w:p w:rsidR="00000000" w:rsidRPr="00AD4656" w:rsidP="00AD4656">
      <w:pPr>
        <w:pStyle w:val="ListBullet"/>
      </w:pPr>
      <w:r w:rsidRPr="00AD4656">
        <w:t xml:space="preserve">The regulatory framework will be reflected in workplace policies and procedures and is not required to be independently assessed. </w:t>
      </w:r>
    </w:p>
    <w:p w:rsidR="00000000" w:rsidRPr="00AD4656" w:rsidP="00AD4656">
      <w:pPr>
        <w:pStyle w:val="ListBullet"/>
      </w:pPr>
      <w:r w:rsidRPr="00AD4656">
        <w:t>Foundation skills are integral to competent performance of the unit and should not be assessed.</w:t>
      </w:r>
    </w:p>
    <w:p w:rsidR="00000000" w:rsidRPr="00AD4656" w:rsidP="00AD4656">
      <w:pPr>
        <w:pStyle w:val="ListBullet"/>
      </w:pPr>
      <w:r w:rsidRPr="00AD4656">
        <w:t>A</w:t>
      </w:r>
      <w:r w:rsidRPr="00AD4656">
        <w:t>ssessors must satisfy the assessor competency requirements that are in place at the time of the assessment as set by the VET regulator.</w:t>
      </w:r>
    </w:p>
    <w:p w:rsidR="00000000" w:rsidRPr="00AD4656" w:rsidP="00AD4656">
      <w:pPr>
        <w:pStyle w:val="ListBullet"/>
      </w:pPr>
      <w:r w:rsidRPr="00AD4656">
        <w:t>In addition, the assessor or anyone acting in subject matter expert role in assessment must demonstrate both technical c</w:t>
      </w:r>
      <w:r w:rsidRPr="00AD4656">
        <w:t xml:space="preserve">ompetency and currency. If the assessor cannot demonstrate technical competency and currency they must assess with a subject matter expert who does meet these requirements. </w:t>
      </w:r>
    </w:p>
    <w:p w:rsidR="00000000" w:rsidRPr="00AD4656" w:rsidP="00AD4656">
      <w:pPr>
        <w:pStyle w:val="ListBullet"/>
      </w:pPr>
      <w:r w:rsidRPr="00AD4656">
        <w:t>Technical competence can be demonstrated through one or more of:</w:t>
      </w:r>
    </w:p>
    <w:p w:rsidR="00000000" w:rsidRPr="00AD4656" w:rsidP="00AD4656">
      <w:pPr>
        <w:pStyle w:val="ListBullet2"/>
      </w:pPr>
      <w:r w:rsidRPr="00AD4656">
        <w:t xml:space="preserve">relevant VET or </w:t>
      </w:r>
      <w:r w:rsidRPr="00AD4656">
        <w:t xml:space="preserve">other qualification/Statement of Attainment </w:t>
      </w:r>
    </w:p>
    <w:p w:rsidR="00000000" w:rsidRPr="00AD4656" w:rsidP="00AD4656">
      <w:pPr>
        <w:pStyle w:val="ListBullet2"/>
      </w:pPr>
      <w:r w:rsidRPr="00AD4656">
        <w:t xml:space="preserve">appropriate workplace experience undertaking the type of work being assessed under routine and non-routine conditions </w:t>
      </w:r>
    </w:p>
    <w:p w:rsidR="00000000" w:rsidRPr="00AD4656" w:rsidP="00AD4656">
      <w:pPr>
        <w:pStyle w:val="ListBullet2"/>
      </w:pPr>
      <w:r w:rsidRPr="00AD4656">
        <w:t>appropriate workplace experience supervising/evaluating the type of work being assessed unde</w:t>
      </w:r>
      <w:r w:rsidRPr="00AD4656">
        <w:t>r routine and non-routine conditions</w:t>
      </w:r>
    </w:p>
    <w:p w:rsidR="00000000" w:rsidRPr="00AD4656" w:rsidP="00AD4656">
      <w:pPr>
        <w:pStyle w:val="ListBullet"/>
      </w:pPr>
      <w:r w:rsidRPr="00AD4656">
        <w:t>Currency can be demonstrated through one or more of:</w:t>
      </w:r>
    </w:p>
    <w:p w:rsidR="00000000" w:rsidRPr="00AD4656" w:rsidP="00AD4656">
      <w:pPr>
        <w:pStyle w:val="ListBullet2"/>
      </w:pPr>
      <w:r w:rsidRPr="00AD4656">
        <w:t xml:space="preserve">being currently employed undertaking the type of work being assessed </w:t>
      </w:r>
    </w:p>
    <w:p w:rsidR="00000000" w:rsidRPr="00AD4656" w:rsidP="00AD4656">
      <w:pPr>
        <w:pStyle w:val="ListBullet2"/>
      </w:pPr>
      <w:r w:rsidRPr="00AD4656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AD4656" w:rsidP="00AD4656">
      <w:pPr>
        <w:pStyle w:val="ListBullet2"/>
      </w:pPr>
      <w:r w:rsidRPr="00AD4656">
        <w:t>having consulted/had contact with an organisation undertaking the type of work bei</w:t>
      </w:r>
      <w:r w:rsidRPr="00AD4656">
        <w:t xml:space="preserve">ng assessed within the last twelve months, the consultation/contact being related to assessment </w:t>
      </w:r>
    </w:p>
    <w:p w:rsidR="00000000" w:rsidRPr="00AD4656" w:rsidP="00AD4656">
      <w:pPr>
        <w:pStyle w:val="ListBullet2"/>
      </w:pPr>
      <w:r w:rsidRPr="00AD4656">
        <w:t xml:space="preserve">conducting on-the-job training/assessments of the type of work being assessed </w:t>
      </w:r>
    </w:p>
    <w:p w:rsidR="00000000" w:rsidRPr="00AD4656" w:rsidP="00AD4656">
      <w:pPr>
        <w:pStyle w:val="ListBullet2"/>
      </w:pPr>
      <w:r w:rsidRPr="00AD4656">
        <w:t>being an active member of a relevant professional body and participating in acti</w:t>
      </w:r>
      <w:r w:rsidRPr="00AD4656">
        <w:t>vities relevant to the assessment of this type of work.</w:t>
      </w:r>
    </w:p>
    <w:p w:rsidR="00000000" w:rsidRPr="00AD4656" w:rsidP="00AD4656">
      <w:pPr>
        <w:pStyle w:val="AllowPageBreak"/>
      </w:pPr>
    </w:p>
    <w:p w:rsidR="00000000" w:rsidRPr="00AD4656" w:rsidP="00AD4656">
      <w:pPr>
        <w:pStyle w:val="Heading1"/>
      </w:pPr>
      <w:bookmarkStart w:id="5" w:name="O_907608"/>
      <w:bookmarkEnd w:id="5"/>
      <w:r w:rsidRPr="00AD4656">
        <w:t>Links</w:t>
      </w:r>
    </w:p>
    <w:p w:rsidR="00000000" w:rsidRPr="00AD4656" w:rsidP="00B93414">
      <w:pPr>
        <w:pStyle w:val="BodyText"/>
      </w:pPr>
      <w:r w:rsidRPr="00AD46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D05C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D4656" w:rsidP="00AD4656"/>
    <w:sectPr w:rsidSect="00AD46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56" w:rsidRPr="00B93414" w:rsidP="00B934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14" w:rsidP="00AD4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3414" w:rsidP="00AD4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3414" w:rsidP="00AD4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656" w:rsidRPr="00B93414" w:rsidP="00B934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14" w:rsidRPr="002D2AF8" w:rsidP="00AD4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PMAOPS280 Interpret process plant schematics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93414" w:rsidP="00AD4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B234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7AA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E2CF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656"/>
  </w:style>
  <w:style w:type="character" w:customStyle="1" w:styleId="Heading1Char">
    <w:name w:val="Heading 1 Char"/>
    <w:basedOn w:val="DefaultParagraphFont"/>
    <w:link w:val="Heading1"/>
    <w:rsid w:val="00AD4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6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6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46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4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4656"/>
    <w:rPr>
      <w:b/>
      <w:spacing w:val="0"/>
    </w:rPr>
  </w:style>
  <w:style w:type="paragraph" w:customStyle="1" w:styleId="SuperTitle">
    <w:name w:val="SuperTitle"/>
    <w:basedOn w:val="Title"/>
    <w:rsid w:val="00AD4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4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6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656"/>
    <w:rPr>
      <w:i/>
    </w:rPr>
  </w:style>
  <w:style w:type="paragraph" w:styleId="Caption">
    <w:name w:val="caption"/>
    <w:basedOn w:val="BodyText"/>
    <w:next w:val="Normal"/>
    <w:qFormat/>
    <w:rsid w:val="00AD4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656"/>
  </w:style>
  <w:style w:type="paragraph" w:styleId="TableofFigures">
    <w:name w:val="table of figures"/>
    <w:basedOn w:val="Normal"/>
    <w:next w:val="Normal"/>
    <w:semiHidden/>
    <w:rsid w:val="00AD4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6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4656"/>
    <w:rPr>
      <w:rFonts w:ascii="Wingdings" w:hAnsi="Wingdings"/>
    </w:rPr>
  </w:style>
  <w:style w:type="paragraph" w:customStyle="1" w:styleId="TableHeading">
    <w:name w:val="Table Heading"/>
    <w:basedOn w:val="HeadingBase"/>
    <w:rsid w:val="00AD4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656"/>
    <w:rPr>
      <w:color w:val="0033CC"/>
      <w:u w:val="none"/>
    </w:rPr>
  </w:style>
  <w:style w:type="paragraph" w:customStyle="1" w:styleId="BodyTextRight">
    <w:name w:val="Body Text Right"/>
    <w:basedOn w:val="BodyText"/>
    <w:rsid w:val="00AD4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6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656"/>
    <w:rPr>
      <w:sz w:val="32"/>
    </w:rPr>
  </w:style>
  <w:style w:type="paragraph" w:customStyle="1" w:styleId="HeadingProcedure">
    <w:name w:val="Heading Procedure"/>
    <w:basedOn w:val="HeadingBase"/>
    <w:next w:val="Normal"/>
    <w:rsid w:val="00AD4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656"/>
    <w:pPr>
      <w:spacing w:before="60" w:after="60"/>
    </w:pPr>
  </w:style>
  <w:style w:type="paragraph" w:styleId="ListContinue">
    <w:name w:val="List Continue"/>
    <w:basedOn w:val="List"/>
    <w:rsid w:val="00AD4656"/>
    <w:pPr>
      <w:ind w:firstLine="0"/>
    </w:pPr>
  </w:style>
  <w:style w:type="paragraph" w:customStyle="1" w:styleId="ListNote">
    <w:name w:val="List Note"/>
    <w:basedOn w:val="List"/>
    <w:rsid w:val="00AD4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656"/>
    <w:rPr>
      <w:rFonts w:ascii="Courier New" w:hAnsi="Courier New"/>
    </w:rPr>
  </w:style>
  <w:style w:type="paragraph" w:customStyle="1" w:styleId="NoteBullet">
    <w:name w:val="Note Bullet"/>
    <w:basedOn w:val="Note"/>
    <w:rsid w:val="00AD4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6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656"/>
    <w:rPr>
      <w:b/>
      <w:smallCaps/>
    </w:rPr>
  </w:style>
  <w:style w:type="paragraph" w:customStyle="1" w:styleId="TableListNumber">
    <w:name w:val="Table List Number"/>
    <w:basedOn w:val="ListNumber"/>
    <w:rsid w:val="00AD4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656"/>
    <w:pPr>
      <w:numPr>
        <w:numId w:val="9"/>
      </w:numPr>
    </w:pPr>
  </w:style>
  <w:style w:type="paragraph" w:customStyle="1" w:styleId="ListAlpha2">
    <w:name w:val="List Alpha 2"/>
    <w:basedOn w:val="List2"/>
    <w:rsid w:val="00AD4656"/>
    <w:pPr>
      <w:numPr>
        <w:numId w:val="8"/>
      </w:numPr>
    </w:pPr>
  </w:style>
  <w:style w:type="paragraph" w:styleId="List2">
    <w:name w:val="List 2"/>
    <w:basedOn w:val="BodyText"/>
    <w:rsid w:val="00AD4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6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6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4656"/>
    <w:pPr>
      <w:numPr>
        <w:numId w:val="4"/>
      </w:numPr>
    </w:pPr>
  </w:style>
  <w:style w:type="paragraph" w:styleId="ListContinue2">
    <w:name w:val="List Continue 2"/>
    <w:basedOn w:val="List2"/>
    <w:rsid w:val="00AD4656"/>
    <w:pPr>
      <w:ind w:firstLine="0"/>
    </w:pPr>
  </w:style>
  <w:style w:type="paragraph" w:styleId="ListContinue3">
    <w:name w:val="List Continue 3"/>
    <w:basedOn w:val="List3"/>
    <w:rsid w:val="00AD4656"/>
    <w:pPr>
      <w:ind w:left="1021" w:firstLine="0"/>
    </w:pPr>
  </w:style>
  <w:style w:type="paragraph" w:styleId="ListContinue4">
    <w:name w:val="List Continue 4"/>
    <w:basedOn w:val="List4"/>
    <w:rsid w:val="00AD4656"/>
    <w:pPr>
      <w:ind w:firstLine="0"/>
    </w:pPr>
  </w:style>
  <w:style w:type="paragraph" w:styleId="ListContinue5">
    <w:name w:val="List Continue 5"/>
    <w:basedOn w:val="List5"/>
    <w:rsid w:val="00AD4656"/>
    <w:pPr>
      <w:ind w:firstLine="0"/>
    </w:pPr>
  </w:style>
  <w:style w:type="paragraph" w:styleId="ListNumber3">
    <w:name w:val="List Number 3"/>
    <w:basedOn w:val="List3"/>
    <w:rsid w:val="00AD4656"/>
    <w:pPr>
      <w:numPr>
        <w:numId w:val="5"/>
      </w:numPr>
    </w:pPr>
  </w:style>
  <w:style w:type="paragraph" w:styleId="ListNumber4">
    <w:name w:val="List Number 4"/>
    <w:basedOn w:val="List4"/>
    <w:rsid w:val="00AD4656"/>
    <w:pPr>
      <w:numPr>
        <w:numId w:val="6"/>
      </w:numPr>
    </w:pPr>
  </w:style>
  <w:style w:type="paragraph" w:styleId="ListNumber5">
    <w:name w:val="List Number 5"/>
    <w:basedOn w:val="List5"/>
    <w:rsid w:val="00AD4656"/>
    <w:pPr>
      <w:numPr>
        <w:numId w:val="7"/>
      </w:numPr>
    </w:pPr>
  </w:style>
  <w:style w:type="paragraph" w:styleId="BlockText">
    <w:name w:val="Block Text"/>
    <w:basedOn w:val="Normal"/>
    <w:rsid w:val="00AD4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656"/>
    <w:rPr>
      <w:sz w:val="16"/>
      <w:vertAlign w:val="superscript"/>
    </w:rPr>
  </w:style>
  <w:style w:type="character" w:customStyle="1" w:styleId="Symbols">
    <w:name w:val="Symbols"/>
    <w:basedOn w:val="DefaultParagraphFont"/>
    <w:rsid w:val="00AD4656"/>
    <w:rPr>
      <w:rFonts w:ascii="Symbol" w:hAnsi="Symbol"/>
    </w:rPr>
  </w:style>
  <w:style w:type="character" w:customStyle="1" w:styleId="MenuOptions">
    <w:name w:val="Menu Options"/>
    <w:basedOn w:val="DefaultParagraphFont"/>
    <w:rsid w:val="00AD4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656"/>
    <w:rPr>
      <w:b/>
    </w:rPr>
  </w:style>
  <w:style w:type="character" w:customStyle="1" w:styleId="Underlined">
    <w:name w:val="Underlined"/>
    <w:basedOn w:val="DefaultParagraphFont"/>
    <w:rsid w:val="00AD4656"/>
    <w:rPr>
      <w:u w:val="single"/>
    </w:rPr>
  </w:style>
  <w:style w:type="paragraph" w:customStyle="1" w:styleId="TableBodyTextRight">
    <w:name w:val="Table Body Text Right"/>
    <w:basedOn w:val="TableBodyText"/>
    <w:rsid w:val="00AD4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656"/>
    <w:rPr>
      <w:sz w:val="18"/>
    </w:rPr>
  </w:style>
  <w:style w:type="paragraph" w:customStyle="1" w:styleId="BodySmallRight">
    <w:name w:val="Body Small Right"/>
    <w:basedOn w:val="BodyTextRight"/>
    <w:rsid w:val="00AD4656"/>
    <w:rPr>
      <w:sz w:val="18"/>
      <w:szCs w:val="18"/>
    </w:rPr>
  </w:style>
  <w:style w:type="paragraph" w:customStyle="1" w:styleId="MarginEdition">
    <w:name w:val="Margin Edition"/>
    <w:basedOn w:val="MarginNote"/>
    <w:rsid w:val="00AD4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656"/>
    <w:rPr>
      <w:sz w:val="2"/>
      <w:szCs w:val="2"/>
    </w:rPr>
  </w:style>
  <w:style w:type="character" w:customStyle="1" w:styleId="Small">
    <w:name w:val="Small"/>
    <w:basedOn w:val="DefaultParagraphFont"/>
    <w:rsid w:val="00AD4656"/>
    <w:rPr>
      <w:sz w:val="16"/>
    </w:rPr>
  </w:style>
  <w:style w:type="paragraph" w:customStyle="1" w:styleId="WideTable">
    <w:name w:val="Wide Table"/>
    <w:basedOn w:val="Normal"/>
    <w:rsid w:val="00AD4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656"/>
  </w:style>
  <w:style w:type="paragraph" w:styleId="Quote">
    <w:name w:val="Quote"/>
    <w:basedOn w:val="Heading1"/>
    <w:link w:val="QuoteChar"/>
    <w:qFormat/>
    <w:rsid w:val="00AD4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656"/>
    <w:pPr>
      <w:pageBreakBefore/>
    </w:pPr>
  </w:style>
  <w:style w:type="paragraph" w:customStyle="1" w:styleId="Border">
    <w:name w:val="Border"/>
    <w:basedOn w:val="Normal"/>
    <w:qFormat/>
    <w:rsid w:val="00AD4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656"/>
    <w:rPr>
      <w:u w:val="single"/>
    </w:rPr>
  </w:style>
  <w:style w:type="character" w:customStyle="1" w:styleId="BoldandItalics">
    <w:name w:val="Bold and Italics"/>
    <w:qFormat/>
    <w:rsid w:val="00AD4656"/>
    <w:rPr>
      <w:b/>
      <w:i/>
      <w:u w:val="none"/>
    </w:rPr>
  </w:style>
  <w:style w:type="paragraph" w:styleId="BalloonText">
    <w:name w:val="Balloon Text"/>
    <w:basedOn w:val="Normal"/>
    <w:link w:val="BalloonTextChar"/>
    <w:rsid w:val="00AD4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6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6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656"/>
    <w:pPr>
      <w:spacing w:before="0" w:after="0"/>
    </w:pPr>
  </w:style>
  <w:style w:type="paragraph" w:customStyle="1" w:styleId="BodyTextBold">
    <w:name w:val="Body Text Bold"/>
    <w:basedOn w:val="BodyText"/>
    <w:qFormat/>
    <w:rsid w:val="00AD4656"/>
    <w:rPr>
      <w:b/>
    </w:rPr>
  </w:style>
  <w:style w:type="character" w:styleId="Hyperlink">
    <w:name w:val="Hyperlink"/>
    <w:basedOn w:val="DefaultParagraphFont"/>
    <w:uiPriority w:val="99"/>
    <w:unhideWhenUsed/>
    <w:rsid w:val="00B934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4156</Characters>
  <Application>Microsoft Office Word</Application>
  <DocSecurity>0</DocSecurity>
  <Lines>83</Lines>
  <Paragraphs>51</Paragraphs>
  <ScaleCrop>false</ScaleCrop>
  <Company>Author-it Software Corporation Ltd.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PMAOPS280 Interpret process plant schematics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2023-02-03T05:33:00Z</dcterms:created>
  <dcterms:modified xsi:type="dcterms:W3CDTF">2023-02-03T05:33:00Z</dcterms:modified>
</cp:coreProperties>
</file>