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292" w:rsidP="00D35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PMAOPS261 Operate bulk solids loading equipment</w:t>
      </w:r>
      <w:r>
        <w:fldChar w:fldCharType="end"/>
      </w:r>
    </w:p>
    <w:p w:rsidR="00D35292" w:rsidP="00D35292">
      <w:pPr>
        <w:pStyle w:val="Version"/>
        <w:sectPr w:rsidSect="00B1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656" w:rsidP="00B10656">
      <w:pPr>
        <w:pStyle w:val="SuperHeading"/>
      </w:pPr>
      <w:r w:rsidRPr="00B10656">
        <w:t>Assessment Requirements for PMAOPS261 Operate bulk solids loading equipment</w:t>
      </w:r>
    </w:p>
    <w:p w:rsidR="00000000" w:rsidRPr="00B10656" w:rsidP="00B10656">
      <w:pPr>
        <w:pStyle w:val="Heading1"/>
      </w:pPr>
      <w:bookmarkStart w:id="1" w:name="O_907514"/>
      <w:bookmarkEnd w:id="1"/>
      <w:r w:rsidRPr="00B10656">
        <w:t>Modification History</w:t>
      </w:r>
    </w:p>
    <w:p w:rsidR="00000000" w:rsidRPr="00B10656" w:rsidP="00D35292">
      <w:pPr>
        <w:pStyle w:val="BodyText"/>
      </w:pPr>
      <w:r w:rsidRPr="00B10656">
        <w:t>Release 1. Supersedes and is equivalent to PMAOPS261A Operate bulk solids loading equipment</w:t>
      </w:r>
    </w:p>
    <w:p w:rsidR="00000000" w:rsidRPr="00B10656" w:rsidP="00B10656">
      <w:pPr>
        <w:pStyle w:val="Heading1"/>
      </w:pPr>
      <w:bookmarkStart w:id="2" w:name="O_907517"/>
      <w:bookmarkEnd w:id="2"/>
      <w:r w:rsidRPr="00B10656">
        <w:t>Performance Evidence</w:t>
      </w:r>
    </w:p>
    <w:p w:rsidR="00000000" w:rsidRPr="00B10656" w:rsidP="00D35292">
      <w:pPr>
        <w:pStyle w:val="BodyText"/>
      </w:pPr>
      <w:r w:rsidRPr="00B10656">
        <w:t>Evidence required to demonstrate competence in this unit must be relevant to and satisfy the requirements of the elements and performance criteria, and include the ability to:</w:t>
      </w:r>
    </w:p>
    <w:p w:rsidR="00000000" w:rsidRPr="00B10656" w:rsidP="00B10656">
      <w:pPr>
        <w:pStyle w:val="ListBullet"/>
      </w:pPr>
      <w:r w:rsidRPr="00B10656">
        <w:t>operate bulk solids loading equipment</w:t>
      </w:r>
    </w:p>
    <w:p w:rsidR="00000000" w:rsidRPr="00B10656" w:rsidP="00B10656">
      <w:pPr>
        <w:pStyle w:val="ListBullet"/>
      </w:pPr>
      <w:r w:rsidRPr="00B10656">
        <w:t>recognise early warning signs of equipmen</w:t>
      </w:r>
      <w:r w:rsidRPr="00B10656">
        <w:t xml:space="preserve">t/processes needing attention or with potential problems </w:t>
      </w:r>
    </w:p>
    <w:p w:rsidR="00000000" w:rsidRPr="00B10656" w:rsidP="00B10656">
      <w:pPr>
        <w:pStyle w:val="ListBullet"/>
      </w:pPr>
      <w:r w:rsidRPr="00B10656">
        <w:t>determine the most likely cause of routine problems</w:t>
      </w:r>
    </w:p>
    <w:p w:rsidR="00000000" w:rsidRPr="00B10656" w:rsidP="00B10656">
      <w:pPr>
        <w:pStyle w:val="ListBullet"/>
      </w:pPr>
      <w:r w:rsidRPr="00B10656">
        <w:t>take appropriate action to ensure a timely return to full performance</w:t>
      </w:r>
    </w:p>
    <w:p w:rsidR="00000000" w:rsidRPr="00B10656" w:rsidP="00B10656">
      <w:pPr>
        <w:pStyle w:val="ListBullet"/>
      </w:pPr>
      <w:r w:rsidRPr="00B10656">
        <w:t>isolate and de-isolate equipment</w:t>
      </w:r>
    </w:p>
    <w:p w:rsidR="00000000" w:rsidRPr="00B10656" w:rsidP="00B10656">
      <w:pPr>
        <w:pStyle w:val="ListBullet"/>
      </w:pPr>
      <w:r w:rsidRPr="00B10656">
        <w:t>identify hazards and apply hazard control p</w:t>
      </w:r>
      <w:r w:rsidRPr="00B10656">
        <w:t>rocedures.</w:t>
      </w:r>
    </w:p>
    <w:p w:rsidR="00000000" w:rsidRPr="00B10656" w:rsidP="00B10656">
      <w:pPr>
        <w:pStyle w:val="AllowPageBreak"/>
      </w:pPr>
    </w:p>
    <w:p w:rsidR="00000000" w:rsidRPr="00B10656" w:rsidP="00B10656">
      <w:pPr>
        <w:pStyle w:val="Heading1"/>
      </w:pPr>
      <w:bookmarkStart w:id="3" w:name="O_907516"/>
      <w:bookmarkEnd w:id="3"/>
      <w:r w:rsidRPr="00B10656">
        <w:t>Knowledge Evidence</w:t>
      </w:r>
    </w:p>
    <w:p w:rsidR="00000000" w:rsidRPr="00B10656" w:rsidP="00B10656">
      <w:pPr>
        <w:pStyle w:val="ListBullet"/>
      </w:pPr>
      <w:r w:rsidRPr="00B10656">
        <w:t>Evidence must be provided that demonstrates knowledge of:</w:t>
      </w:r>
    </w:p>
    <w:p w:rsidR="00000000" w:rsidRPr="00B10656" w:rsidP="00B10656">
      <w:pPr>
        <w:pStyle w:val="ListBullet"/>
      </w:pPr>
      <w:r w:rsidRPr="00B10656">
        <w:t>types, application and principles of operation of load-out equipment</w:t>
      </w:r>
    </w:p>
    <w:p w:rsidR="00000000" w:rsidRPr="00B10656" w:rsidP="00B10656">
      <w:pPr>
        <w:pStyle w:val="ListBullet"/>
      </w:pPr>
      <w:r w:rsidRPr="00B10656">
        <w:t>process parameters and limits</w:t>
      </w:r>
    </w:p>
    <w:p w:rsidR="00000000" w:rsidRPr="00B10656" w:rsidP="00B10656">
      <w:pPr>
        <w:pStyle w:val="ListBullet"/>
      </w:pPr>
      <w:r w:rsidRPr="00B10656">
        <w:t>routine problems, faults and their symptoms and the</w:t>
      </w:r>
      <w:r w:rsidRPr="00B10656">
        <w:t xml:space="preserve"> corrective action to be taken</w:t>
      </w:r>
    </w:p>
    <w:p w:rsidR="00000000" w:rsidRPr="00B10656" w:rsidP="00B10656">
      <w:pPr>
        <w:pStyle w:val="ListBullet"/>
      </w:pPr>
      <w:r w:rsidRPr="00B10656">
        <w:t>relevant alarms and actions</w:t>
      </w:r>
    </w:p>
    <w:p w:rsidR="00000000" w:rsidRPr="00B10656" w:rsidP="00B10656">
      <w:pPr>
        <w:pStyle w:val="ListBullet"/>
      </w:pPr>
      <w:r w:rsidRPr="00B10656">
        <w:t>hierarchy of control</w:t>
      </w:r>
    </w:p>
    <w:p w:rsidR="00000000" w:rsidRPr="00B10656" w:rsidP="00B10656">
      <w:pPr>
        <w:pStyle w:val="ListBullet"/>
      </w:pPr>
      <w:r w:rsidRPr="00B10656">
        <w:t>hazards that may arise in the job/work environment, and:</w:t>
      </w:r>
    </w:p>
    <w:p w:rsidR="00000000" w:rsidRPr="00B10656" w:rsidP="00B10656">
      <w:pPr>
        <w:pStyle w:val="ListBullet"/>
      </w:pPr>
      <w:r w:rsidRPr="00B10656">
        <w:t xml:space="preserve">their possible causes </w:t>
      </w:r>
    </w:p>
    <w:p w:rsidR="00000000" w:rsidRPr="00B10656" w:rsidP="00B10656">
      <w:pPr>
        <w:pStyle w:val="ListBullet"/>
      </w:pPr>
      <w:r w:rsidRPr="00B10656">
        <w:t>potential consequences</w:t>
      </w:r>
    </w:p>
    <w:p w:rsidR="00000000" w:rsidRPr="00B10656" w:rsidP="00D35292">
      <w:pPr>
        <w:pStyle w:val="BodyText"/>
      </w:pPr>
      <w:r w:rsidRPr="00B10656">
        <w:t>appropriate risk controls.</w:t>
      </w:r>
    </w:p>
    <w:p w:rsidR="00000000" w:rsidRPr="00B10656" w:rsidP="00B10656">
      <w:pPr>
        <w:pStyle w:val="Heading1"/>
      </w:pPr>
      <w:bookmarkStart w:id="4" w:name="O_907515"/>
      <w:bookmarkEnd w:id="4"/>
      <w:r w:rsidRPr="00B10656">
        <w:t>Assessment Conditions</w:t>
      </w:r>
    </w:p>
    <w:p w:rsidR="00000000" w:rsidRPr="00B10656" w:rsidP="00B10656">
      <w:pPr>
        <w:pStyle w:val="ListBullet"/>
      </w:pPr>
      <w:r w:rsidRPr="00B10656">
        <w:t xml:space="preserve">The unit should be assessed holistically and the judgement of competence based on a holistic assessment of the </w:t>
      </w:r>
    </w:p>
    <w:p w:rsidR="00000000" w:rsidRPr="00B10656" w:rsidP="00B10656">
      <w:pPr>
        <w:pStyle w:val="ListBullet"/>
      </w:pPr>
      <w:r w:rsidRPr="00B10656">
        <w:t>The collection of performance evidence:</w:t>
      </w:r>
    </w:p>
    <w:p w:rsidR="00000000" w:rsidRPr="00B10656" w:rsidP="00B10656">
      <w:pPr>
        <w:pStyle w:val="ListBullet2"/>
      </w:pPr>
      <w:r w:rsidRPr="00B10656">
        <w:t>should occur over a range of situations which include typical disruptions to normal, smooth operation o</w:t>
      </w:r>
      <w:r w:rsidRPr="00B10656">
        <w:t>f an operating plant</w:t>
      </w:r>
    </w:p>
    <w:p w:rsidR="00000000" w:rsidRPr="00B10656" w:rsidP="00B10656">
      <w:pPr>
        <w:pStyle w:val="ListBullet2"/>
      </w:pPr>
      <w:r w:rsidRPr="00B10656">
        <w:t>will typically include a supervisor/third-party report or other evidence, focusing on consistent performance and problem recognition and solving. A supervisor/third-party report must be prepared by someone who has a direct, relevant, c</w:t>
      </w:r>
      <w:r w:rsidRPr="00B10656">
        <w:t xml:space="preserve">urrent relationship with the person being assessed and who is in a position to form a judgement on workplace performance relevant to the unit of competency </w:t>
      </w:r>
    </w:p>
    <w:p w:rsidR="00000000" w:rsidRPr="00B10656" w:rsidP="00B10656">
      <w:pPr>
        <w:pStyle w:val="ListBullet2"/>
      </w:pPr>
      <w:r w:rsidRPr="00B10656">
        <w:t>must include the use of an appropriate industrial item of equipment requiring demonstration of oper</w:t>
      </w:r>
      <w:r w:rsidRPr="00B10656">
        <w:t>ation, start-up and shutdown procedures and responding to problems</w:t>
      </w:r>
    </w:p>
    <w:p w:rsidR="00000000" w:rsidRPr="00B10656" w:rsidP="00B10656">
      <w:pPr>
        <w:pStyle w:val="ListBullet2"/>
      </w:pPr>
      <w:r w:rsidRPr="00B10656">
        <w:t>may use industry-based simulation for part only of the unit where safety, lack of opportunity or significant cost is an issue.</w:t>
      </w:r>
    </w:p>
    <w:p w:rsidR="00000000" w:rsidRPr="00B10656" w:rsidP="00B10656">
      <w:pPr>
        <w:pStyle w:val="ListBullet"/>
      </w:pPr>
      <w:r w:rsidRPr="00B10656">
        <w:t xml:space="preserve">Assessment should occur in operational workplace situations. </w:t>
      </w:r>
      <w:r w:rsidRPr="00B10656">
        <w:t xml:space="preserve">Where this is not possible, or where personal safety or environmental damage are limiting factors, assessment must occur in a sufficiently rigorous simulated environment reflecting realistic operational workplace conditions. This must cover all aspects of </w:t>
      </w:r>
      <w:r w:rsidRPr="00B10656">
        <w:t xml:space="preserve">workplace performance, including environment, task skills, task management skills, contingency management skills and job role environment skills. </w:t>
      </w:r>
    </w:p>
    <w:p w:rsidR="00000000" w:rsidRPr="00B10656" w:rsidP="00B10656">
      <w:pPr>
        <w:pStyle w:val="ListBullet"/>
      </w:pPr>
      <w:r w:rsidRPr="00B10656">
        <w:t xml:space="preserve">Assessment in a simulated environment should use evidence collected from one or more of: </w:t>
      </w:r>
    </w:p>
    <w:p w:rsidR="00000000" w:rsidRPr="00B10656" w:rsidP="00B10656">
      <w:pPr>
        <w:pStyle w:val="ListBullet2"/>
      </w:pPr>
      <w:r w:rsidRPr="00B10656">
        <w:t>walk-throughs</w:t>
      </w:r>
    </w:p>
    <w:p w:rsidR="00000000" w:rsidRPr="00B10656" w:rsidP="00B10656">
      <w:pPr>
        <w:pStyle w:val="ListBullet2"/>
      </w:pPr>
      <w:r w:rsidRPr="00B10656">
        <w:t>pilo</w:t>
      </w:r>
      <w:r w:rsidRPr="00B10656">
        <w:t>t plant operation</w:t>
      </w:r>
    </w:p>
    <w:p w:rsidR="00000000" w:rsidRPr="00B10656" w:rsidP="00B10656">
      <w:pPr>
        <w:pStyle w:val="ListBullet2"/>
      </w:pPr>
      <w:r w:rsidRPr="00B10656">
        <w:t xml:space="preserve">demonstration of skills </w:t>
      </w:r>
    </w:p>
    <w:p w:rsidR="00000000" w:rsidRPr="00B10656" w:rsidP="00B10656">
      <w:pPr>
        <w:pStyle w:val="ListBullet2"/>
      </w:pPr>
      <w:r w:rsidRPr="00B10656">
        <w:t xml:space="preserve">industry-based case studies/scenarios </w:t>
      </w:r>
    </w:p>
    <w:p w:rsidR="00000000" w:rsidRPr="00B10656" w:rsidP="00B10656">
      <w:pPr>
        <w:pStyle w:val="ListBullet2"/>
      </w:pPr>
      <w:r w:rsidRPr="00B10656">
        <w:t>‘what ifs’.</w:t>
      </w:r>
    </w:p>
    <w:p w:rsidR="00000000" w:rsidRPr="00B10656" w:rsidP="00B10656">
      <w:pPr>
        <w:pStyle w:val="ListBullet"/>
      </w:pPr>
      <w:r w:rsidRPr="00B10656">
        <w:t xml:space="preserve">Knowledge evidence may be collected concurrently with performance evidence (provided a record </w:t>
      </w:r>
      <w:r w:rsidRPr="00B10656">
        <w:t>is kept) or through an independent process, such as workbooks, written assessments or interviews (provided a record is kept).</w:t>
      </w:r>
    </w:p>
    <w:p w:rsidR="00000000" w:rsidRPr="00B10656" w:rsidP="00B10656">
      <w:pPr>
        <w:pStyle w:val="ListBullet"/>
      </w:pPr>
      <w:r w:rsidRPr="00B10656">
        <w:t>Assessment processes and techniques must be appropriate to the language, literacy and numeracy requirements of the work being perf</w:t>
      </w:r>
      <w:r w:rsidRPr="00B10656">
        <w:t>ormed and the needs of the candidate.</w:t>
      </w:r>
    </w:p>
    <w:p w:rsidR="00000000" w:rsidRPr="00B10656" w:rsidP="00B10656">
      <w:pPr>
        <w:pStyle w:val="ListBullet"/>
      </w:pPr>
      <w:r w:rsidRPr="00B1065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10656" w:rsidP="00B10656">
      <w:pPr>
        <w:pStyle w:val="ListBullet"/>
      </w:pPr>
      <w:r w:rsidRPr="00B10656">
        <w:t>The regulatory framework will be reflected in workplace policies and procedures and is not required to be independently assessed.</w:t>
      </w:r>
    </w:p>
    <w:p w:rsidR="00000000" w:rsidRPr="00B10656" w:rsidP="00B10656">
      <w:pPr>
        <w:pStyle w:val="ListBullet"/>
      </w:pPr>
      <w:r w:rsidRPr="00B10656">
        <w:t>Foundation skills are integral to competent performance of the unit and should not be assessed separately.</w:t>
      </w:r>
    </w:p>
    <w:p w:rsidR="00000000" w:rsidRPr="00B10656" w:rsidP="00B10656">
      <w:pPr>
        <w:pStyle w:val="ListBullet"/>
      </w:pPr>
      <w:r w:rsidRPr="00B10656">
        <w:t>Assessors must sati</w:t>
      </w:r>
      <w:r w:rsidRPr="00B10656">
        <w:t>sfy the assessor competency requirements that are in place at the time of the assessment as set by the VET regulator.</w:t>
      </w:r>
    </w:p>
    <w:p w:rsidR="00000000" w:rsidRPr="00B10656" w:rsidP="00B10656">
      <w:pPr>
        <w:pStyle w:val="ListBullet"/>
      </w:pPr>
      <w:r w:rsidRPr="00B10656">
        <w:t>In addition, the assessor or anyone acting in subject matter expert role in assessment must demonstrate both technical competency and curr</w:t>
      </w:r>
      <w:r w:rsidRPr="00B10656">
        <w:t xml:space="preserve">ency. If the assessor cannot demonstrate technical competency and currency they must assess with a subject matter expert who does meet these requirements. </w:t>
      </w:r>
    </w:p>
    <w:p w:rsidR="00000000" w:rsidRPr="00B10656" w:rsidP="00B10656">
      <w:pPr>
        <w:pStyle w:val="ListBullet"/>
      </w:pPr>
      <w:r w:rsidRPr="00B10656">
        <w:t>Technical competence can be demonstrated through one or more of:</w:t>
      </w:r>
    </w:p>
    <w:p w:rsidR="00000000" w:rsidRPr="00B10656" w:rsidP="00B10656">
      <w:pPr>
        <w:pStyle w:val="ListBullet2"/>
      </w:pPr>
      <w:r w:rsidRPr="00B10656">
        <w:t>relevant VET or other qualificatio</w:t>
      </w:r>
      <w:r w:rsidRPr="00B10656">
        <w:t xml:space="preserve">n/Statement of Attainment </w:t>
      </w:r>
    </w:p>
    <w:p w:rsidR="00000000" w:rsidRPr="00B10656" w:rsidP="00B10656">
      <w:pPr>
        <w:pStyle w:val="ListBullet2"/>
      </w:pPr>
      <w:r w:rsidRPr="00B10656">
        <w:t xml:space="preserve">appropriate workplace experience undertaking the type of work being assessed under routine and non-routine conditions </w:t>
      </w:r>
    </w:p>
    <w:p w:rsidR="00000000" w:rsidRPr="00B10656" w:rsidP="00B10656">
      <w:pPr>
        <w:pStyle w:val="ListBullet2"/>
      </w:pPr>
      <w:r w:rsidRPr="00B10656">
        <w:t>appropriate workplace experience supervising/evaluating the type of work being assessed under routine and non-</w:t>
      </w:r>
      <w:r w:rsidRPr="00B10656">
        <w:t>routine conditions</w:t>
      </w:r>
    </w:p>
    <w:p w:rsidR="00000000" w:rsidRPr="00B10656" w:rsidP="00B10656">
      <w:pPr>
        <w:pStyle w:val="ListBullet"/>
      </w:pPr>
      <w:r w:rsidRPr="00B10656">
        <w:t>Currency can be demonstrated through one or more of:</w:t>
      </w:r>
    </w:p>
    <w:p w:rsidR="00000000" w:rsidRPr="00B10656" w:rsidP="00B10656">
      <w:pPr>
        <w:pStyle w:val="ListBullet2"/>
      </w:pPr>
      <w:r w:rsidRPr="00B10656">
        <w:t xml:space="preserve">being currently employed undertaking the type of work being assessed </w:t>
      </w:r>
    </w:p>
    <w:p w:rsidR="00000000" w:rsidRPr="00B10656" w:rsidP="00B10656">
      <w:pPr>
        <w:pStyle w:val="ListBullet2"/>
      </w:pPr>
      <w:r w:rsidRPr="00B1065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10656" w:rsidP="00B10656">
      <w:pPr>
        <w:pStyle w:val="ListBullet2"/>
      </w:pPr>
      <w:r w:rsidRPr="00B10656">
        <w:t>having consulted/had contact with an organisation undertaking the type of work bei</w:t>
      </w:r>
      <w:r w:rsidRPr="00B10656">
        <w:t xml:space="preserve">ng assessed within the last twelve months, the consultation/contact being related to assessment </w:t>
      </w:r>
    </w:p>
    <w:p w:rsidR="00000000" w:rsidRPr="00B10656" w:rsidP="00B10656">
      <w:pPr>
        <w:pStyle w:val="ListBullet2"/>
      </w:pPr>
      <w:r w:rsidRPr="00B10656">
        <w:t xml:space="preserve">conducting on-the-job training/assessments of the type of work being assessed </w:t>
      </w:r>
    </w:p>
    <w:p w:rsidR="00000000" w:rsidRPr="00B10656" w:rsidP="00B10656">
      <w:pPr>
        <w:pStyle w:val="ListBullet2"/>
      </w:pPr>
      <w:r w:rsidRPr="00B10656">
        <w:t>being an active member of a relevant professional body and participating in acti</w:t>
      </w:r>
      <w:r w:rsidRPr="00B10656">
        <w:t>vities relevant to the assessment of this type of work.</w:t>
      </w:r>
    </w:p>
    <w:p w:rsidR="00000000" w:rsidRPr="00B10656" w:rsidP="00B10656">
      <w:pPr>
        <w:pStyle w:val="AllowPageBreak"/>
      </w:pPr>
    </w:p>
    <w:p w:rsidR="00000000" w:rsidRPr="00B10656" w:rsidP="00B10656">
      <w:pPr>
        <w:pStyle w:val="Heading1"/>
      </w:pPr>
      <w:bookmarkStart w:id="5" w:name="O_907513"/>
      <w:bookmarkEnd w:id="5"/>
      <w:r w:rsidRPr="00B10656">
        <w:t>Links</w:t>
      </w:r>
    </w:p>
    <w:p w:rsidR="00000000" w:rsidRPr="00B10656" w:rsidP="00D35292">
      <w:pPr>
        <w:pStyle w:val="BodyText"/>
      </w:pPr>
      <w:r w:rsidRPr="00B10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63B0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10656" w:rsidP="00B10656"/>
    <w:sectPr w:rsidSect="00B10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6" w:rsidRPr="00D35292" w:rsidP="00D35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92" w:rsidP="00B1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292" w:rsidP="00B1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5292" w:rsidP="00B1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656" w:rsidRPr="00D35292" w:rsidP="00D35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92" w:rsidRPr="002D2AF8" w:rsidP="00B1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PMAOPS261 Operate bulk solids loading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35292" w:rsidP="00B1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B23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4C3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A6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656"/>
  </w:style>
  <w:style w:type="character" w:customStyle="1" w:styleId="Heading1Char">
    <w:name w:val="Heading 1 Char"/>
    <w:basedOn w:val="DefaultParagraphFont"/>
    <w:link w:val="Heading1"/>
    <w:rsid w:val="00B1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6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0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656"/>
    <w:rPr>
      <w:b/>
      <w:spacing w:val="0"/>
    </w:rPr>
  </w:style>
  <w:style w:type="paragraph" w:customStyle="1" w:styleId="SuperTitle">
    <w:name w:val="SuperTitle"/>
    <w:basedOn w:val="Title"/>
    <w:rsid w:val="00B1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656"/>
    <w:rPr>
      <w:i/>
    </w:rPr>
  </w:style>
  <w:style w:type="paragraph" w:styleId="Caption">
    <w:name w:val="caption"/>
    <w:basedOn w:val="BodyText"/>
    <w:next w:val="Normal"/>
    <w:qFormat/>
    <w:rsid w:val="00B1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656"/>
  </w:style>
  <w:style w:type="paragraph" w:styleId="TableofFigures">
    <w:name w:val="table of figures"/>
    <w:basedOn w:val="Normal"/>
    <w:next w:val="Normal"/>
    <w:semiHidden/>
    <w:rsid w:val="00B1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656"/>
    <w:rPr>
      <w:rFonts w:ascii="Wingdings" w:hAnsi="Wingdings"/>
    </w:rPr>
  </w:style>
  <w:style w:type="paragraph" w:customStyle="1" w:styleId="TableHeading">
    <w:name w:val="Table Heading"/>
    <w:basedOn w:val="HeadingBase"/>
    <w:rsid w:val="00B1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656"/>
    <w:rPr>
      <w:color w:val="0033CC"/>
      <w:u w:val="none"/>
    </w:rPr>
  </w:style>
  <w:style w:type="paragraph" w:customStyle="1" w:styleId="BodyTextRight">
    <w:name w:val="Body Text Right"/>
    <w:basedOn w:val="BodyText"/>
    <w:rsid w:val="00B1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656"/>
    <w:rPr>
      <w:sz w:val="32"/>
    </w:rPr>
  </w:style>
  <w:style w:type="paragraph" w:customStyle="1" w:styleId="HeadingProcedure">
    <w:name w:val="Heading Procedure"/>
    <w:basedOn w:val="HeadingBase"/>
    <w:next w:val="Normal"/>
    <w:rsid w:val="00B1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656"/>
    <w:pPr>
      <w:spacing w:before="60" w:after="60"/>
    </w:pPr>
  </w:style>
  <w:style w:type="paragraph" w:styleId="ListContinue">
    <w:name w:val="List Continue"/>
    <w:basedOn w:val="List"/>
    <w:rsid w:val="00B10656"/>
    <w:pPr>
      <w:ind w:firstLine="0"/>
    </w:pPr>
  </w:style>
  <w:style w:type="paragraph" w:customStyle="1" w:styleId="ListNote">
    <w:name w:val="List Note"/>
    <w:basedOn w:val="List"/>
    <w:rsid w:val="00B1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656"/>
    <w:rPr>
      <w:rFonts w:ascii="Courier New" w:hAnsi="Courier New"/>
    </w:rPr>
  </w:style>
  <w:style w:type="paragraph" w:customStyle="1" w:styleId="NoteBullet">
    <w:name w:val="Note Bullet"/>
    <w:basedOn w:val="Note"/>
    <w:rsid w:val="00B1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656"/>
    <w:rPr>
      <w:b/>
      <w:smallCaps/>
    </w:rPr>
  </w:style>
  <w:style w:type="paragraph" w:customStyle="1" w:styleId="TableListNumber">
    <w:name w:val="Table List Number"/>
    <w:basedOn w:val="ListNumber"/>
    <w:rsid w:val="00B1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656"/>
    <w:pPr>
      <w:numPr>
        <w:numId w:val="9"/>
      </w:numPr>
    </w:pPr>
  </w:style>
  <w:style w:type="paragraph" w:customStyle="1" w:styleId="ListAlpha2">
    <w:name w:val="List Alpha 2"/>
    <w:basedOn w:val="List2"/>
    <w:rsid w:val="00B10656"/>
    <w:pPr>
      <w:numPr>
        <w:numId w:val="8"/>
      </w:numPr>
    </w:pPr>
  </w:style>
  <w:style w:type="paragraph" w:styleId="List2">
    <w:name w:val="List 2"/>
    <w:basedOn w:val="BodyText"/>
    <w:rsid w:val="00B1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656"/>
    <w:pPr>
      <w:numPr>
        <w:numId w:val="4"/>
      </w:numPr>
    </w:pPr>
  </w:style>
  <w:style w:type="paragraph" w:styleId="ListContinue2">
    <w:name w:val="List Continue 2"/>
    <w:basedOn w:val="List2"/>
    <w:rsid w:val="00B10656"/>
    <w:pPr>
      <w:ind w:firstLine="0"/>
    </w:pPr>
  </w:style>
  <w:style w:type="paragraph" w:styleId="ListContinue3">
    <w:name w:val="List Continue 3"/>
    <w:basedOn w:val="List3"/>
    <w:rsid w:val="00B10656"/>
    <w:pPr>
      <w:ind w:left="1021" w:firstLine="0"/>
    </w:pPr>
  </w:style>
  <w:style w:type="paragraph" w:styleId="ListContinue4">
    <w:name w:val="List Continue 4"/>
    <w:basedOn w:val="List4"/>
    <w:rsid w:val="00B10656"/>
    <w:pPr>
      <w:ind w:firstLine="0"/>
    </w:pPr>
  </w:style>
  <w:style w:type="paragraph" w:styleId="ListContinue5">
    <w:name w:val="List Continue 5"/>
    <w:basedOn w:val="List5"/>
    <w:rsid w:val="00B10656"/>
    <w:pPr>
      <w:ind w:firstLine="0"/>
    </w:pPr>
  </w:style>
  <w:style w:type="paragraph" w:styleId="ListNumber3">
    <w:name w:val="List Number 3"/>
    <w:basedOn w:val="List3"/>
    <w:rsid w:val="00B10656"/>
    <w:pPr>
      <w:numPr>
        <w:numId w:val="5"/>
      </w:numPr>
    </w:pPr>
  </w:style>
  <w:style w:type="paragraph" w:styleId="ListNumber4">
    <w:name w:val="List Number 4"/>
    <w:basedOn w:val="List4"/>
    <w:rsid w:val="00B10656"/>
    <w:pPr>
      <w:numPr>
        <w:numId w:val="6"/>
      </w:numPr>
    </w:pPr>
  </w:style>
  <w:style w:type="paragraph" w:styleId="ListNumber5">
    <w:name w:val="List Number 5"/>
    <w:basedOn w:val="List5"/>
    <w:rsid w:val="00B10656"/>
    <w:pPr>
      <w:numPr>
        <w:numId w:val="7"/>
      </w:numPr>
    </w:pPr>
  </w:style>
  <w:style w:type="paragraph" w:styleId="BlockText">
    <w:name w:val="Block Text"/>
    <w:basedOn w:val="Normal"/>
    <w:rsid w:val="00B1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656"/>
    <w:rPr>
      <w:sz w:val="16"/>
      <w:vertAlign w:val="superscript"/>
    </w:rPr>
  </w:style>
  <w:style w:type="character" w:customStyle="1" w:styleId="Symbols">
    <w:name w:val="Symbols"/>
    <w:basedOn w:val="DefaultParagraphFont"/>
    <w:rsid w:val="00B10656"/>
    <w:rPr>
      <w:rFonts w:ascii="Symbol" w:hAnsi="Symbol"/>
    </w:rPr>
  </w:style>
  <w:style w:type="character" w:customStyle="1" w:styleId="MenuOptions">
    <w:name w:val="Menu Options"/>
    <w:basedOn w:val="DefaultParagraphFont"/>
    <w:rsid w:val="00B1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656"/>
    <w:rPr>
      <w:b/>
    </w:rPr>
  </w:style>
  <w:style w:type="character" w:customStyle="1" w:styleId="Underlined">
    <w:name w:val="Underlined"/>
    <w:basedOn w:val="DefaultParagraphFont"/>
    <w:rsid w:val="00B10656"/>
    <w:rPr>
      <w:u w:val="single"/>
    </w:rPr>
  </w:style>
  <w:style w:type="paragraph" w:customStyle="1" w:styleId="TableBodyTextRight">
    <w:name w:val="Table Body Text Right"/>
    <w:basedOn w:val="TableBodyText"/>
    <w:rsid w:val="00B1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656"/>
    <w:rPr>
      <w:sz w:val="18"/>
    </w:rPr>
  </w:style>
  <w:style w:type="paragraph" w:customStyle="1" w:styleId="BodySmallRight">
    <w:name w:val="Body Small Right"/>
    <w:basedOn w:val="BodyTextRight"/>
    <w:rsid w:val="00B10656"/>
    <w:rPr>
      <w:sz w:val="18"/>
      <w:szCs w:val="18"/>
    </w:rPr>
  </w:style>
  <w:style w:type="paragraph" w:customStyle="1" w:styleId="MarginEdition">
    <w:name w:val="Margin Edition"/>
    <w:basedOn w:val="MarginNote"/>
    <w:rsid w:val="00B1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656"/>
    <w:rPr>
      <w:sz w:val="2"/>
      <w:szCs w:val="2"/>
    </w:rPr>
  </w:style>
  <w:style w:type="character" w:customStyle="1" w:styleId="Small">
    <w:name w:val="Small"/>
    <w:basedOn w:val="DefaultParagraphFont"/>
    <w:rsid w:val="00B10656"/>
    <w:rPr>
      <w:sz w:val="16"/>
    </w:rPr>
  </w:style>
  <w:style w:type="paragraph" w:customStyle="1" w:styleId="WideTable">
    <w:name w:val="Wide Table"/>
    <w:basedOn w:val="Normal"/>
    <w:rsid w:val="00B1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656"/>
  </w:style>
  <w:style w:type="paragraph" w:styleId="Quote">
    <w:name w:val="Quote"/>
    <w:basedOn w:val="Heading1"/>
    <w:link w:val="QuoteChar"/>
    <w:qFormat/>
    <w:rsid w:val="00B1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656"/>
    <w:pPr>
      <w:pageBreakBefore/>
    </w:pPr>
  </w:style>
  <w:style w:type="paragraph" w:customStyle="1" w:styleId="Border">
    <w:name w:val="Border"/>
    <w:basedOn w:val="Normal"/>
    <w:qFormat/>
    <w:rsid w:val="00B1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656"/>
    <w:rPr>
      <w:u w:val="single"/>
    </w:rPr>
  </w:style>
  <w:style w:type="character" w:customStyle="1" w:styleId="BoldandItalics">
    <w:name w:val="Bold and Italics"/>
    <w:qFormat/>
    <w:rsid w:val="00B10656"/>
    <w:rPr>
      <w:b/>
      <w:i/>
      <w:u w:val="none"/>
    </w:rPr>
  </w:style>
  <w:style w:type="paragraph" w:styleId="BalloonText">
    <w:name w:val="Balloon Text"/>
    <w:basedOn w:val="Normal"/>
    <w:link w:val="BalloonTextChar"/>
    <w:rsid w:val="00B1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656"/>
    <w:pPr>
      <w:spacing w:before="0" w:after="0"/>
    </w:pPr>
  </w:style>
  <w:style w:type="paragraph" w:customStyle="1" w:styleId="BodyTextBold">
    <w:name w:val="Body Text Bold"/>
    <w:basedOn w:val="BodyText"/>
    <w:qFormat/>
    <w:rsid w:val="00B10656"/>
    <w:rPr>
      <w:b/>
    </w:rPr>
  </w:style>
  <w:style w:type="character" w:styleId="Hyperlink">
    <w:name w:val="Hyperlink"/>
    <w:basedOn w:val="DefaultParagraphFont"/>
    <w:uiPriority w:val="99"/>
    <w:unhideWhenUsed/>
    <w:rsid w:val="00D35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4809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PMAOPS261 Operate bulk solids loading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