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564" w:rsidP="00D32564">
      <w:pPr>
        <w:pStyle w:val="Title"/>
      </w:pPr>
      <w:r>
        <w:fldChar w:fldCharType="begin"/>
      </w:r>
      <w:r>
        <w:instrText xml:space="preserve"> TITLE   \* MERGEFORMAT </w:instrText>
      </w:r>
      <w:r>
        <w:fldChar w:fldCharType="separate"/>
      </w:r>
      <w:r>
        <w:t>PMAOPS242 Moor ships for transfer of bulk processed particulates or fluids</w:t>
      </w:r>
      <w:r>
        <w:fldChar w:fldCharType="end"/>
      </w:r>
    </w:p>
    <w:p w:rsidR="00D32564" w:rsidP="00D32564">
      <w:pPr>
        <w:pStyle w:val="Version"/>
        <w:sectPr w:rsidSect="00A778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89C" w:rsidP="00A7789C">
      <w:pPr>
        <w:pStyle w:val="SuperHeading"/>
      </w:pPr>
      <w:r w:rsidRPr="00A7789C">
        <w:t>PMAOPS242 Moo</w:t>
      </w:r>
      <w:r w:rsidRPr="00A7789C">
        <w:t>r ships for transfer of bulk processed particulates or fluids</w:t>
      </w:r>
    </w:p>
    <w:p w:rsidR="00000000" w:rsidRPr="00A7789C" w:rsidP="00A7789C">
      <w:pPr>
        <w:pStyle w:val="Heading1"/>
      </w:pPr>
      <w:bookmarkStart w:id="1" w:name="O_907442"/>
      <w:bookmarkEnd w:id="1"/>
      <w:r w:rsidRPr="00A7789C">
        <w:t>Modification History</w:t>
      </w:r>
    </w:p>
    <w:p w:rsidR="00000000" w:rsidRPr="00A7789C" w:rsidP="00D32564">
      <w:pPr>
        <w:pStyle w:val="BodyText"/>
      </w:pPr>
      <w:r w:rsidRPr="00A7789C">
        <w:t>Release 1. Supersedes and is equivalent to PMAOPS242A Moor ships for transfer of bulk processed particulates or fluids</w:t>
      </w:r>
    </w:p>
    <w:p w:rsidR="00000000" w:rsidRPr="00A7789C" w:rsidP="00A7789C">
      <w:pPr>
        <w:pStyle w:val="Heading1"/>
      </w:pPr>
      <w:bookmarkStart w:id="2" w:name="O_907450"/>
      <w:bookmarkEnd w:id="2"/>
      <w:r w:rsidRPr="00A7789C">
        <w:t>Application</w:t>
      </w:r>
    </w:p>
    <w:p w:rsidR="00000000" w:rsidRPr="00A7789C" w:rsidP="00D32564">
      <w:pPr>
        <w:pStyle w:val="BodyText"/>
      </w:pPr>
      <w:r w:rsidRPr="00A7789C">
        <w:t xml:space="preserve">This unit of competency covers the skills and knowledge required to moor ships that are transporting bulk fluids or particulates. </w:t>
      </w:r>
    </w:p>
    <w:p w:rsidR="00000000" w:rsidRPr="00A7789C" w:rsidP="00D32564">
      <w:pPr>
        <w:pStyle w:val="BodyText"/>
      </w:pPr>
      <w:r w:rsidRPr="00A7789C">
        <w:t>This unit of competency applies to the berthing of vessels transporting liquefied natural gas (LNG), liquefied petroleum gas</w:t>
      </w:r>
      <w:r w:rsidRPr="00A7789C">
        <w:t xml:space="preserve"> (LPG), other bulk fluids and bulk processed particulates, such as iron ore or alumina. It applies to land-based moorings, floating storage and offtake (FSO)/floating production storage and offtake (FPSO) vessel/buoy or similar moorings.</w:t>
      </w:r>
    </w:p>
    <w:p w:rsidR="00000000" w:rsidRPr="00A7789C" w:rsidP="00D32564">
      <w:pPr>
        <w:pStyle w:val="BodyText"/>
      </w:pPr>
      <w:r w:rsidRPr="00A7789C">
        <w:t>This unit of comp</w:t>
      </w:r>
      <w:r w:rsidRPr="00A7789C">
        <w:t xml:space="preserve">etency applies to operators who are required to prepare the mooring area, identify and control hazards, follow instructions and procedures to position, secure and release vessel, and identify problems and take appropriate action.  </w:t>
      </w:r>
    </w:p>
    <w:p w:rsidR="00000000" w:rsidRPr="00A7789C" w:rsidP="00D32564">
      <w:pPr>
        <w:pStyle w:val="BodyText"/>
      </w:pPr>
      <w:r w:rsidRPr="00A7789C">
        <w:t>This unit of competency</w:t>
      </w:r>
      <w:r w:rsidRPr="00A7789C">
        <w:t xml:space="preserve"> applies to an individual who may work alone although under routine direction and supervision. They may work as part of a team or group and will work in liaison with other shift team members and the control room operator and ‘shipping officer’ (or other su</w:t>
      </w:r>
      <w:r w:rsidRPr="00A7789C">
        <w:t xml:space="preserve">itably authorised operator), as appropriate. </w:t>
      </w:r>
    </w:p>
    <w:p w:rsidR="00000000" w:rsidRPr="00A7789C" w:rsidP="00D32564">
      <w:pPr>
        <w:pStyle w:val="BodyText"/>
      </w:pPr>
      <w:r w:rsidRPr="00A7789C">
        <w:t>These operators will liaise with port/jetty personnel as well as relevant ship personnel. When not involved with ship loading/unloading they may be expected to fulfil more traditional plant operations roles.</w:t>
      </w:r>
    </w:p>
    <w:p w:rsidR="00000000" w:rsidRPr="00A7789C" w:rsidP="00D32564">
      <w:pPr>
        <w:pStyle w:val="BodyText"/>
      </w:pPr>
      <w:r w:rsidRPr="00A7789C">
        <w:t>No licensing, legislative or certification requirements apply to this unit at the time of publication.</w:t>
      </w:r>
    </w:p>
    <w:p w:rsidR="00000000" w:rsidRPr="00A7789C" w:rsidP="00A7789C">
      <w:pPr>
        <w:pStyle w:val="Heading1"/>
      </w:pPr>
      <w:bookmarkStart w:id="3" w:name="O_907449"/>
      <w:bookmarkEnd w:id="3"/>
      <w:r w:rsidRPr="00A7789C">
        <w:t>Pre-requisite Unit</w:t>
      </w:r>
    </w:p>
    <w:p w:rsidR="00000000" w:rsidRPr="00A7789C" w:rsidP="00D32564">
      <w:pPr>
        <w:pStyle w:val="BodyText"/>
      </w:pPr>
      <w:r w:rsidRPr="00A7789C">
        <w:t>Nil</w:t>
      </w:r>
    </w:p>
    <w:p w:rsidR="00000000" w:rsidRPr="00A7789C" w:rsidP="00A7789C">
      <w:pPr>
        <w:pStyle w:val="Heading1"/>
      </w:pPr>
      <w:bookmarkStart w:id="4" w:name="O_907448"/>
      <w:bookmarkEnd w:id="4"/>
      <w:r w:rsidRPr="00A7789C">
        <w:t>Competency Field</w:t>
      </w:r>
    </w:p>
    <w:p w:rsidR="00000000" w:rsidRPr="00A7789C" w:rsidP="00D32564">
      <w:pPr>
        <w:pStyle w:val="BodyText"/>
      </w:pPr>
      <w:r w:rsidRPr="00A7789C">
        <w:t>Operations</w:t>
      </w:r>
    </w:p>
    <w:p w:rsidR="00000000" w:rsidRPr="00A7789C" w:rsidP="00A7789C">
      <w:pPr>
        <w:pStyle w:val="Heading1"/>
      </w:pPr>
      <w:bookmarkStart w:id="5" w:name="O_907447"/>
      <w:bookmarkEnd w:id="5"/>
      <w:r w:rsidRPr="00A7789C">
        <w:t>Unit Sector</w:t>
      </w:r>
    </w:p>
    <w:p w:rsidR="00000000" w:rsidRPr="00A7789C" w:rsidP="00A7789C">
      <w:pPr>
        <w:pStyle w:val="Heading1"/>
      </w:pPr>
      <w:bookmarkStart w:id="6" w:name="O_907446"/>
      <w:bookmarkEnd w:id="6"/>
      <w:r w:rsidRPr="00A7789C">
        <w:t>Elements and Performanc</w:t>
      </w:r>
      <w:r w:rsidRPr="00A7789C">
        <w:t>e Criteria</w:t>
      </w:r>
    </w:p>
    <w:tbl>
      <w:tblPr>
        <w:tblW w:w="0" w:type="auto"/>
        <w:tblLayout w:type="fixed"/>
        <w:tblCellMar>
          <w:left w:w="62" w:type="dxa"/>
          <w:right w:w="62" w:type="dxa"/>
        </w:tblCellMar>
        <w:tblLook w:val="0000"/>
      </w:tblPr>
      <w:tblGrid>
        <w:gridCol w:w="678"/>
        <w:gridCol w:w="1962"/>
        <w:gridCol w:w="770"/>
        <w:gridCol w:w="5610"/>
      </w:tblGrid>
      <w:tr w:rsidTr="00A778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Performance criteria describe the performance needed to demonstrate achievement of the element.</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1</w:t>
            </w:r>
          </w:p>
        </w:tc>
        <w:tc>
          <w:tcPr>
            <w:tcW w:w="1962" w:type="dxa"/>
            <w:vMerge w:val="restart"/>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1.1</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Identify work and compliance requirements</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1.2</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Identify and control hazards</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1.3</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Coordinate with appropriate personnel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1.4</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Check operational status of required plant/equipment</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1.5</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Complete any required pre-berthing checks</w:t>
            </w:r>
          </w:p>
        </w:tc>
      </w:tr>
      <w:tr w:rsidTr="00A778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89C">
            <w:pPr>
              <w:pStyle w:val="BodyText"/>
              <w:rPr>
                <w:lang w:val="en-NZ"/>
              </w:rPr>
            </w:pP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2</w:t>
            </w:r>
          </w:p>
        </w:tc>
        <w:tc>
          <w:tcPr>
            <w:tcW w:w="1962" w:type="dxa"/>
            <w:vMerge w:val="restart"/>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Deploy hazard and environmental controls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2.1</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Check required controls, including health, safety and environment (HSE) controls, are available and functional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2.2</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Deploy controls</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2.3</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Prepare mooring area for operation</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2.4</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Withdraw controls</w:t>
            </w:r>
          </w:p>
        </w:tc>
      </w:tr>
      <w:tr w:rsidTr="00A778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89C">
            <w:pPr>
              <w:pStyle w:val="BodyText"/>
              <w:rPr>
                <w:lang w:val="en-NZ"/>
              </w:rPr>
            </w:pP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3</w:t>
            </w:r>
          </w:p>
        </w:tc>
        <w:tc>
          <w:tcPr>
            <w:tcW w:w="1962" w:type="dxa"/>
            <w:vMerge w:val="restart"/>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Berth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3.1</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Communicate with relevant personnel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3.2</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Receive and carry out instructions from shipping officer</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3.3</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Throw/heave ships lines and secure vessel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3.4</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Guide ship to position required to receive/discharge</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3.5</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Use capstan winch to ‘walk ship’</w:t>
            </w:r>
            <w:r w:rsidRPr="00A7789C">
              <w:t xml:space="preserve"> to required position</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3.6</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Make fast to mooring (wharf, dolphin or buoy)</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3.7</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Ensure all hazard controls are followed</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3.8</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Connect equipment required for transfer</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3.9</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Set quick release hooks</w:t>
            </w:r>
          </w:p>
        </w:tc>
      </w:tr>
      <w:tr w:rsidTr="00A778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89C">
            <w:pPr>
              <w:pStyle w:val="BodyText"/>
              <w:rPr>
                <w:lang w:val="en-NZ"/>
              </w:rPr>
            </w:pP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4</w:t>
            </w:r>
          </w:p>
        </w:tc>
        <w:tc>
          <w:tcPr>
            <w:tcW w:w="1962" w:type="dxa"/>
            <w:vMerge w:val="restart"/>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Release ship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4.1</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Communicate with relevant personnel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4.2</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Receive and carry out instructions from shipping officer</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4.3</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Disconnect any connected equipment</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4.4</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Release vessel</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4.5</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Ensure all hazard controls are followed</w:t>
            </w:r>
          </w:p>
        </w:tc>
      </w:tr>
      <w:tr w:rsidTr="00A778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89C">
            <w:pPr>
              <w:pStyle w:val="BodyText"/>
              <w:rPr>
                <w:lang w:val="en-NZ"/>
              </w:rPr>
            </w:pP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5</w:t>
            </w:r>
          </w:p>
        </w:tc>
        <w:tc>
          <w:tcPr>
            <w:tcW w:w="1962" w:type="dxa"/>
            <w:vMerge w:val="restart"/>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Recognise problems and take action</w:t>
            </w: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5.1</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Monitor mooring operation throughout the process</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5.2</w:t>
            </w:r>
          </w:p>
        </w:tc>
        <w:tc>
          <w:tcPr>
            <w:tcW w:w="561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Adjust process as required by procedures</w:t>
            </w:r>
          </w:p>
        </w:tc>
      </w:tr>
      <w:tr w:rsidTr="00A778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5.3</w:t>
            </w:r>
          </w:p>
        </w:tc>
        <w:tc>
          <w:tcPr>
            <w:tcW w:w="5610" w:type="dxa"/>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Take actions to resolve problems</w:t>
            </w:r>
          </w:p>
        </w:tc>
      </w:tr>
    </w:tbl>
    <w:p w:rsidR="00000000" w:rsidRPr="00A7789C" w:rsidP="00A7789C">
      <w:pPr>
        <w:pStyle w:val="BodyText"/>
      </w:pPr>
    </w:p>
    <w:p w:rsidR="00000000" w:rsidRPr="00A7789C" w:rsidP="00A7789C">
      <w:pPr>
        <w:pStyle w:val="AllowPageBreak"/>
      </w:pPr>
    </w:p>
    <w:p w:rsidR="00000000" w:rsidRPr="00A7789C" w:rsidP="00A7789C">
      <w:pPr>
        <w:pStyle w:val="Heading1"/>
      </w:pPr>
      <w:bookmarkStart w:id="7" w:name="O_907445"/>
      <w:bookmarkEnd w:id="7"/>
      <w:r w:rsidRPr="00A7789C">
        <w:t>Foundation Skills</w:t>
      </w:r>
    </w:p>
    <w:p w:rsidR="00000000" w:rsidRPr="00A7789C" w:rsidP="00D32564">
      <w:pPr>
        <w:pStyle w:val="BodyText"/>
      </w:pPr>
      <w:r w:rsidRPr="00A7789C">
        <w:t>This section describes those language, literacy, numeracy and employment skills that are essential to performance.</w:t>
      </w:r>
    </w:p>
    <w:p w:rsidR="00000000" w:rsidRPr="00A7789C" w:rsidP="00D32564">
      <w:pPr>
        <w:pStyle w:val="BodyText"/>
      </w:pPr>
      <w:r w:rsidRPr="00A7789C">
        <w:t>Foundation skills essential to performance are explicit in the performance criteria of this unit of competency.</w:t>
      </w:r>
    </w:p>
    <w:p w:rsidR="00000000" w:rsidRPr="00A7789C" w:rsidP="00A7789C">
      <w:pPr>
        <w:pStyle w:val="Heading1"/>
      </w:pPr>
      <w:bookmarkStart w:id="8" w:name="O_907444"/>
      <w:bookmarkEnd w:id="8"/>
      <w:r w:rsidRPr="00A7789C">
        <w:t>Range of Conditions</w:t>
      </w:r>
    </w:p>
    <w:tbl>
      <w:tblPr>
        <w:tblW w:w="0" w:type="auto"/>
        <w:tblCellMar>
          <w:left w:w="62" w:type="dxa"/>
          <w:right w:w="62" w:type="dxa"/>
        </w:tblCellMar>
        <w:tblLook w:val="0000"/>
      </w:tblPr>
      <w:tblGrid>
        <w:gridCol w:w="2163"/>
        <w:gridCol w:w="7033"/>
      </w:tblGrid>
      <w:tr w:rsidTr="00D325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t>This field allows for different work environments and conditions that may affect performance. Essential operating conditions that may be present (depending on the work situation, needs of the candidate, accessibility of the item, and lo</w:t>
            </w:r>
            <w:r w:rsidRPr="00A7789C">
              <w:t>cal industry and regional contexts) are included.</w:t>
            </w: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The latest version of all legislation, regulations, industry codes of practice and Australian/international standards, or the version specified by the local regulatory authority, mus</w:t>
            </w:r>
            <w:r w:rsidRPr="00A7789C">
              <w:t>t be used, and include one or more of the following:</w:t>
            </w:r>
          </w:p>
          <w:p w:rsidR="00000000" w:rsidRPr="00A7789C" w:rsidP="00A7789C">
            <w:pPr>
              <w:pStyle w:val="ListBullet"/>
            </w:pPr>
            <w:r w:rsidRPr="00A7789C">
              <w:t>legislative requirements, including work health and safety (WHS)</w:t>
            </w:r>
          </w:p>
          <w:p w:rsidR="00000000" w:rsidRPr="00A7789C" w:rsidP="00A7789C">
            <w:pPr>
              <w:pStyle w:val="ListBullet"/>
            </w:pPr>
            <w:r w:rsidRPr="00A7789C">
              <w:t>industry codes of practice and guidelines</w:t>
            </w:r>
          </w:p>
          <w:p w:rsidR="00000000" w:rsidRPr="00A7789C" w:rsidP="00A7789C">
            <w:pPr>
              <w:pStyle w:val="ListBullet"/>
            </w:pPr>
            <w:r w:rsidRPr="00A7789C">
              <w:t xml:space="preserve">environmental regulations and guidelines </w:t>
            </w:r>
          </w:p>
          <w:p w:rsidR="00000000" w:rsidRPr="00A7789C" w:rsidP="00A7789C">
            <w:pPr>
              <w:pStyle w:val="ListBullet"/>
            </w:pPr>
            <w:r w:rsidRPr="00A7789C">
              <w:t>Australian and other standards</w:t>
            </w:r>
          </w:p>
          <w:p w:rsidR="00000000" w:rsidRPr="00A7789C" w:rsidP="00A7789C">
            <w:pPr>
              <w:pStyle w:val="ListBullet"/>
            </w:pPr>
            <w:r w:rsidRPr="00A7789C">
              <w:t>licence and certificat</w:t>
            </w:r>
            <w:r w:rsidRPr="00A7789C">
              <w:t xml:space="preserve">ion requirements </w:t>
            </w:r>
          </w:p>
          <w:p w:rsidR="00000000" w:rsidRPr="00A7789C" w:rsidP="00A7789C">
            <w:pPr>
              <w:pStyle w:val="BodyText"/>
            </w:pPr>
          </w:p>
          <w:p w:rsidR="00000000" w:rsidP="00A7789C">
            <w:pPr>
              <w:pStyle w:val="BodyText"/>
              <w:rPr>
                <w:lang w:val="en-NZ"/>
              </w:rPr>
            </w:pPr>
            <w:r w:rsidRPr="00A7789C">
              <w:t>All operations to which this unit applies are subject to stringent health, safety and environment (HSE) requirements, which may be imposed t</w:t>
            </w:r>
            <w:r w:rsidRPr="00A7789C">
              <w:t>hrough state/territory or federal legislation, and these must not be compromised at any time. Where there is an apparent conflict between performance criteria and HSE requirements, the HSE requirements take precedence.</w:t>
            </w: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All operations must be pe</w:t>
            </w:r>
            <w:r w:rsidRPr="00A7789C">
              <w:t>rformed in accordance with relevant procedures.</w:t>
            </w:r>
          </w:p>
          <w:p w:rsidR="00000000" w:rsidRPr="00A7789C" w:rsidP="00A7789C">
            <w:pPr>
              <w:pStyle w:val="BodyText"/>
            </w:pPr>
            <w:r w:rsidRPr="00A7789C">
              <w:t>Procedures are written, verbal, visual, computer-based or in some other form, and include one or more of the following:</w:t>
            </w:r>
          </w:p>
          <w:p w:rsidR="00000000" w:rsidRPr="00A7789C" w:rsidP="00A7789C">
            <w:pPr>
              <w:pStyle w:val="ListBullet"/>
            </w:pPr>
            <w:r w:rsidRPr="00A7789C">
              <w:t>emergency procedures</w:t>
            </w:r>
          </w:p>
          <w:p w:rsidR="00000000" w:rsidRPr="00A7789C" w:rsidP="00A7789C">
            <w:pPr>
              <w:pStyle w:val="ListBullet"/>
            </w:pPr>
            <w:r w:rsidRPr="00A7789C">
              <w:t>work instructions</w:t>
            </w:r>
          </w:p>
          <w:p w:rsidR="00000000" w:rsidRPr="00A7789C" w:rsidP="00A7789C">
            <w:pPr>
              <w:pStyle w:val="ListBullet"/>
            </w:pPr>
            <w:r w:rsidRPr="00A7789C">
              <w:t>standard operating procedures (SOPs)</w:t>
            </w:r>
          </w:p>
          <w:p w:rsidR="00000000" w:rsidRPr="00A7789C" w:rsidP="00A7789C">
            <w:pPr>
              <w:pStyle w:val="ListBullet"/>
            </w:pPr>
            <w:r w:rsidRPr="00A7789C">
              <w:t>safe work m</w:t>
            </w:r>
            <w:r w:rsidRPr="00A7789C">
              <w:t>ethod statements (SWMS)</w:t>
            </w:r>
          </w:p>
          <w:p w:rsidR="00000000" w:rsidRPr="00A7789C" w:rsidP="00A7789C">
            <w:pPr>
              <w:pStyle w:val="ListBullet"/>
            </w:pPr>
            <w:r w:rsidRPr="00A7789C">
              <w:t>formulas/recipes</w:t>
            </w:r>
          </w:p>
          <w:p w:rsidR="00000000" w:rsidRPr="00A7789C" w:rsidP="00A7789C">
            <w:pPr>
              <w:pStyle w:val="ListBullet"/>
            </w:pPr>
            <w:r w:rsidRPr="00A7789C">
              <w:t>batch sheets</w:t>
            </w:r>
          </w:p>
          <w:p w:rsidR="00000000" w:rsidRPr="00A7789C" w:rsidP="00A7789C">
            <w:pPr>
              <w:pStyle w:val="ListBullet"/>
            </w:pPr>
            <w:r w:rsidRPr="00A7789C">
              <w:t>temporary instructions</w:t>
            </w:r>
          </w:p>
          <w:p w:rsidR="00000000" w:rsidRPr="00A7789C" w:rsidP="00A7789C">
            <w:pPr>
              <w:pStyle w:val="ListBullet"/>
            </w:pPr>
            <w:r w:rsidRPr="00A7789C">
              <w:t>any similar instructions provided for the smooth running of the plant</w:t>
            </w:r>
          </w:p>
          <w:p w:rsidR="00000000" w:rsidP="00A7789C">
            <w:pPr>
              <w:pStyle w:val="BodyText"/>
              <w:rPr>
                <w:lang w:val="en-NZ"/>
              </w:rPr>
            </w:pP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Hazards include one or more of the following:</w:t>
            </w:r>
          </w:p>
          <w:p w:rsidR="00000000" w:rsidRPr="00A7789C" w:rsidP="00A7789C">
            <w:pPr>
              <w:pStyle w:val="ListBullet"/>
            </w:pPr>
            <w:r w:rsidRPr="00A7789C">
              <w:t>working over/near water</w:t>
            </w:r>
          </w:p>
          <w:p w:rsidR="00000000" w:rsidRPr="00A7789C" w:rsidP="00A7789C">
            <w:pPr>
              <w:pStyle w:val="ListBullet"/>
            </w:pPr>
            <w:r w:rsidRPr="00A7789C">
              <w:t>electricity</w:t>
            </w:r>
          </w:p>
          <w:p w:rsidR="00000000" w:rsidRPr="00A7789C" w:rsidP="00A7789C">
            <w:pPr>
              <w:pStyle w:val="ListBullet"/>
            </w:pPr>
            <w:r w:rsidRPr="00A7789C">
              <w:t>gas</w:t>
            </w:r>
          </w:p>
          <w:p w:rsidR="00000000" w:rsidRPr="00A7789C" w:rsidP="00A7789C">
            <w:pPr>
              <w:pStyle w:val="ListBullet"/>
            </w:pPr>
            <w:r w:rsidRPr="00A7789C">
              <w:t xml:space="preserve">gases and liquids under pressure </w:t>
            </w:r>
          </w:p>
          <w:p w:rsidR="00000000" w:rsidRPr="00A7789C" w:rsidP="00A7789C">
            <w:pPr>
              <w:pStyle w:val="ListBullet"/>
            </w:pPr>
            <w:r w:rsidRPr="00A7789C">
              <w:t>structural hazards</w:t>
            </w:r>
          </w:p>
          <w:p w:rsidR="00000000" w:rsidRPr="00A7789C" w:rsidP="00A7789C">
            <w:pPr>
              <w:pStyle w:val="ListBullet"/>
            </w:pPr>
            <w:r w:rsidRPr="00A7789C">
              <w:t>structural collapse</w:t>
            </w:r>
          </w:p>
          <w:p w:rsidR="00000000" w:rsidRPr="00A7789C" w:rsidP="00A7789C">
            <w:pPr>
              <w:pStyle w:val="ListBullet"/>
            </w:pPr>
            <w:r w:rsidRPr="00A7789C">
              <w:t>equipment failures</w:t>
            </w:r>
          </w:p>
          <w:p w:rsidR="00000000" w:rsidRPr="00A7789C" w:rsidP="00A7789C">
            <w:pPr>
              <w:pStyle w:val="ListBullet"/>
            </w:pPr>
            <w:r w:rsidRPr="00A7789C">
              <w:t>industrial (machinery, equipment and product)</w:t>
            </w:r>
          </w:p>
          <w:p w:rsidR="00000000" w:rsidRPr="00A7789C" w:rsidP="00A7789C">
            <w:pPr>
              <w:pStyle w:val="ListBullet"/>
            </w:pPr>
            <w:r w:rsidRPr="00A7789C">
              <w:t>equipment or product mass</w:t>
            </w:r>
          </w:p>
          <w:p w:rsidR="00000000" w:rsidRPr="00A7789C" w:rsidP="00A7789C">
            <w:pPr>
              <w:pStyle w:val="ListBullet"/>
            </w:pPr>
            <w:r w:rsidRPr="00A7789C">
              <w:t>noise, rotational equipment or vibration</w:t>
            </w:r>
          </w:p>
          <w:p w:rsidR="00000000" w:rsidRPr="00A7789C" w:rsidP="00A7789C">
            <w:pPr>
              <w:pStyle w:val="ListBullet"/>
            </w:pPr>
            <w:r w:rsidRPr="00A7789C">
              <w:t>plant services (steam, condensate and cooling water</w:t>
            </w:r>
            <w:r w:rsidRPr="00A7789C">
              <w:t>)</w:t>
            </w:r>
          </w:p>
          <w:p w:rsidR="00000000" w:rsidRPr="00A7789C" w:rsidP="00A7789C">
            <w:pPr>
              <w:pStyle w:val="ListBullet"/>
            </w:pPr>
            <w:r w:rsidRPr="00A7789C">
              <w:t>working at heights, in restricted or confined spaces, or in environments subjected to heat, noise, dusts or vapours</w:t>
            </w:r>
          </w:p>
          <w:p w:rsidR="00000000" w:rsidRPr="00A7789C" w:rsidP="00A7789C">
            <w:pPr>
              <w:pStyle w:val="ListBullet"/>
            </w:pPr>
            <w:r w:rsidRPr="00A7789C">
              <w:t>flammability and explosivity</w:t>
            </w:r>
          </w:p>
          <w:p w:rsidR="00000000" w:rsidRPr="00A7789C" w:rsidP="00A7789C">
            <w:pPr>
              <w:pStyle w:val="ListBullet"/>
            </w:pPr>
            <w:r w:rsidRPr="00A7789C">
              <w:t>hazardous products and materials</w:t>
            </w:r>
          </w:p>
          <w:p w:rsidR="00000000" w:rsidRPr="00A7789C" w:rsidP="00A7789C">
            <w:pPr>
              <w:pStyle w:val="ListBullet"/>
            </w:pPr>
            <w:r w:rsidRPr="00A7789C">
              <w:t>unauthorised personnel</w:t>
            </w:r>
          </w:p>
          <w:p w:rsidR="00000000" w:rsidRPr="00A7789C" w:rsidP="00A7789C">
            <w:pPr>
              <w:pStyle w:val="ListBullet"/>
            </w:pPr>
            <w:r w:rsidRPr="00A7789C">
              <w:t>sharp edges, protrusions or obstructions</w:t>
            </w:r>
          </w:p>
          <w:p w:rsidR="00000000" w:rsidRPr="00A7789C" w:rsidP="00A7789C">
            <w:pPr>
              <w:pStyle w:val="ListBullet"/>
            </w:pPr>
            <w:r w:rsidRPr="00A7789C">
              <w:t>slippery sur</w:t>
            </w:r>
            <w:r w:rsidRPr="00A7789C">
              <w:t>faces, spills or leaks</w:t>
            </w:r>
          </w:p>
          <w:p w:rsidR="00000000" w:rsidRPr="00A7789C" w:rsidP="00A7789C">
            <w:pPr>
              <w:pStyle w:val="ListBullet"/>
            </w:pPr>
            <w:r w:rsidRPr="00A7789C">
              <w:t>extreme weather</w:t>
            </w:r>
          </w:p>
          <w:p w:rsidR="00000000" w:rsidRPr="00A7789C" w:rsidP="00A7789C">
            <w:pPr>
              <w:pStyle w:val="ListBullet"/>
            </w:pPr>
            <w:r w:rsidRPr="00A7789C">
              <w:t>other hazards that might arise</w:t>
            </w:r>
          </w:p>
          <w:p w:rsidR="00000000" w:rsidP="00A7789C">
            <w:pPr>
              <w:pStyle w:val="BodyText"/>
              <w:rPr>
                <w:lang w:val="en-NZ"/>
              </w:rPr>
            </w:pP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 xml:space="preserve">Routine problems must be resolved by applying known solutions. </w:t>
            </w:r>
          </w:p>
          <w:p w:rsidR="00000000" w:rsidRPr="00A7789C" w:rsidP="00A7789C">
            <w:pPr>
              <w:pStyle w:val="BodyText"/>
            </w:pPr>
          </w:p>
          <w:p w:rsidR="00000000" w:rsidRPr="00A7789C" w:rsidP="00A7789C">
            <w:pPr>
              <w:pStyle w:val="BodyText"/>
            </w:pPr>
            <w:r w:rsidRPr="00A7789C">
              <w:t>Routine problems are predictable and include one or more of the following:</w:t>
            </w:r>
          </w:p>
          <w:p w:rsidR="00000000" w:rsidRPr="00A7789C" w:rsidP="00A7789C">
            <w:pPr>
              <w:pStyle w:val="ListBullet"/>
            </w:pPr>
            <w:r w:rsidRPr="00A7789C">
              <w:t>poor weather</w:t>
            </w:r>
          </w:p>
          <w:p w:rsidR="00000000" w:rsidRPr="00A7789C" w:rsidP="00A7789C">
            <w:pPr>
              <w:pStyle w:val="ListBullet"/>
            </w:pPr>
            <w:r w:rsidRPr="00A7789C">
              <w:t>language issues with crew</w:t>
            </w:r>
          </w:p>
          <w:p w:rsidR="00000000" w:rsidRPr="00A7789C" w:rsidP="00A7789C">
            <w:pPr>
              <w:pStyle w:val="ListBullet"/>
            </w:pPr>
            <w:r w:rsidRPr="00A7789C">
              <w:t>problems with ship’s equipment</w:t>
            </w:r>
          </w:p>
          <w:p w:rsidR="00000000" w:rsidRPr="00A7789C" w:rsidP="00A7789C">
            <w:pPr>
              <w:pStyle w:val="BodyText"/>
            </w:pPr>
          </w:p>
          <w:p w:rsidR="00000000" w:rsidRPr="00A7789C" w:rsidP="00A7789C">
            <w:pPr>
              <w:pStyle w:val="BodyText"/>
            </w:pPr>
            <w:r w:rsidRPr="00A7789C">
              <w:t>Known solutions are drawn from one or more of the following:</w:t>
            </w:r>
          </w:p>
          <w:p w:rsidR="00000000" w:rsidRPr="00A7789C" w:rsidP="00A7789C">
            <w:pPr>
              <w:pStyle w:val="ListBullet"/>
            </w:pPr>
            <w:r w:rsidRPr="00A7789C">
              <w:t>procedures</w:t>
            </w:r>
          </w:p>
          <w:p w:rsidR="00000000" w:rsidRPr="00A7789C" w:rsidP="00A7789C">
            <w:pPr>
              <w:pStyle w:val="ListBullet"/>
            </w:pPr>
            <w:r w:rsidRPr="00A7789C">
              <w:t>training</w:t>
            </w:r>
          </w:p>
          <w:p w:rsidR="00000000" w:rsidRPr="00A7789C" w:rsidP="00A7789C">
            <w:pPr>
              <w:pStyle w:val="ListBullet"/>
            </w:pPr>
            <w:r w:rsidRPr="00A7789C">
              <w:t>remembered experience</w:t>
            </w:r>
          </w:p>
          <w:p w:rsidR="00000000" w:rsidRPr="00A7789C" w:rsidP="00A7789C">
            <w:pPr>
              <w:pStyle w:val="BodyText"/>
            </w:pPr>
          </w:p>
          <w:p w:rsidR="00000000" w:rsidRPr="00A7789C" w:rsidP="00A7789C">
            <w:pPr>
              <w:pStyle w:val="BodyText"/>
            </w:pPr>
            <w:r w:rsidRPr="00A7789C">
              <w:t>Non-routine problems must be reported according to relevant procedures.</w:t>
            </w:r>
          </w:p>
          <w:p w:rsidR="00000000" w:rsidP="00A7789C">
            <w:pPr>
              <w:pStyle w:val="BodyText"/>
              <w:rPr>
                <w:lang w:val="en-NZ"/>
              </w:rPr>
            </w:pP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 xml:space="preserve">Logs and reports include one or more of the following: </w:t>
            </w:r>
          </w:p>
          <w:p w:rsidR="00000000" w:rsidRPr="00A7789C" w:rsidP="00A7789C">
            <w:pPr>
              <w:pStyle w:val="ListBullet"/>
            </w:pPr>
            <w:r w:rsidRPr="00A7789C">
              <w:t>paper or electronic-based logs and reports</w:t>
            </w:r>
          </w:p>
          <w:p w:rsidR="00000000" w:rsidRPr="00A7789C" w:rsidP="00A7789C">
            <w:pPr>
              <w:pStyle w:val="ListBullet"/>
            </w:pPr>
            <w:r w:rsidRPr="00A7789C">
              <w:t>verbal/radio reports</w:t>
            </w:r>
          </w:p>
          <w:p w:rsidR="00000000" w:rsidRPr="00A7789C" w:rsidP="00A7789C">
            <w:pPr>
              <w:pStyle w:val="ListBullet"/>
            </w:pPr>
            <w:r w:rsidRPr="00A7789C">
              <w:t>reporting items found which require action</w:t>
            </w:r>
          </w:p>
          <w:p w:rsidR="00000000" w:rsidP="00A7789C">
            <w:pPr>
              <w:pStyle w:val="BodyText"/>
              <w:rPr>
                <w:lang w:val="en-NZ"/>
              </w:rPr>
            </w:pPr>
          </w:p>
        </w:tc>
      </w:tr>
      <w:tr w:rsidTr="00D325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89C">
            <w:pPr>
              <w:pStyle w:val="BodyText"/>
              <w:rPr>
                <w:lang w:val="en-NZ"/>
              </w:rPr>
            </w:pPr>
            <w:r w:rsidRPr="00A7789C">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7789C" w:rsidP="00A7789C">
            <w:pPr>
              <w:pStyle w:val="BodyText"/>
            </w:pPr>
            <w:r w:rsidRPr="00A7789C">
              <w:t>Action in accordance with procedures includes the following:</w:t>
            </w:r>
          </w:p>
          <w:p w:rsidR="00000000" w:rsidRPr="00A7789C" w:rsidP="00A7789C">
            <w:pPr>
              <w:pStyle w:val="ListBullet"/>
            </w:pPr>
            <w:r w:rsidRPr="00A7789C">
              <w:t xml:space="preserve">determining problems </w:t>
            </w:r>
            <w:r w:rsidRPr="00A7789C">
              <w:t>needing action</w:t>
            </w:r>
          </w:p>
          <w:p w:rsidR="00000000" w:rsidRPr="00A7789C" w:rsidP="00A7789C">
            <w:pPr>
              <w:pStyle w:val="ListBullet"/>
            </w:pPr>
            <w:r w:rsidRPr="00A7789C">
              <w:t>determining possible fault causes</w:t>
            </w:r>
          </w:p>
          <w:p w:rsidR="00000000" w:rsidRPr="00A7789C" w:rsidP="00A7789C">
            <w:pPr>
              <w:pStyle w:val="ListBullet"/>
            </w:pPr>
            <w:r w:rsidRPr="00A7789C">
              <w:t>rectifying predictable problems using appropriate solution from procedures</w:t>
            </w:r>
          </w:p>
          <w:p w:rsidR="00000000" w:rsidRPr="00A7789C" w:rsidP="00A7789C">
            <w:pPr>
              <w:pStyle w:val="ListBullet"/>
            </w:pPr>
            <w:r w:rsidRPr="00A7789C">
              <w:t>following through items initiated until final resolution has occurred</w:t>
            </w:r>
          </w:p>
          <w:p w:rsidR="00000000" w:rsidRPr="00A7789C" w:rsidP="00A7789C">
            <w:pPr>
              <w:pStyle w:val="ListBullet"/>
            </w:pPr>
            <w:r w:rsidRPr="00A7789C">
              <w:t>reporting problems outside area of responsibility/scope of pro</w:t>
            </w:r>
            <w:r w:rsidRPr="00A7789C">
              <w:t>cedures to designated person</w:t>
            </w:r>
          </w:p>
        </w:tc>
      </w:tr>
    </w:tbl>
    <w:p w:rsidR="00000000" w:rsidRPr="00A7789C" w:rsidP="00A7789C">
      <w:pPr>
        <w:pStyle w:val="BodyText"/>
      </w:pPr>
    </w:p>
    <w:p w:rsidR="00000000" w:rsidRPr="00A7789C" w:rsidP="00A7789C">
      <w:pPr>
        <w:pStyle w:val="AllowPageBreak"/>
      </w:pPr>
    </w:p>
    <w:p w:rsidR="00000000" w:rsidRPr="00A7789C" w:rsidP="00A7789C">
      <w:pPr>
        <w:pStyle w:val="Heading1"/>
      </w:pPr>
      <w:bookmarkStart w:id="9" w:name="O_907443"/>
      <w:bookmarkEnd w:id="9"/>
      <w:r w:rsidRPr="00A7789C">
        <w:t>Unit Mapping Information</w:t>
      </w:r>
    </w:p>
    <w:p w:rsidR="00000000" w:rsidRPr="00A7789C" w:rsidP="00D32564">
      <w:pPr>
        <w:pStyle w:val="BodyText"/>
      </w:pPr>
      <w:r w:rsidRPr="00A7789C">
        <w:t>Release 1. Supersedes and is equivalent to PMAOPS242A Moor ships for transfer of bulk processed particulates or fluids</w:t>
      </w:r>
    </w:p>
    <w:p w:rsidR="00000000" w:rsidRPr="00A7789C" w:rsidP="00A7789C">
      <w:pPr>
        <w:pStyle w:val="Heading1"/>
      </w:pPr>
      <w:bookmarkStart w:id="10" w:name="O_907436"/>
      <w:bookmarkEnd w:id="10"/>
      <w:r w:rsidRPr="00A7789C">
        <w:t>Links</w:t>
      </w:r>
    </w:p>
    <w:p w:rsidR="00000000" w:rsidRPr="00A7789C" w:rsidP="00D32564">
      <w:pPr>
        <w:pStyle w:val="BodyText"/>
      </w:pPr>
      <w:r w:rsidRPr="00A7789C">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94B2E">
        <w:rPr>
          <w:rStyle w:val="Hyperlink"/>
        </w:rPr>
        <w:t>https://vetnet.gov.au/Pages/TrainingDocs.aspx?q=9fc2cf53-e570-4e9f-ad6a-b228ffdb6875</w:t>
      </w:r>
      <w:r>
        <w:fldChar w:fldCharType="end"/>
      </w:r>
    </w:p>
    <w:p w:rsidR="00000000" w:rsidRPr="00A7789C" w:rsidP="00A7789C"/>
    <w:sectPr w:rsidSect="00A778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C" w:rsidRPr="00D32564" w:rsidP="00D325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64" w:rsidP="00A77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2564" w:rsidP="00A7789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2564" w:rsidP="00A77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89C" w:rsidRPr="00D32564" w:rsidP="00D325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64" w:rsidRPr="002D2AF8" w:rsidP="00A7789C">
    <w:pPr>
      <w:pStyle w:val="Header"/>
      <w:framePr w:wrap="around"/>
    </w:pPr>
    <w:r>
      <w:fldChar w:fldCharType="begin"/>
    </w:r>
    <w:r>
      <w:instrText xml:space="preserve"> TITLE   \* MERGEFORMAT </w:instrText>
    </w:r>
    <w:r>
      <w:fldChar w:fldCharType="separate"/>
    </w:r>
    <w:r>
      <w:t>PMAOPS242 Moor ships for transfer of bulk processed particulates or fluids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D32564" w:rsidP="00A77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349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BE6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89C"/>
    <w:pPr>
      <w:spacing w:before="360" w:after="60"/>
      <w:outlineLvl w:val="0"/>
    </w:pPr>
    <w:rPr>
      <w:sz w:val="32"/>
    </w:rPr>
  </w:style>
  <w:style w:type="paragraph" w:styleId="Heading2">
    <w:name w:val="heading 2"/>
    <w:basedOn w:val="HeadingBase"/>
    <w:next w:val="BodyText"/>
    <w:link w:val="Heading2Char"/>
    <w:qFormat/>
    <w:rsid w:val="00A7789C"/>
    <w:pPr>
      <w:keepLines/>
      <w:spacing w:before="240" w:after="120"/>
      <w:outlineLvl w:val="1"/>
    </w:pPr>
    <w:rPr>
      <w:sz w:val="28"/>
      <w:szCs w:val="40"/>
    </w:rPr>
  </w:style>
  <w:style w:type="paragraph" w:styleId="Heading3">
    <w:name w:val="heading 3"/>
    <w:basedOn w:val="HeadingBase"/>
    <w:next w:val="BodyText"/>
    <w:link w:val="Heading3Char"/>
    <w:qFormat/>
    <w:rsid w:val="00A7789C"/>
    <w:pPr>
      <w:spacing w:before="180" w:after="120"/>
      <w:outlineLvl w:val="2"/>
    </w:pPr>
    <w:rPr>
      <w:spacing w:val="-10"/>
      <w:kern w:val="32"/>
    </w:rPr>
  </w:style>
  <w:style w:type="paragraph" w:styleId="Heading4">
    <w:name w:val="heading 4"/>
    <w:basedOn w:val="HeadingBase"/>
    <w:next w:val="BodyText"/>
    <w:link w:val="Heading4Char"/>
    <w:qFormat/>
    <w:rsid w:val="00A7789C"/>
    <w:pPr>
      <w:spacing w:before="160" w:after="120"/>
      <w:outlineLvl w:val="3"/>
    </w:pPr>
    <w:rPr>
      <w:sz w:val="22"/>
    </w:rPr>
  </w:style>
  <w:style w:type="paragraph" w:styleId="Heading5">
    <w:name w:val="heading 5"/>
    <w:basedOn w:val="HeadingBase"/>
    <w:next w:val="Normal"/>
    <w:link w:val="Heading5Char"/>
    <w:qFormat/>
    <w:rsid w:val="00A7789C"/>
    <w:pPr>
      <w:spacing w:before="80"/>
      <w:outlineLvl w:val="4"/>
    </w:pPr>
    <w:rPr>
      <w:color w:val="918585"/>
      <w:sz w:val="20"/>
    </w:rPr>
  </w:style>
  <w:style w:type="paragraph" w:styleId="Heading6">
    <w:name w:val="heading 6"/>
    <w:basedOn w:val="HeadingBase"/>
    <w:next w:val="Normal"/>
    <w:link w:val="Heading6Char"/>
    <w:qFormat/>
    <w:rsid w:val="00A7789C"/>
    <w:pPr>
      <w:spacing w:before="60"/>
      <w:outlineLvl w:val="5"/>
    </w:pPr>
    <w:rPr>
      <w:color w:val="918585"/>
      <w:sz w:val="20"/>
    </w:rPr>
  </w:style>
  <w:style w:type="paragraph" w:styleId="Heading7">
    <w:name w:val="heading 7"/>
    <w:basedOn w:val="Normal"/>
    <w:next w:val="Normal"/>
    <w:link w:val="Heading7Char"/>
    <w:qFormat/>
    <w:rsid w:val="00A7789C"/>
    <w:pPr>
      <w:ind w:left="720"/>
      <w:outlineLvl w:val="6"/>
    </w:pPr>
    <w:rPr>
      <w:i/>
    </w:rPr>
  </w:style>
  <w:style w:type="paragraph" w:styleId="Heading8">
    <w:name w:val="heading 8"/>
    <w:basedOn w:val="Normal"/>
    <w:next w:val="Normal"/>
    <w:link w:val="Heading8Char"/>
    <w:qFormat/>
    <w:rsid w:val="00A7789C"/>
    <w:pPr>
      <w:ind w:left="720"/>
      <w:outlineLvl w:val="7"/>
    </w:pPr>
    <w:rPr>
      <w:i/>
    </w:rPr>
  </w:style>
  <w:style w:type="paragraph" w:styleId="Heading9">
    <w:name w:val="heading 9"/>
    <w:basedOn w:val="Normal"/>
    <w:next w:val="Normal"/>
    <w:link w:val="Heading9Char"/>
    <w:qFormat/>
    <w:rsid w:val="00A7789C"/>
    <w:pPr>
      <w:ind w:left="720"/>
      <w:outlineLvl w:val="8"/>
    </w:pPr>
    <w:rPr>
      <w:i/>
    </w:rPr>
  </w:style>
  <w:style w:type="character" w:default="1" w:styleId="DefaultParagraphFont">
    <w:name w:val="Default Paragraph Font"/>
    <w:uiPriority w:val="1"/>
    <w:unhideWhenUsed/>
    <w:rsid w:val="00A77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89C"/>
  </w:style>
  <w:style w:type="character" w:customStyle="1" w:styleId="Heading1Char">
    <w:name w:val="Heading 1 Char"/>
    <w:basedOn w:val="DefaultParagraphFont"/>
    <w:link w:val="Heading1"/>
    <w:rsid w:val="00A7789C"/>
    <w:rPr>
      <w:rFonts w:ascii="Times New Roman" w:eastAsia="Times New Roman" w:hAnsi="Times New Roman" w:cs="Times New Roman"/>
      <w:b/>
      <w:sz w:val="32"/>
      <w:szCs w:val="20"/>
      <w:lang w:eastAsia="en-US"/>
    </w:rPr>
  </w:style>
  <w:style w:type="paragraph" w:styleId="BodyText">
    <w:name w:val="Body Text"/>
    <w:basedOn w:val="Normal"/>
    <w:link w:val="BodyTextChar"/>
    <w:rsid w:val="00A77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89C"/>
    <w:rPr>
      <w:rFonts w:ascii="Times New Roman" w:eastAsia="Times New Roman" w:hAnsi="Times New Roman" w:cs="Times New Roman"/>
      <w:sz w:val="24"/>
      <w:lang w:eastAsia="en-US"/>
    </w:rPr>
  </w:style>
  <w:style w:type="paragraph" w:styleId="ListBullet">
    <w:name w:val="List Bullet"/>
    <w:basedOn w:val="List"/>
    <w:rsid w:val="00A7789C"/>
    <w:pPr>
      <w:numPr>
        <w:numId w:val="11"/>
      </w:numPr>
      <w:tabs>
        <w:tab w:val="clear" w:pos="340"/>
      </w:tabs>
      <w:spacing w:before="40" w:after="40"/>
    </w:pPr>
  </w:style>
  <w:style w:type="character" w:customStyle="1" w:styleId="SpecialBold">
    <w:name w:val="Special Bold"/>
    <w:basedOn w:val="DefaultParagraphFont"/>
    <w:rsid w:val="00A7789C"/>
    <w:rPr>
      <w:b/>
      <w:spacing w:val="0"/>
    </w:rPr>
  </w:style>
  <w:style w:type="paragraph" w:customStyle="1" w:styleId="SuperHeading">
    <w:name w:val="SuperHeading"/>
    <w:basedOn w:val="Normal"/>
    <w:rsid w:val="00A7789C"/>
    <w:pPr>
      <w:spacing w:before="240" w:after="120"/>
      <w:outlineLvl w:val="0"/>
    </w:pPr>
    <w:rPr>
      <w:rFonts w:ascii="Times New Roman" w:hAnsi="Times New Roman"/>
      <w:b/>
      <w:sz w:val="32"/>
    </w:rPr>
  </w:style>
  <w:style w:type="paragraph" w:customStyle="1" w:styleId="AllowPageBreak">
    <w:name w:val="AllowPageBreak"/>
    <w:rsid w:val="00A77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89C"/>
    <w:rPr>
      <w:rFonts w:ascii="Courier New" w:eastAsia="Times New Roman" w:hAnsi="Courier New" w:cs="Times New Roman"/>
      <w:i/>
      <w:szCs w:val="20"/>
      <w:lang w:eastAsia="en-US"/>
    </w:rPr>
  </w:style>
  <w:style w:type="paragraph" w:customStyle="1" w:styleId="HeadingBase">
    <w:name w:val="Heading Base"/>
    <w:rsid w:val="00A77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89C"/>
    <w:pPr>
      <w:tabs>
        <w:tab w:val="right" w:leader="dot" w:pos="9072"/>
      </w:tabs>
      <w:ind w:left="567"/>
    </w:pPr>
    <w:rPr>
      <w:szCs w:val="22"/>
    </w:rPr>
  </w:style>
  <w:style w:type="paragraph" w:customStyle="1" w:styleId="TOCBase">
    <w:name w:val="TOC Base"/>
    <w:rsid w:val="00A77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89C"/>
    <w:pPr>
      <w:tabs>
        <w:tab w:val="right" w:leader="dot" w:pos="9072"/>
      </w:tabs>
      <w:spacing w:before="40" w:after="40"/>
      <w:ind w:left="284"/>
    </w:pPr>
    <w:rPr>
      <w:rFonts w:ascii="Times New Roman" w:hAnsi="Times New Roman"/>
    </w:rPr>
  </w:style>
  <w:style w:type="paragraph" w:styleId="TOC1">
    <w:name w:val="toc 1"/>
    <w:basedOn w:val="TOCBase"/>
    <w:next w:val="Normal"/>
    <w:rsid w:val="00A77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89C"/>
    <w:rPr>
      <w:rFonts w:ascii="Times New Roman" w:eastAsia="Times New Roman" w:hAnsi="Times New Roman" w:cs="Times New Roman"/>
      <w:sz w:val="16"/>
      <w:lang w:eastAsia="en-US"/>
    </w:rPr>
  </w:style>
  <w:style w:type="paragraph" w:styleId="Title">
    <w:name w:val="Title"/>
    <w:basedOn w:val="HeadingBase"/>
    <w:link w:val="TitleChar"/>
    <w:qFormat/>
    <w:rsid w:val="00A7789C"/>
    <w:pPr>
      <w:spacing w:before="5040"/>
      <w:jc w:val="center"/>
    </w:pPr>
    <w:rPr>
      <w:sz w:val="48"/>
      <w:szCs w:val="72"/>
      <w:lang w:val="en-US"/>
    </w:rPr>
  </w:style>
  <w:style w:type="character" w:customStyle="1" w:styleId="TitleChar">
    <w:name w:val="Title Char"/>
    <w:basedOn w:val="DefaultParagraphFont"/>
    <w:link w:val="Title"/>
    <w:rsid w:val="00A77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89C"/>
    <w:pPr>
      <w:tabs>
        <w:tab w:val="left" w:pos="3600"/>
        <w:tab w:val="left" w:pos="3958"/>
      </w:tabs>
    </w:pPr>
  </w:style>
  <w:style w:type="paragraph" w:styleId="List">
    <w:name w:val="List"/>
    <w:basedOn w:val="BodyText"/>
    <w:next w:val="BodyText"/>
    <w:rsid w:val="00A7789C"/>
    <w:pPr>
      <w:tabs>
        <w:tab w:val="left" w:pos="340"/>
      </w:tabs>
      <w:spacing w:before="60" w:after="60"/>
      <w:ind w:left="340" w:hanging="340"/>
    </w:pPr>
  </w:style>
  <w:style w:type="paragraph" w:customStyle="1" w:styleId="Note">
    <w:name w:val="Note"/>
    <w:basedOn w:val="BodyText"/>
    <w:rsid w:val="00A77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89C"/>
    <w:pPr>
      <w:framePr w:wrap="auto" w:hAnchor="text" w:y="6049"/>
    </w:pPr>
    <w:rPr>
      <w:color w:val="000000"/>
      <w:sz w:val="40"/>
    </w:rPr>
  </w:style>
  <w:style w:type="paragraph" w:customStyle="1" w:styleId="TOCTitle">
    <w:name w:val="TOCTitle"/>
    <w:basedOn w:val="Heading1"/>
    <w:rsid w:val="00A7789C"/>
    <w:pPr>
      <w:spacing w:after="240"/>
      <w:jc w:val="center"/>
      <w:outlineLvl w:val="9"/>
    </w:pPr>
    <w:rPr>
      <w:caps/>
    </w:rPr>
  </w:style>
  <w:style w:type="paragraph" w:customStyle="1" w:styleId="Version">
    <w:name w:val="Version"/>
    <w:rsid w:val="00A778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89C"/>
    <w:pPr>
      <w:numPr>
        <w:numId w:val="12"/>
      </w:numPr>
      <w:tabs>
        <w:tab w:val="clear" w:pos="680"/>
      </w:tabs>
    </w:pPr>
  </w:style>
  <w:style w:type="paragraph" w:styleId="Index1">
    <w:name w:val="index 1"/>
    <w:basedOn w:val="Normal"/>
    <w:next w:val="Normal"/>
    <w:semiHidden/>
    <w:rsid w:val="00A7789C"/>
    <w:pPr>
      <w:keepNext w:val="0"/>
      <w:tabs>
        <w:tab w:val="right" w:pos="4176"/>
      </w:tabs>
      <w:ind w:left="198" w:hanging="198"/>
    </w:pPr>
    <w:rPr>
      <w:rFonts w:ascii="Garamond" w:hAnsi="Garamond"/>
    </w:rPr>
  </w:style>
  <w:style w:type="paragraph" w:styleId="IndexHeading">
    <w:name w:val="index heading"/>
    <w:basedOn w:val="Normal"/>
    <w:next w:val="Index1"/>
    <w:semiHidden/>
    <w:rsid w:val="00A7789C"/>
    <w:pPr>
      <w:spacing w:before="120" w:after="120"/>
    </w:pPr>
    <w:rPr>
      <w:rFonts w:ascii="Arial" w:hAnsi="Arial"/>
      <w:b/>
      <w:color w:val="918585"/>
      <w:sz w:val="24"/>
    </w:rPr>
  </w:style>
  <w:style w:type="paragraph" w:styleId="Header">
    <w:name w:val="header"/>
    <w:basedOn w:val="Normal"/>
    <w:link w:val="HeaderChar"/>
    <w:rsid w:val="00A77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89C"/>
    <w:rPr>
      <w:rFonts w:ascii="Times New Roman" w:eastAsia="Times New Roman" w:hAnsi="Times New Roman" w:cs="Times New Roman"/>
      <w:sz w:val="16"/>
      <w:szCs w:val="20"/>
      <w:lang w:val="en-GB" w:eastAsia="en-US"/>
    </w:rPr>
  </w:style>
  <w:style w:type="paragraph" w:customStyle="1" w:styleId="Chapter">
    <w:name w:val="Chapter"/>
    <w:basedOn w:val="Normal"/>
    <w:rsid w:val="00A7789C"/>
    <w:pPr>
      <w:spacing w:before="240"/>
    </w:pPr>
    <w:rPr>
      <w:rFonts w:ascii="Times New Roman" w:hAnsi="Times New Roman"/>
      <w:smallCaps/>
      <w:spacing w:val="80"/>
      <w:sz w:val="28"/>
    </w:rPr>
  </w:style>
  <w:style w:type="paragraph" w:customStyle="1" w:styleId="InChapter">
    <w:name w:val="InChapter"/>
    <w:basedOn w:val="Heading3"/>
    <w:rsid w:val="00A7789C"/>
    <w:pPr>
      <w:spacing w:after="240"/>
      <w:outlineLvl w:val="9"/>
    </w:pPr>
    <w:rPr>
      <w:noProof/>
    </w:rPr>
  </w:style>
  <w:style w:type="paragraph" w:styleId="Index2">
    <w:name w:val="index 2"/>
    <w:basedOn w:val="Normal"/>
    <w:next w:val="Normal"/>
    <w:semiHidden/>
    <w:rsid w:val="00A7789C"/>
    <w:pPr>
      <w:tabs>
        <w:tab w:val="right" w:pos="4176"/>
      </w:tabs>
      <w:ind w:left="568" w:hanging="284"/>
    </w:pPr>
    <w:rPr>
      <w:rFonts w:ascii="Garamond" w:hAnsi="Garamond"/>
    </w:rPr>
  </w:style>
  <w:style w:type="paragraph" w:customStyle="1" w:styleId="Byline">
    <w:name w:val="Byline"/>
    <w:rsid w:val="00A77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89C"/>
    <w:pPr>
      <w:tabs>
        <w:tab w:val="clear" w:pos="3600"/>
        <w:tab w:val="clear" w:pos="3958"/>
      </w:tabs>
      <w:jc w:val="right"/>
    </w:pPr>
  </w:style>
  <w:style w:type="character" w:styleId="Emphasis">
    <w:name w:val="Emphasis"/>
    <w:basedOn w:val="DefaultParagraphFont"/>
    <w:qFormat/>
    <w:rsid w:val="00A7789C"/>
    <w:rPr>
      <w:i/>
    </w:rPr>
  </w:style>
  <w:style w:type="paragraph" w:styleId="Caption">
    <w:name w:val="caption"/>
    <w:basedOn w:val="BodyText"/>
    <w:next w:val="Normal"/>
    <w:qFormat/>
    <w:rsid w:val="00A7789C"/>
    <w:pPr>
      <w:framePr w:w="2268" w:hSpace="181" w:vSpace="181" w:wrap="around" w:vAnchor="text" w:hAnchor="page" w:x="1135" w:y="285" w:anchorLock="1"/>
    </w:pPr>
    <w:rPr>
      <w:i/>
    </w:rPr>
  </w:style>
  <w:style w:type="paragraph" w:customStyle="1" w:styleId="MiniTOCTitle">
    <w:name w:val="MiniTOCTitle"/>
    <w:basedOn w:val="Heading4"/>
    <w:rsid w:val="00A7789C"/>
    <w:pPr>
      <w:spacing w:before="240"/>
      <w:outlineLvl w:val="9"/>
    </w:pPr>
    <w:rPr>
      <w:noProof/>
      <w:sz w:val="24"/>
    </w:rPr>
  </w:style>
  <w:style w:type="paragraph" w:customStyle="1" w:styleId="MiniTOCItem">
    <w:name w:val="MiniTOCItem"/>
    <w:basedOn w:val="ListBullet"/>
    <w:rsid w:val="00A7789C"/>
    <w:pPr>
      <w:numPr>
        <w:numId w:val="0"/>
      </w:numPr>
      <w:tabs>
        <w:tab w:val="right" w:leader="dot" w:pos="6521"/>
      </w:tabs>
      <w:spacing w:before="0" w:after="0"/>
    </w:pPr>
  </w:style>
  <w:style w:type="paragraph" w:customStyle="1" w:styleId="TOFTitle">
    <w:name w:val="TOFTitle"/>
    <w:basedOn w:val="TOCTitle"/>
    <w:rsid w:val="00A7789C"/>
  </w:style>
  <w:style w:type="paragraph" w:styleId="TableofFigures">
    <w:name w:val="table of figures"/>
    <w:basedOn w:val="Normal"/>
    <w:next w:val="Normal"/>
    <w:semiHidden/>
    <w:rsid w:val="00A7789C"/>
    <w:pPr>
      <w:tabs>
        <w:tab w:val="right" w:leader="dot" w:pos="9072"/>
      </w:tabs>
      <w:ind w:left="970" w:hanging="403"/>
    </w:pPr>
    <w:rPr>
      <w:rFonts w:ascii="Times New Roman" w:hAnsi="Times New Roman"/>
      <w:b/>
    </w:rPr>
  </w:style>
  <w:style w:type="paragraph" w:styleId="ListNumber">
    <w:name w:val="List Number"/>
    <w:basedOn w:val="List"/>
    <w:rsid w:val="00A7789C"/>
    <w:pPr>
      <w:numPr>
        <w:numId w:val="14"/>
      </w:numPr>
      <w:tabs>
        <w:tab w:val="clear" w:pos="340"/>
      </w:tabs>
    </w:pPr>
  </w:style>
  <w:style w:type="character" w:customStyle="1" w:styleId="WingdingSymbols">
    <w:name w:val="Wingding Symbols"/>
    <w:rsid w:val="00A7789C"/>
    <w:rPr>
      <w:rFonts w:ascii="Wingdings" w:hAnsi="Wingdings"/>
    </w:rPr>
  </w:style>
  <w:style w:type="paragraph" w:customStyle="1" w:styleId="TableHeading">
    <w:name w:val="Table Heading"/>
    <w:basedOn w:val="HeadingBase"/>
    <w:rsid w:val="00A7789C"/>
    <w:pPr>
      <w:keepLines/>
      <w:pBdr>
        <w:bottom w:val="single" w:sz="6" w:space="1" w:color="918585"/>
      </w:pBdr>
      <w:spacing w:before="240"/>
    </w:pPr>
  </w:style>
  <w:style w:type="character" w:customStyle="1" w:styleId="HotSpot">
    <w:name w:val="HotSpot"/>
    <w:rsid w:val="00A7789C"/>
    <w:rPr>
      <w:color w:val="0033CC"/>
      <w:u w:val="none"/>
    </w:rPr>
  </w:style>
  <w:style w:type="paragraph" w:customStyle="1" w:styleId="BodyTextRight">
    <w:name w:val="Body Text Right"/>
    <w:basedOn w:val="BodyText"/>
    <w:rsid w:val="00A7789C"/>
    <w:pPr>
      <w:spacing w:before="0" w:after="0"/>
      <w:jc w:val="right"/>
    </w:pPr>
  </w:style>
  <w:style w:type="paragraph" w:styleId="Index3">
    <w:name w:val="index 3"/>
    <w:basedOn w:val="ListNumber2"/>
    <w:next w:val="Normal"/>
    <w:semiHidden/>
    <w:rsid w:val="00A7789C"/>
    <w:pPr>
      <w:numPr>
        <w:numId w:val="0"/>
      </w:numPr>
      <w:tabs>
        <w:tab w:val="right" w:leader="dot" w:pos="4176"/>
      </w:tabs>
    </w:pPr>
  </w:style>
  <w:style w:type="paragraph" w:styleId="ListNumber2">
    <w:name w:val="List Number 2"/>
    <w:basedOn w:val="List2"/>
    <w:rsid w:val="00A7789C"/>
    <w:pPr>
      <w:numPr>
        <w:numId w:val="9"/>
      </w:numPr>
      <w:tabs>
        <w:tab w:val="clear" w:pos="1060"/>
      </w:tabs>
    </w:pPr>
  </w:style>
  <w:style w:type="paragraph" w:customStyle="1" w:styleId="MarginNote">
    <w:name w:val="Margin Note"/>
    <w:basedOn w:val="BodyText"/>
    <w:rsid w:val="00A77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89C"/>
    <w:rPr>
      <w:sz w:val="32"/>
    </w:rPr>
  </w:style>
  <w:style w:type="paragraph" w:customStyle="1" w:styleId="HeadingProcedure">
    <w:name w:val="Heading Procedure"/>
    <w:basedOn w:val="HeadingBase"/>
    <w:next w:val="Normal"/>
    <w:rsid w:val="00A7789C"/>
    <w:pPr>
      <w:tabs>
        <w:tab w:val="left" w:pos="0"/>
      </w:tabs>
      <w:spacing w:before="120" w:after="60"/>
    </w:pPr>
    <w:rPr>
      <w:i/>
      <w:color w:val="918585"/>
      <w:sz w:val="22"/>
    </w:rPr>
  </w:style>
  <w:style w:type="paragraph" w:customStyle="1" w:styleId="TableBodyText">
    <w:name w:val="Table Body Text"/>
    <w:basedOn w:val="BodyText"/>
    <w:rsid w:val="00A7789C"/>
    <w:pPr>
      <w:spacing w:before="60" w:after="60"/>
    </w:pPr>
  </w:style>
  <w:style w:type="paragraph" w:styleId="ListContinue">
    <w:name w:val="List Continue"/>
    <w:basedOn w:val="List"/>
    <w:rsid w:val="00A7789C"/>
    <w:pPr>
      <w:ind w:firstLine="0"/>
    </w:pPr>
  </w:style>
  <w:style w:type="paragraph" w:customStyle="1" w:styleId="ListNote">
    <w:name w:val="List Note"/>
    <w:basedOn w:val="List"/>
    <w:rsid w:val="00A7789C"/>
    <w:pPr>
      <w:pBdr>
        <w:top w:val="single" w:sz="6" w:space="2" w:color="918585"/>
        <w:bottom w:val="single" w:sz="6" w:space="2" w:color="918585"/>
      </w:pBdr>
      <w:tabs>
        <w:tab w:val="left" w:pos="1021"/>
      </w:tabs>
      <w:ind w:firstLine="0"/>
    </w:pPr>
  </w:style>
  <w:style w:type="paragraph" w:customStyle="1" w:styleId="Warning">
    <w:name w:val="Warning"/>
    <w:basedOn w:val="BodyText"/>
    <w:rsid w:val="00A7789C"/>
    <w:pPr>
      <w:shd w:val="clear" w:color="auto" w:fill="D9D9D9"/>
      <w:tabs>
        <w:tab w:val="left" w:pos="992"/>
      </w:tabs>
      <w:ind w:left="119" w:right="119"/>
    </w:pPr>
    <w:rPr>
      <w:sz w:val="20"/>
    </w:rPr>
  </w:style>
  <w:style w:type="paragraph" w:customStyle="1" w:styleId="MarginIcons">
    <w:name w:val="Margin Icons"/>
    <w:basedOn w:val="BodyText"/>
    <w:rsid w:val="00A77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89C"/>
    <w:rPr>
      <w:rFonts w:ascii="Courier New" w:hAnsi="Courier New"/>
    </w:rPr>
  </w:style>
  <w:style w:type="paragraph" w:customStyle="1" w:styleId="NoteBullet">
    <w:name w:val="Note Bullet"/>
    <w:basedOn w:val="Note"/>
    <w:rsid w:val="00A7789C"/>
    <w:pPr>
      <w:tabs>
        <w:tab w:val="clear" w:pos="680"/>
      </w:tabs>
      <w:spacing w:before="60" w:after="60"/>
    </w:pPr>
  </w:style>
  <w:style w:type="paragraph" w:customStyle="1" w:styleId="SubHeading2">
    <w:name w:val="SubHeading2"/>
    <w:basedOn w:val="HeadingBase"/>
    <w:rsid w:val="00A7789C"/>
    <w:pPr>
      <w:spacing w:before="240" w:after="60"/>
    </w:pPr>
    <w:rPr>
      <w:sz w:val="20"/>
    </w:rPr>
  </w:style>
  <w:style w:type="paragraph" w:customStyle="1" w:styleId="SubHeading1">
    <w:name w:val="SubHeading1"/>
    <w:basedOn w:val="HeadingBase"/>
    <w:rsid w:val="00A7789C"/>
    <w:pPr>
      <w:spacing w:before="240" w:after="60"/>
    </w:pPr>
    <w:rPr>
      <w:color w:val="918585"/>
      <w:sz w:val="22"/>
    </w:rPr>
  </w:style>
  <w:style w:type="paragraph" w:customStyle="1" w:styleId="SideHeading">
    <w:name w:val="Side Heading"/>
    <w:basedOn w:val="HeadingBase"/>
    <w:rsid w:val="00A77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89C"/>
    <w:pPr>
      <w:numPr>
        <w:numId w:val="10"/>
      </w:numPr>
    </w:pPr>
  </w:style>
  <w:style w:type="paragraph" w:styleId="PlainText">
    <w:name w:val="Plain Text"/>
    <w:basedOn w:val="Normal"/>
    <w:link w:val="PlainTextChar"/>
    <w:rsid w:val="00A7789C"/>
    <w:rPr>
      <w:sz w:val="20"/>
    </w:rPr>
  </w:style>
  <w:style w:type="character" w:customStyle="1" w:styleId="PlainTextChar">
    <w:name w:val="Plain Text Char"/>
    <w:basedOn w:val="DefaultParagraphFont"/>
    <w:link w:val="PlainText"/>
    <w:rsid w:val="00A7789C"/>
    <w:rPr>
      <w:rFonts w:ascii="Courier New" w:eastAsia="Times New Roman" w:hAnsi="Courier New" w:cs="Times New Roman"/>
      <w:sz w:val="20"/>
      <w:szCs w:val="20"/>
      <w:lang w:eastAsia="en-US"/>
    </w:rPr>
  </w:style>
  <w:style w:type="character" w:customStyle="1" w:styleId="MenuOption">
    <w:name w:val="Menu Option"/>
    <w:basedOn w:val="DefaultParagraphFont"/>
    <w:rsid w:val="00A7789C"/>
    <w:rPr>
      <w:b/>
      <w:smallCaps/>
    </w:rPr>
  </w:style>
  <w:style w:type="paragraph" w:customStyle="1" w:styleId="TableListNumber">
    <w:name w:val="Table List Number"/>
    <w:basedOn w:val="ListNumber"/>
    <w:rsid w:val="00A7789C"/>
    <w:pPr>
      <w:numPr>
        <w:numId w:val="0"/>
      </w:numPr>
    </w:pPr>
  </w:style>
  <w:style w:type="paragraph" w:styleId="TOC4">
    <w:name w:val="toc 4"/>
    <w:basedOn w:val="TOCBase"/>
    <w:next w:val="Normal"/>
    <w:semiHidden/>
    <w:rsid w:val="00A7789C"/>
    <w:pPr>
      <w:tabs>
        <w:tab w:val="right" w:leader="dot" w:pos="9071"/>
      </w:tabs>
      <w:ind w:left="1701"/>
    </w:pPr>
  </w:style>
  <w:style w:type="paragraph" w:customStyle="1" w:styleId="ListAlpha">
    <w:name w:val="List Alpha"/>
    <w:basedOn w:val="List"/>
    <w:rsid w:val="00A7789C"/>
    <w:pPr>
      <w:numPr>
        <w:numId w:val="8"/>
      </w:numPr>
    </w:pPr>
  </w:style>
  <w:style w:type="paragraph" w:customStyle="1" w:styleId="ListAlpha2">
    <w:name w:val="List Alpha 2"/>
    <w:basedOn w:val="List2"/>
    <w:rsid w:val="00A7789C"/>
    <w:pPr>
      <w:numPr>
        <w:numId w:val="7"/>
      </w:numPr>
    </w:pPr>
  </w:style>
  <w:style w:type="paragraph" w:styleId="List2">
    <w:name w:val="List 2"/>
    <w:basedOn w:val="BodyText"/>
    <w:rsid w:val="00A7789C"/>
    <w:pPr>
      <w:tabs>
        <w:tab w:val="left" w:pos="680"/>
      </w:tabs>
      <w:spacing w:before="60" w:after="60"/>
      <w:ind w:left="680" w:hanging="340"/>
    </w:pPr>
  </w:style>
  <w:style w:type="paragraph" w:styleId="List3">
    <w:name w:val="List 3"/>
    <w:basedOn w:val="BodyText"/>
    <w:rsid w:val="00A7789C"/>
    <w:pPr>
      <w:tabs>
        <w:tab w:val="left" w:pos="1021"/>
      </w:tabs>
      <w:spacing w:before="60" w:after="60"/>
      <w:ind w:left="1020" w:hanging="340"/>
    </w:pPr>
  </w:style>
  <w:style w:type="paragraph" w:styleId="List4">
    <w:name w:val="List 4"/>
    <w:basedOn w:val="BodyText"/>
    <w:rsid w:val="00A7789C"/>
    <w:pPr>
      <w:tabs>
        <w:tab w:val="left" w:pos="1361"/>
      </w:tabs>
      <w:spacing w:before="60" w:after="60"/>
      <w:ind w:left="1361" w:hanging="340"/>
    </w:pPr>
  </w:style>
  <w:style w:type="paragraph" w:styleId="List5">
    <w:name w:val="List 5"/>
    <w:basedOn w:val="BodyText"/>
    <w:rsid w:val="00A7789C"/>
    <w:pPr>
      <w:tabs>
        <w:tab w:val="left" w:pos="1701"/>
      </w:tabs>
      <w:spacing w:before="60" w:after="60"/>
      <w:ind w:left="1701" w:hanging="340"/>
    </w:pPr>
  </w:style>
  <w:style w:type="paragraph" w:styleId="ListBullet3">
    <w:name w:val="List Bullet 3"/>
    <w:basedOn w:val="List3"/>
    <w:rsid w:val="00A7789C"/>
    <w:pPr>
      <w:numPr>
        <w:numId w:val="13"/>
      </w:numPr>
      <w:tabs>
        <w:tab w:val="clear" w:pos="1021"/>
      </w:tabs>
      <w:ind w:left="1037" w:hanging="357"/>
    </w:pPr>
  </w:style>
  <w:style w:type="paragraph" w:styleId="ListBullet4">
    <w:name w:val="List Bullet 4"/>
    <w:basedOn w:val="List4"/>
    <w:rsid w:val="00A7789C"/>
    <w:pPr>
      <w:numPr>
        <w:numId w:val="2"/>
      </w:numPr>
      <w:tabs>
        <w:tab w:val="clear" w:pos="1361"/>
      </w:tabs>
    </w:pPr>
  </w:style>
  <w:style w:type="paragraph" w:styleId="ListBullet5">
    <w:name w:val="List Bullet 5"/>
    <w:basedOn w:val="List5"/>
    <w:rsid w:val="00A7789C"/>
    <w:pPr>
      <w:numPr>
        <w:numId w:val="3"/>
      </w:numPr>
    </w:pPr>
  </w:style>
  <w:style w:type="paragraph" w:styleId="ListContinue2">
    <w:name w:val="List Continue 2"/>
    <w:basedOn w:val="List2"/>
    <w:rsid w:val="00A7789C"/>
    <w:pPr>
      <w:ind w:firstLine="0"/>
    </w:pPr>
  </w:style>
  <w:style w:type="paragraph" w:styleId="ListContinue3">
    <w:name w:val="List Continue 3"/>
    <w:basedOn w:val="List3"/>
    <w:rsid w:val="00A7789C"/>
    <w:pPr>
      <w:ind w:left="1021" w:firstLine="0"/>
    </w:pPr>
  </w:style>
  <w:style w:type="paragraph" w:styleId="ListContinue4">
    <w:name w:val="List Continue 4"/>
    <w:basedOn w:val="List4"/>
    <w:rsid w:val="00A7789C"/>
    <w:pPr>
      <w:ind w:firstLine="0"/>
    </w:pPr>
  </w:style>
  <w:style w:type="paragraph" w:styleId="ListContinue5">
    <w:name w:val="List Continue 5"/>
    <w:basedOn w:val="List5"/>
    <w:rsid w:val="00A7789C"/>
    <w:pPr>
      <w:ind w:firstLine="0"/>
    </w:pPr>
  </w:style>
  <w:style w:type="paragraph" w:styleId="ListNumber3">
    <w:name w:val="List Number 3"/>
    <w:basedOn w:val="List3"/>
    <w:rsid w:val="00A7789C"/>
    <w:pPr>
      <w:numPr>
        <w:numId w:val="4"/>
      </w:numPr>
    </w:pPr>
  </w:style>
  <w:style w:type="paragraph" w:styleId="ListNumber4">
    <w:name w:val="List Number 4"/>
    <w:basedOn w:val="List4"/>
    <w:rsid w:val="00A7789C"/>
    <w:pPr>
      <w:numPr>
        <w:numId w:val="5"/>
      </w:numPr>
    </w:pPr>
  </w:style>
  <w:style w:type="paragraph" w:styleId="ListNumber5">
    <w:name w:val="List Number 5"/>
    <w:basedOn w:val="List5"/>
    <w:rsid w:val="00A7789C"/>
    <w:pPr>
      <w:numPr>
        <w:numId w:val="6"/>
      </w:numPr>
    </w:pPr>
  </w:style>
  <w:style w:type="paragraph" w:styleId="BlockText">
    <w:name w:val="Block Text"/>
    <w:basedOn w:val="Normal"/>
    <w:rsid w:val="00A7789C"/>
    <w:pPr>
      <w:spacing w:after="120"/>
      <w:ind w:left="1440" w:right="1440"/>
    </w:pPr>
  </w:style>
  <w:style w:type="character" w:customStyle="1" w:styleId="Subscript">
    <w:name w:val="Subscript"/>
    <w:basedOn w:val="DefaultParagraphFont"/>
    <w:rsid w:val="00A7789C"/>
    <w:rPr>
      <w:sz w:val="16"/>
      <w:vertAlign w:val="subscript"/>
    </w:rPr>
  </w:style>
  <w:style w:type="character" w:customStyle="1" w:styleId="Superscript">
    <w:name w:val="Superscript"/>
    <w:basedOn w:val="DefaultParagraphFont"/>
    <w:rsid w:val="00A7789C"/>
    <w:rPr>
      <w:sz w:val="16"/>
      <w:vertAlign w:val="superscript"/>
    </w:rPr>
  </w:style>
  <w:style w:type="character" w:customStyle="1" w:styleId="Symbols">
    <w:name w:val="Symbols"/>
    <w:basedOn w:val="DefaultParagraphFont"/>
    <w:rsid w:val="00A7789C"/>
    <w:rPr>
      <w:rFonts w:ascii="Symbol" w:hAnsi="Symbol"/>
    </w:rPr>
  </w:style>
  <w:style w:type="character" w:customStyle="1" w:styleId="MenuOptions">
    <w:name w:val="Menu Options"/>
    <w:basedOn w:val="DefaultParagraphFont"/>
    <w:rsid w:val="00A7789C"/>
    <w:rPr>
      <w:rFonts w:ascii="Arial Narrow" w:hAnsi="Arial Narrow"/>
      <w:smallCaps/>
    </w:rPr>
  </w:style>
  <w:style w:type="character" w:customStyle="1" w:styleId="Buttons">
    <w:name w:val="Buttons"/>
    <w:basedOn w:val="DefaultParagraphFont"/>
    <w:rsid w:val="00A7789C"/>
    <w:rPr>
      <w:b/>
    </w:rPr>
  </w:style>
  <w:style w:type="character" w:customStyle="1" w:styleId="Underlined">
    <w:name w:val="Underlined"/>
    <w:basedOn w:val="DefaultParagraphFont"/>
    <w:rsid w:val="00A7789C"/>
    <w:rPr>
      <w:u w:val="single"/>
    </w:rPr>
  </w:style>
  <w:style w:type="paragraph" w:customStyle="1" w:styleId="TableBodyTextRight">
    <w:name w:val="Table Body Text Right"/>
    <w:basedOn w:val="TableBodyText"/>
    <w:rsid w:val="00A7789C"/>
    <w:pPr>
      <w:widowControl w:val="0"/>
      <w:autoSpaceDE w:val="0"/>
      <w:autoSpaceDN w:val="0"/>
      <w:adjustRightInd w:val="0"/>
      <w:jc w:val="right"/>
    </w:pPr>
    <w:rPr>
      <w:rFonts w:cs="Arial"/>
      <w:szCs w:val="18"/>
    </w:rPr>
  </w:style>
  <w:style w:type="paragraph" w:customStyle="1" w:styleId="CopyrightText">
    <w:name w:val="Copyright Text"/>
    <w:basedOn w:val="BodyText"/>
    <w:rsid w:val="00A7789C"/>
    <w:rPr>
      <w:sz w:val="18"/>
    </w:rPr>
  </w:style>
  <w:style w:type="paragraph" w:customStyle="1" w:styleId="BodySmallRight">
    <w:name w:val="Body Small Right"/>
    <w:basedOn w:val="BodyTextRight"/>
    <w:rsid w:val="00A7789C"/>
    <w:rPr>
      <w:sz w:val="18"/>
      <w:szCs w:val="18"/>
    </w:rPr>
  </w:style>
  <w:style w:type="paragraph" w:customStyle="1" w:styleId="MarginEdition">
    <w:name w:val="Margin Edition"/>
    <w:basedOn w:val="MarginNote"/>
    <w:rsid w:val="00A7789C"/>
    <w:pPr>
      <w:spacing w:before="0" w:after="0"/>
    </w:pPr>
    <w:rPr>
      <w:rFonts w:ascii="Times New Roman" w:hAnsi="Times New Roman"/>
      <w:color w:val="999999"/>
    </w:rPr>
  </w:style>
  <w:style w:type="paragraph" w:customStyle="1" w:styleId="Spacer">
    <w:name w:val="Spacer"/>
    <w:basedOn w:val="Normal"/>
    <w:rsid w:val="00A7789C"/>
    <w:rPr>
      <w:sz w:val="2"/>
      <w:szCs w:val="2"/>
    </w:rPr>
  </w:style>
  <w:style w:type="character" w:customStyle="1" w:styleId="Small">
    <w:name w:val="Small"/>
    <w:basedOn w:val="DefaultParagraphFont"/>
    <w:rsid w:val="00A7789C"/>
    <w:rPr>
      <w:sz w:val="16"/>
    </w:rPr>
  </w:style>
  <w:style w:type="paragraph" w:customStyle="1" w:styleId="WideTable">
    <w:name w:val="Wide Table"/>
    <w:basedOn w:val="Normal"/>
    <w:rsid w:val="00A7789C"/>
    <w:pPr>
      <w:ind w:left="-1418"/>
    </w:pPr>
    <w:rPr>
      <w:sz w:val="2"/>
      <w:szCs w:val="2"/>
    </w:rPr>
  </w:style>
  <w:style w:type="character" w:styleId="PageNumber">
    <w:name w:val="page number"/>
    <w:basedOn w:val="DefaultParagraphFont"/>
    <w:rsid w:val="00A7789C"/>
  </w:style>
  <w:style w:type="paragraph" w:styleId="Quote">
    <w:name w:val="Quote"/>
    <w:basedOn w:val="Heading1"/>
    <w:link w:val="QuoteChar"/>
    <w:qFormat/>
    <w:rsid w:val="00A7789C"/>
    <w:rPr>
      <w:b w:val="0"/>
      <w:sz w:val="72"/>
      <w:szCs w:val="72"/>
      <w:lang w:val="en-NZ"/>
    </w:rPr>
  </w:style>
  <w:style w:type="character" w:customStyle="1" w:styleId="QuoteChar">
    <w:name w:val="Quote Char"/>
    <w:basedOn w:val="DefaultParagraphFont"/>
    <w:link w:val="Quote"/>
    <w:rsid w:val="00A77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89C"/>
    <w:pPr>
      <w:pageBreakBefore/>
    </w:pPr>
  </w:style>
  <w:style w:type="paragraph" w:customStyle="1" w:styleId="Border">
    <w:name w:val="Border"/>
    <w:basedOn w:val="Normal"/>
    <w:qFormat/>
    <w:rsid w:val="00A77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89C"/>
    <w:rPr>
      <w:b/>
      <w:bCs/>
      <w:i/>
      <w:iCs/>
      <w:color w:val="auto"/>
    </w:rPr>
  </w:style>
  <w:style w:type="paragraph" w:styleId="IntenseQuote">
    <w:name w:val="Intense Quote"/>
    <w:basedOn w:val="Normal"/>
    <w:next w:val="Normal"/>
    <w:link w:val="IntenseQuoteChar"/>
    <w:uiPriority w:val="30"/>
    <w:qFormat/>
    <w:rsid w:val="00A77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89C"/>
    <w:rPr>
      <w:smallCaps/>
      <w:color w:val="auto"/>
      <w:u w:val="single"/>
    </w:rPr>
  </w:style>
  <w:style w:type="character" w:styleId="IntenseReference">
    <w:name w:val="Intense Reference"/>
    <w:basedOn w:val="DefaultParagraphFont"/>
    <w:uiPriority w:val="32"/>
    <w:qFormat/>
    <w:rsid w:val="00A7789C"/>
    <w:rPr>
      <w:b/>
      <w:bCs/>
      <w:smallCaps/>
      <w:color w:val="auto"/>
      <w:spacing w:val="5"/>
      <w:u w:val="single"/>
    </w:rPr>
  </w:style>
  <w:style w:type="paragraph" w:customStyle="1" w:styleId="2ColumnHeading">
    <w:name w:val="2Column Heading"/>
    <w:basedOn w:val="BodyText"/>
    <w:qFormat/>
    <w:rsid w:val="00A7789C"/>
    <w:pPr>
      <w:spacing w:after="60"/>
      <w:ind w:left="-2268"/>
    </w:pPr>
    <w:rPr>
      <w:b/>
    </w:rPr>
  </w:style>
  <w:style w:type="paragraph" w:customStyle="1" w:styleId="Heading1TOC">
    <w:name w:val="Heading1 TOC"/>
    <w:basedOn w:val="Normal"/>
    <w:qFormat/>
    <w:rsid w:val="00A7789C"/>
    <w:pPr>
      <w:spacing w:before="240" w:after="120"/>
    </w:pPr>
    <w:rPr>
      <w:rFonts w:ascii="Times New Roman" w:hAnsi="Times New Roman"/>
      <w:b/>
      <w:sz w:val="32"/>
    </w:rPr>
  </w:style>
  <w:style w:type="paragraph" w:customStyle="1" w:styleId="Heading2TOC">
    <w:name w:val="Heading2 TOC"/>
    <w:basedOn w:val="Normal"/>
    <w:qFormat/>
    <w:rsid w:val="00A7789C"/>
    <w:pPr>
      <w:spacing w:before="240" w:after="60"/>
    </w:pPr>
    <w:rPr>
      <w:rFonts w:ascii="Times New Roman" w:hAnsi="Times New Roman"/>
      <w:b/>
      <w:sz w:val="28"/>
    </w:rPr>
  </w:style>
  <w:style w:type="character" w:customStyle="1" w:styleId="Underline">
    <w:name w:val="Underline"/>
    <w:basedOn w:val="DefaultParagraphFont"/>
    <w:qFormat/>
    <w:rsid w:val="00A7789C"/>
    <w:rPr>
      <w:u w:val="single"/>
    </w:rPr>
  </w:style>
  <w:style w:type="character" w:customStyle="1" w:styleId="BoldandItalics">
    <w:name w:val="Bold and Italics"/>
    <w:qFormat/>
    <w:rsid w:val="00A7789C"/>
    <w:rPr>
      <w:b/>
      <w:i/>
      <w:u w:val="none"/>
    </w:rPr>
  </w:style>
  <w:style w:type="paragraph" w:styleId="BalloonText">
    <w:name w:val="Balloon Text"/>
    <w:basedOn w:val="Normal"/>
    <w:link w:val="BalloonTextChar"/>
    <w:rsid w:val="00A7789C"/>
    <w:rPr>
      <w:rFonts w:ascii="Tahoma" w:hAnsi="Tahoma" w:cs="Tahoma"/>
      <w:sz w:val="16"/>
      <w:szCs w:val="16"/>
    </w:rPr>
  </w:style>
  <w:style w:type="character" w:customStyle="1" w:styleId="BalloonTextChar">
    <w:name w:val="Balloon Text Char"/>
    <w:basedOn w:val="DefaultParagraphFont"/>
    <w:link w:val="BalloonText"/>
    <w:rsid w:val="00A77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89C"/>
    <w:rPr>
      <w:b/>
      <w:color w:val="660033"/>
      <w:spacing w:val="0"/>
    </w:rPr>
  </w:style>
  <w:style w:type="paragraph" w:customStyle="1" w:styleId="Nameditemlist">
    <w:name w:val="Named item list"/>
    <w:basedOn w:val="BodyText"/>
    <w:qFormat/>
    <w:rsid w:val="00A7789C"/>
    <w:pPr>
      <w:tabs>
        <w:tab w:val="left" w:pos="2835"/>
      </w:tabs>
      <w:ind w:left="2835" w:hanging="2835"/>
    </w:pPr>
  </w:style>
  <w:style w:type="paragraph" w:customStyle="1" w:styleId="BodyTextnopadding">
    <w:name w:val="Body Text no padding"/>
    <w:basedOn w:val="BodyText"/>
    <w:qFormat/>
    <w:rsid w:val="00A7789C"/>
    <w:pPr>
      <w:spacing w:before="0" w:after="0"/>
    </w:pPr>
  </w:style>
  <w:style w:type="paragraph" w:customStyle="1" w:styleId="BodyTextBold">
    <w:name w:val="Body Text Bold"/>
    <w:basedOn w:val="BodyText"/>
    <w:qFormat/>
    <w:rsid w:val="00A7789C"/>
    <w:rPr>
      <w:b/>
    </w:rPr>
  </w:style>
  <w:style w:type="character" w:styleId="Hyperlink">
    <w:name w:val="Hyperlink"/>
    <w:basedOn w:val="DefaultParagraphFont"/>
    <w:uiPriority w:val="99"/>
    <w:unhideWhenUsed/>
    <w:rsid w:val="00D325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6331</Characters>
  <Application>Microsoft Office Word</Application>
  <DocSecurity>0</DocSecurity>
  <Lines>287</Lines>
  <Paragraphs>183</Paragraphs>
  <ScaleCrop>false</ScaleCrop>
  <Company>Author-it Software Corporation Ltd.</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PMAOPS242 Moor ships for transfer of bulk processed particulates or fluids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2020-11-16T07:57:00Z</dcterms:created>
  <dcterms:modified xsi:type="dcterms:W3CDTF">2020-11-16T07:57:00Z</dcterms:modified>
</cp:coreProperties>
</file>