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1F9" w:rsidP="00421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PMAOPS233 Monitor wells and gathering systems</w:t>
      </w:r>
      <w:r>
        <w:fldChar w:fldCharType="end"/>
      </w:r>
    </w:p>
    <w:p w:rsidR="004211F9" w:rsidP="004211F9">
      <w:pPr>
        <w:pStyle w:val="Version"/>
        <w:sectPr w:rsidSect="006D5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BB8" w:rsidP="006D5BB8">
      <w:pPr>
        <w:pStyle w:val="SuperHeading"/>
      </w:pPr>
      <w:r w:rsidRPr="006D5BB8">
        <w:t>Assessment Requirements for PMAOPS233 Monitor wells and gathering systems</w:t>
      </w:r>
    </w:p>
    <w:p w:rsidR="00000000" w:rsidRPr="006D5BB8" w:rsidP="006D5BB8">
      <w:pPr>
        <w:pStyle w:val="Heading1"/>
      </w:pPr>
      <w:bookmarkStart w:id="1" w:name="O_907343"/>
      <w:bookmarkEnd w:id="1"/>
      <w:r w:rsidRPr="006D5BB8">
        <w:t>Modification History</w:t>
      </w:r>
    </w:p>
    <w:p w:rsidR="00000000" w:rsidRPr="006D5BB8" w:rsidP="004211F9">
      <w:pPr>
        <w:pStyle w:val="BodyText"/>
      </w:pPr>
      <w:r w:rsidRPr="006D5BB8">
        <w:t>Release 1. Supersedes and is equivalent to PMAOPS233A Monitor wells and gathering systems</w:t>
      </w:r>
    </w:p>
    <w:p w:rsidR="00000000" w:rsidRPr="006D5BB8" w:rsidP="006D5BB8">
      <w:pPr>
        <w:pStyle w:val="Heading1"/>
      </w:pPr>
      <w:bookmarkStart w:id="2" w:name="O_907346"/>
      <w:bookmarkEnd w:id="2"/>
      <w:r w:rsidRPr="006D5BB8">
        <w:t>Performance Evidence</w:t>
      </w:r>
    </w:p>
    <w:p w:rsidR="00000000" w:rsidRPr="006D5BB8" w:rsidP="004211F9">
      <w:pPr>
        <w:pStyle w:val="BodyText"/>
      </w:pPr>
      <w:r w:rsidRPr="006D5BB8">
        <w:t>Evidence required to demonstrate competence in this unit must be relevant to and satisfy the requirements of the elements and performance criteria, and include the ability to:</w:t>
      </w:r>
    </w:p>
    <w:p w:rsidR="00000000" w:rsidRPr="006D5BB8" w:rsidP="006D5BB8">
      <w:pPr>
        <w:pStyle w:val="ListBullet"/>
      </w:pPr>
      <w:r w:rsidRPr="006D5BB8">
        <w:t>undertake checks, inspections and readings according to procedures</w:t>
      </w:r>
    </w:p>
    <w:p w:rsidR="00000000" w:rsidRPr="006D5BB8" w:rsidP="006D5BB8">
      <w:pPr>
        <w:pStyle w:val="ListBullet"/>
      </w:pPr>
      <w:r w:rsidRPr="006D5BB8">
        <w:t>recognise ea</w:t>
      </w:r>
      <w:r w:rsidRPr="006D5BB8">
        <w:t xml:space="preserve">rly warning signs of equipment/processes needing attention or with potential problems </w:t>
      </w:r>
    </w:p>
    <w:p w:rsidR="00000000" w:rsidRPr="006D5BB8" w:rsidP="006D5BB8">
      <w:pPr>
        <w:pStyle w:val="ListBullet"/>
      </w:pPr>
      <w:r w:rsidRPr="006D5BB8">
        <w:t>convey information relevant to the operation clearly and effectively</w:t>
      </w:r>
    </w:p>
    <w:p w:rsidR="00000000" w:rsidRPr="006D5BB8" w:rsidP="006D5BB8">
      <w:pPr>
        <w:pStyle w:val="ListBullet"/>
      </w:pPr>
      <w:r w:rsidRPr="006D5BB8">
        <w:t xml:space="preserve">identify hazards and apply hazard control procedures </w:t>
      </w:r>
    </w:p>
    <w:p w:rsidR="00000000" w:rsidRPr="006D5BB8" w:rsidP="006D5BB8">
      <w:pPr>
        <w:pStyle w:val="ListBullet"/>
      </w:pPr>
      <w:r w:rsidRPr="006D5BB8">
        <w:t>complete workplace forms.</w:t>
      </w:r>
    </w:p>
    <w:p w:rsidR="00000000" w:rsidRPr="006D5BB8" w:rsidP="006D5BB8">
      <w:pPr>
        <w:pStyle w:val="AllowPageBreak"/>
      </w:pPr>
    </w:p>
    <w:p w:rsidR="00000000" w:rsidRPr="006D5BB8" w:rsidP="006D5BB8">
      <w:pPr>
        <w:pStyle w:val="Heading1"/>
      </w:pPr>
      <w:bookmarkStart w:id="3" w:name="O_907345"/>
      <w:bookmarkEnd w:id="3"/>
      <w:r w:rsidRPr="006D5BB8">
        <w:t>Kno</w:t>
      </w:r>
      <w:r w:rsidRPr="006D5BB8">
        <w:t>wledge Evidence</w:t>
      </w:r>
    </w:p>
    <w:p w:rsidR="00000000" w:rsidRPr="006D5BB8" w:rsidP="004211F9">
      <w:pPr>
        <w:pStyle w:val="BodyText"/>
      </w:pPr>
      <w:r w:rsidRPr="006D5BB8">
        <w:t>Evidence must be provided that demonstrates knowledge of:</w:t>
      </w:r>
    </w:p>
    <w:p w:rsidR="00000000" w:rsidRPr="006D5BB8" w:rsidP="006D5BB8">
      <w:pPr>
        <w:pStyle w:val="ListBullet"/>
      </w:pPr>
      <w:r w:rsidRPr="006D5BB8">
        <w:t>geology relevant to the wells (e.g. coal seam gas (CSG) formation, structure and completions, and coal type and structure)</w:t>
      </w:r>
    </w:p>
    <w:p w:rsidR="00000000" w:rsidRPr="006D5BB8" w:rsidP="006D5BB8">
      <w:pPr>
        <w:pStyle w:val="ListBullet"/>
      </w:pPr>
      <w:r w:rsidRPr="006D5BB8">
        <w:t>well design and construction</w:t>
      </w:r>
    </w:p>
    <w:p w:rsidR="00000000" w:rsidRPr="006D5BB8" w:rsidP="006D5BB8">
      <w:pPr>
        <w:pStyle w:val="ListBullet"/>
      </w:pPr>
      <w:r w:rsidRPr="006D5BB8">
        <w:t>physics and chemistry relevan</w:t>
      </w:r>
      <w:r w:rsidRPr="006D5BB8">
        <w:t>t to the unit and the processes used</w:t>
      </w:r>
    </w:p>
    <w:p w:rsidR="00000000" w:rsidRPr="006D5BB8" w:rsidP="006D5BB8">
      <w:pPr>
        <w:pStyle w:val="ListBullet"/>
      </w:pPr>
      <w:r w:rsidRPr="006D5BB8">
        <w:t>hydrate formation</w:t>
      </w:r>
    </w:p>
    <w:p w:rsidR="00000000" w:rsidRPr="006D5BB8" w:rsidP="006D5BB8">
      <w:pPr>
        <w:pStyle w:val="ListBullet"/>
      </w:pPr>
      <w:r w:rsidRPr="006D5BB8">
        <w:t>free flow and pumped wells</w:t>
      </w:r>
    </w:p>
    <w:p w:rsidR="00000000" w:rsidRPr="006D5BB8" w:rsidP="006D5BB8">
      <w:pPr>
        <w:pStyle w:val="ListBullet"/>
      </w:pPr>
      <w:r w:rsidRPr="006D5BB8">
        <w:t>pumping principles</w:t>
      </w:r>
    </w:p>
    <w:p w:rsidR="00000000" w:rsidRPr="006D5BB8" w:rsidP="006D5BB8">
      <w:pPr>
        <w:pStyle w:val="ListBullet"/>
      </w:pPr>
      <w:r w:rsidRPr="006D5BB8">
        <w:t>gas flow principles</w:t>
      </w:r>
    </w:p>
    <w:p w:rsidR="00000000" w:rsidRPr="006D5BB8" w:rsidP="006D5BB8">
      <w:pPr>
        <w:pStyle w:val="ListBullet"/>
      </w:pPr>
      <w:r w:rsidRPr="006D5BB8">
        <w:t>gas/water separation principles</w:t>
      </w:r>
    </w:p>
    <w:p w:rsidR="00000000" w:rsidRPr="006D5BB8" w:rsidP="006D5BB8">
      <w:pPr>
        <w:pStyle w:val="ListBullet"/>
      </w:pPr>
      <w:r w:rsidRPr="006D5BB8">
        <w:t>draining and venting requirements</w:t>
      </w:r>
    </w:p>
    <w:p w:rsidR="00000000" w:rsidRPr="006D5BB8" w:rsidP="006D5BB8">
      <w:pPr>
        <w:pStyle w:val="ListBullet"/>
      </w:pPr>
      <w:r w:rsidRPr="006D5BB8">
        <w:t>routine problems, faults and typical causes</w:t>
      </w:r>
    </w:p>
    <w:p w:rsidR="00000000" w:rsidRPr="006D5BB8" w:rsidP="006D5BB8">
      <w:pPr>
        <w:pStyle w:val="ListBullet"/>
      </w:pPr>
      <w:r w:rsidRPr="006D5BB8">
        <w:t>process parameters and limits (e.g. temperature, pressure and flow)</w:t>
      </w:r>
    </w:p>
    <w:p w:rsidR="00000000" w:rsidRPr="006D5BB8" w:rsidP="006D5BB8">
      <w:pPr>
        <w:pStyle w:val="ListBullet"/>
      </w:pPr>
      <w:r w:rsidRPr="006D5BB8">
        <w:t>static electricity and earthing</w:t>
      </w:r>
    </w:p>
    <w:p w:rsidR="00000000" w:rsidRPr="006D5BB8" w:rsidP="006D5BB8">
      <w:pPr>
        <w:pStyle w:val="ListBullet"/>
      </w:pPr>
      <w:r w:rsidRPr="006D5BB8">
        <w:t>relevant environmental and heritage requirements</w:t>
      </w:r>
    </w:p>
    <w:p w:rsidR="00000000" w:rsidRPr="006D5BB8" w:rsidP="006D5BB8">
      <w:pPr>
        <w:pStyle w:val="ListBullet"/>
      </w:pPr>
      <w:r w:rsidRPr="006D5BB8">
        <w:t>protective systems</w:t>
      </w:r>
    </w:p>
    <w:p w:rsidR="00000000" w:rsidRPr="006D5BB8" w:rsidP="006D5BB8">
      <w:pPr>
        <w:pStyle w:val="ListBullet"/>
      </w:pPr>
      <w:r w:rsidRPr="006D5BB8">
        <w:t>remote terminal unit, functions, operation and problems</w:t>
      </w:r>
    </w:p>
    <w:p w:rsidR="00000000" w:rsidRPr="006D5BB8" w:rsidP="006D5BB8">
      <w:pPr>
        <w:pStyle w:val="ListBullet"/>
      </w:pPr>
      <w:r w:rsidRPr="006D5BB8">
        <w:t>hierarchy of control</w:t>
      </w:r>
    </w:p>
    <w:p w:rsidR="00000000" w:rsidRPr="006D5BB8" w:rsidP="006D5BB8">
      <w:pPr>
        <w:pStyle w:val="ListBullet"/>
      </w:pPr>
      <w:r w:rsidRPr="006D5BB8">
        <w:t>hazards tha</w:t>
      </w:r>
      <w:r w:rsidRPr="006D5BB8">
        <w:t>t may arise in the job/work environment, and:</w:t>
      </w:r>
    </w:p>
    <w:p w:rsidR="00000000" w:rsidRPr="006D5BB8" w:rsidP="006D5BB8">
      <w:pPr>
        <w:pStyle w:val="ListBullet2"/>
      </w:pPr>
      <w:r w:rsidRPr="006D5BB8">
        <w:t xml:space="preserve">their possible causes </w:t>
      </w:r>
    </w:p>
    <w:p w:rsidR="00000000" w:rsidRPr="006D5BB8" w:rsidP="006D5BB8">
      <w:pPr>
        <w:pStyle w:val="ListBullet2"/>
      </w:pPr>
      <w:r w:rsidRPr="006D5BB8">
        <w:t>potential consequences</w:t>
      </w:r>
    </w:p>
    <w:p w:rsidR="00000000" w:rsidRPr="006D5BB8" w:rsidP="006D5BB8">
      <w:pPr>
        <w:pStyle w:val="ListBullet2"/>
      </w:pPr>
      <w:r w:rsidRPr="006D5BB8">
        <w:t>appropriate risk controls.</w:t>
      </w:r>
    </w:p>
    <w:p w:rsidR="00000000" w:rsidRPr="006D5BB8" w:rsidP="006D5BB8">
      <w:pPr>
        <w:pStyle w:val="AllowPageBreak"/>
      </w:pPr>
    </w:p>
    <w:p w:rsidR="00000000" w:rsidRPr="006D5BB8" w:rsidP="006D5BB8">
      <w:pPr>
        <w:pStyle w:val="Heading1"/>
      </w:pPr>
      <w:bookmarkStart w:id="4" w:name="O_907344"/>
      <w:bookmarkEnd w:id="4"/>
      <w:r w:rsidRPr="006D5BB8">
        <w:t>Assessment Conditions</w:t>
      </w:r>
    </w:p>
    <w:p w:rsidR="00000000" w:rsidRPr="006D5BB8" w:rsidP="006D5BB8">
      <w:pPr>
        <w:pStyle w:val="ListBullet"/>
      </w:pPr>
      <w:r w:rsidRPr="006D5BB8">
        <w:t xml:space="preserve">The unit should be assessed holistically and the judgement of competence based on a holistic </w:t>
      </w:r>
      <w:r w:rsidRPr="006D5BB8">
        <w:t xml:space="preserve">assessment of the evidence. </w:t>
      </w:r>
    </w:p>
    <w:p w:rsidR="00000000" w:rsidRPr="006D5BB8" w:rsidP="006D5BB8">
      <w:pPr>
        <w:pStyle w:val="ListBullet"/>
      </w:pPr>
      <w:r w:rsidRPr="006D5BB8">
        <w:t>Co-assessment with the following unit should be considered:</w:t>
      </w:r>
    </w:p>
    <w:p w:rsidR="00000000" w:rsidRPr="006D5BB8" w:rsidP="006D5BB8">
      <w:pPr>
        <w:pStyle w:val="ListBullet2"/>
      </w:pPr>
      <w:r w:rsidRPr="006D5BB8">
        <w:t>PMASUP236 Operate vehicles in the field</w:t>
      </w:r>
    </w:p>
    <w:p w:rsidR="00000000" w:rsidRPr="006D5BB8" w:rsidP="006D5BB8">
      <w:pPr>
        <w:pStyle w:val="ListBullet"/>
      </w:pPr>
      <w:r w:rsidRPr="006D5BB8">
        <w:t>The collection of performance evidence:</w:t>
      </w:r>
    </w:p>
    <w:p w:rsidR="00000000" w:rsidRPr="006D5BB8" w:rsidP="006D5BB8">
      <w:pPr>
        <w:pStyle w:val="ListBullet2"/>
      </w:pPr>
      <w:r w:rsidRPr="006D5BB8">
        <w:t>should occur over a range of situations which include typical disruptions to normal,</w:t>
      </w:r>
      <w:r w:rsidRPr="006D5BB8">
        <w:t xml:space="preserve"> smooth operation of an operating plant</w:t>
      </w:r>
    </w:p>
    <w:p w:rsidR="00000000" w:rsidRPr="006D5BB8" w:rsidP="006D5BB8">
      <w:pPr>
        <w:pStyle w:val="ListBullet2"/>
      </w:pPr>
      <w:r w:rsidRPr="006D5BB8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6D5BB8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6D5BB8" w:rsidP="006D5BB8">
      <w:pPr>
        <w:pStyle w:val="ListBullet2"/>
      </w:pPr>
      <w:r w:rsidRPr="006D5BB8">
        <w:t>must include the use of an appropriate industrial item of equipment requiring de</w:t>
      </w:r>
      <w:r w:rsidRPr="006D5BB8">
        <w:t>monstration of monitoring and responding to problems</w:t>
      </w:r>
    </w:p>
    <w:p w:rsidR="00000000" w:rsidRPr="006D5BB8" w:rsidP="006D5BB8">
      <w:pPr>
        <w:pStyle w:val="ListBullet2"/>
      </w:pPr>
      <w:r w:rsidRPr="006D5BB8">
        <w:t>may use industry-based simulation for part only of the unit where safety, lack of opportunity or significant cost is an issue.</w:t>
      </w:r>
    </w:p>
    <w:p w:rsidR="00000000" w:rsidRPr="006D5BB8" w:rsidP="006D5BB8">
      <w:pPr>
        <w:pStyle w:val="ListBullet"/>
      </w:pPr>
      <w:r w:rsidRPr="006D5BB8">
        <w:t xml:space="preserve">Assessment should occur in operational workplace situations. Where this is </w:t>
      </w:r>
      <w:r w:rsidRPr="006D5BB8">
        <w:t>not possible, or where personal safety or environmental damage are limiting factors, assessment must occur in a sufficiently rigorous simulated environment reflecting realistic operational workplace conditions. This must cover all aspects of workplace perf</w:t>
      </w:r>
      <w:r w:rsidRPr="006D5BB8">
        <w:t xml:space="preserve">ormance, including environment, task skills, task management skills, contingency management skills and job role environment skills. </w:t>
      </w:r>
    </w:p>
    <w:p w:rsidR="00000000" w:rsidRPr="006D5BB8" w:rsidP="006D5BB8">
      <w:pPr>
        <w:pStyle w:val="ListBullet"/>
      </w:pPr>
      <w:r w:rsidRPr="006D5BB8">
        <w:t xml:space="preserve">Assessment in a simulated environment should use evidence collected from one or more of: </w:t>
      </w:r>
    </w:p>
    <w:p w:rsidR="00000000" w:rsidRPr="006D5BB8" w:rsidP="006D5BB8">
      <w:pPr>
        <w:pStyle w:val="ListBullet2"/>
      </w:pPr>
      <w:r w:rsidRPr="006D5BB8">
        <w:t>walk-throughs</w:t>
      </w:r>
    </w:p>
    <w:p w:rsidR="00000000" w:rsidRPr="006D5BB8" w:rsidP="006D5BB8">
      <w:pPr>
        <w:pStyle w:val="ListBullet2"/>
      </w:pPr>
      <w:r w:rsidRPr="006D5BB8">
        <w:t>pilot plant operat</w:t>
      </w:r>
      <w:r w:rsidRPr="006D5BB8">
        <w:t>ion</w:t>
      </w:r>
    </w:p>
    <w:p w:rsidR="00000000" w:rsidRPr="006D5BB8" w:rsidP="006D5BB8">
      <w:pPr>
        <w:pStyle w:val="ListBullet2"/>
      </w:pPr>
      <w:r w:rsidRPr="006D5BB8">
        <w:t xml:space="preserve">demonstration of skills </w:t>
      </w:r>
    </w:p>
    <w:p w:rsidR="00000000" w:rsidRPr="006D5BB8" w:rsidP="006D5BB8">
      <w:pPr>
        <w:pStyle w:val="ListBullet2"/>
      </w:pPr>
      <w:r w:rsidRPr="006D5BB8">
        <w:t xml:space="preserve">industrybased case studies/scenarios </w:t>
      </w:r>
    </w:p>
    <w:p w:rsidR="00000000" w:rsidRPr="006D5BB8" w:rsidP="006D5BB8">
      <w:pPr>
        <w:pStyle w:val="ListBullet2"/>
      </w:pPr>
      <w:r w:rsidRPr="006D5BB8">
        <w:t>‘what ifs’.</w:t>
      </w:r>
    </w:p>
    <w:p w:rsidR="00000000" w:rsidRPr="006D5BB8" w:rsidP="006D5BB8">
      <w:pPr>
        <w:pStyle w:val="ListBullet"/>
      </w:pPr>
      <w:r w:rsidRPr="006D5BB8">
        <w:t xml:space="preserve">Knowledge evidence may be collected concurrently with performance evidence (provided a record </w:t>
      </w:r>
      <w:r w:rsidRPr="006D5BB8">
        <w:t>is kept) or through an independent process, such as workbooks, written assessments or interviews (provided a record is kept).</w:t>
      </w:r>
    </w:p>
    <w:p w:rsidR="00000000" w:rsidRPr="006D5BB8" w:rsidP="006D5BB8">
      <w:pPr>
        <w:pStyle w:val="ListBullet"/>
      </w:pPr>
      <w:r w:rsidRPr="006D5BB8">
        <w:t>Assessment processes and techniques must be appropriate to the language, literacy and numeracy requirements of the work being perf</w:t>
      </w:r>
      <w:r w:rsidRPr="006D5BB8">
        <w:t>ormed and the needs of the candidate.</w:t>
      </w:r>
    </w:p>
    <w:p w:rsidR="00000000" w:rsidRPr="006D5BB8" w:rsidP="006D5BB8">
      <w:pPr>
        <w:pStyle w:val="ListBullet"/>
      </w:pPr>
      <w:r w:rsidRPr="006D5BB8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D5BB8" w:rsidP="006D5BB8">
      <w:pPr>
        <w:pStyle w:val="ListBullet"/>
      </w:pPr>
      <w:r w:rsidRPr="006D5BB8">
        <w:t>The regulatory framework will be reflected in workplace policies and procedures and is not required to be independently assessed.</w:t>
      </w:r>
    </w:p>
    <w:p w:rsidR="00000000" w:rsidRPr="006D5BB8" w:rsidP="006D5BB8">
      <w:pPr>
        <w:pStyle w:val="ListBullet"/>
      </w:pPr>
      <w:r w:rsidRPr="006D5BB8">
        <w:t>Foundation skills are integral to competent performance of the unit and should not be assessed separately.</w:t>
      </w:r>
    </w:p>
    <w:p w:rsidR="00000000" w:rsidRPr="006D5BB8" w:rsidP="006D5BB8">
      <w:pPr>
        <w:pStyle w:val="ListBullet"/>
      </w:pPr>
      <w:r w:rsidRPr="006D5BB8">
        <w:t>Assessors must sati</w:t>
      </w:r>
      <w:r w:rsidRPr="006D5BB8">
        <w:t>sfy the assessor competency requirements that are in place at the time of the assessment as set by the VET regulator.</w:t>
      </w:r>
    </w:p>
    <w:p w:rsidR="00000000" w:rsidRPr="006D5BB8" w:rsidP="006D5BB8">
      <w:pPr>
        <w:pStyle w:val="ListBullet"/>
      </w:pPr>
      <w:r w:rsidRPr="006D5BB8">
        <w:t>In addition, the assessor or anyone acting in subject matter expert role in assessment must demonstrate both technical competency and curr</w:t>
      </w:r>
      <w:r w:rsidRPr="006D5BB8">
        <w:t xml:space="preserve">ency. If the assessor cannot demonstrate technical competency and currency they must assess with a subject matter expert who does meet these requirements. </w:t>
      </w:r>
    </w:p>
    <w:p w:rsidR="00000000" w:rsidRPr="006D5BB8" w:rsidP="006D5BB8">
      <w:pPr>
        <w:pStyle w:val="ListBullet"/>
      </w:pPr>
      <w:r w:rsidRPr="006D5BB8">
        <w:t>Technical competence can be demonstrated through one or more of:</w:t>
      </w:r>
    </w:p>
    <w:p w:rsidR="00000000" w:rsidRPr="006D5BB8" w:rsidP="006D5BB8">
      <w:pPr>
        <w:pStyle w:val="ListBullet2"/>
      </w:pPr>
      <w:r w:rsidRPr="006D5BB8">
        <w:t>relevant VET or other qualificatio</w:t>
      </w:r>
      <w:r w:rsidRPr="006D5BB8">
        <w:t xml:space="preserve">n/Statement of Attainment </w:t>
      </w:r>
    </w:p>
    <w:p w:rsidR="00000000" w:rsidRPr="006D5BB8" w:rsidP="006D5BB8">
      <w:pPr>
        <w:pStyle w:val="ListBullet2"/>
      </w:pPr>
      <w:r w:rsidRPr="006D5BB8">
        <w:t xml:space="preserve">appropriate workplace experience undertaking the type of work being assessed under routine and non-routine conditions </w:t>
      </w:r>
    </w:p>
    <w:p w:rsidR="00000000" w:rsidRPr="006D5BB8" w:rsidP="006D5BB8">
      <w:pPr>
        <w:pStyle w:val="ListBullet2"/>
      </w:pPr>
      <w:r w:rsidRPr="006D5BB8">
        <w:t>appropriate workplace experience supervising/evaluating the type of work being assessed under routine and non-</w:t>
      </w:r>
      <w:r w:rsidRPr="006D5BB8">
        <w:t>routine conditions</w:t>
      </w:r>
    </w:p>
    <w:p w:rsidR="00000000" w:rsidRPr="006D5BB8" w:rsidP="006D5BB8">
      <w:pPr>
        <w:pStyle w:val="ListBullet"/>
      </w:pPr>
      <w:r w:rsidRPr="006D5BB8">
        <w:t>Currency can be demonstrated through one or more of:</w:t>
      </w:r>
    </w:p>
    <w:p w:rsidR="00000000" w:rsidRPr="006D5BB8" w:rsidP="006D5BB8">
      <w:pPr>
        <w:pStyle w:val="ListBullet2"/>
      </w:pPr>
      <w:r w:rsidRPr="006D5BB8">
        <w:t xml:space="preserve">being currently employed undertaking the type of work being assessed </w:t>
      </w:r>
    </w:p>
    <w:p w:rsidR="00000000" w:rsidRPr="006D5BB8" w:rsidP="006D5BB8">
      <w:pPr>
        <w:pStyle w:val="ListBullet2"/>
      </w:pPr>
      <w:r w:rsidRPr="006D5BB8">
        <w:t>being employed by the organisation undertaking the type of work being assessed and having maintained currency in</w:t>
      </w:r>
      <w:r w:rsidRPr="006D5BB8">
        <w:t xml:space="preserve"> accordance with that organisation’s policies and procedures </w:t>
      </w:r>
    </w:p>
    <w:p w:rsidR="00000000" w:rsidRPr="006D5BB8" w:rsidP="006D5BB8">
      <w:pPr>
        <w:pStyle w:val="ListBullet2"/>
      </w:pPr>
      <w:r w:rsidRPr="006D5BB8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D5BB8" w:rsidP="006D5BB8">
      <w:pPr>
        <w:pStyle w:val="ListBullet2"/>
      </w:pPr>
      <w:r w:rsidRPr="006D5BB8">
        <w:t xml:space="preserve">conducting on-the-job training/assessments of the type of work being assessed </w:t>
      </w:r>
    </w:p>
    <w:p w:rsidR="00000000" w:rsidRPr="006D5BB8" w:rsidP="006D5BB8">
      <w:pPr>
        <w:pStyle w:val="ListBullet2"/>
      </w:pPr>
      <w:r w:rsidRPr="006D5BB8">
        <w:t>being an active member of a relevant professional body and participating in activities relevant to the assessment of this type of work</w:t>
      </w:r>
    </w:p>
    <w:p w:rsidR="00000000" w:rsidRPr="006D5BB8" w:rsidP="006D5BB8">
      <w:pPr>
        <w:pStyle w:val="AllowPageBreak"/>
      </w:pPr>
    </w:p>
    <w:p w:rsidR="00000000" w:rsidRPr="006D5BB8" w:rsidP="006D5BB8">
      <w:pPr>
        <w:pStyle w:val="Heading1"/>
      </w:pPr>
      <w:bookmarkStart w:id="5" w:name="O_907342"/>
      <w:bookmarkEnd w:id="5"/>
      <w:r w:rsidRPr="006D5BB8">
        <w:t>Links</w:t>
      </w:r>
    </w:p>
    <w:p w:rsidR="00000000" w:rsidRPr="006D5BB8" w:rsidP="004211F9">
      <w:pPr>
        <w:pStyle w:val="BodyText"/>
      </w:pPr>
      <w:r w:rsidRPr="006D5BB8">
        <w:t>Companion Volume im</w:t>
      </w:r>
      <w:r w:rsidRPr="006D5BB8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F798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D5BB8" w:rsidP="006D5BB8"/>
    <w:sectPr w:rsidSect="006D5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B8" w:rsidRPr="004211F9" w:rsidP="00421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F9" w:rsidP="006D5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1F9" w:rsidP="006D5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11F9" w:rsidP="006D5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BB8" w:rsidRPr="004211F9" w:rsidP="00421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F9" w:rsidRPr="002D2AF8" w:rsidP="006D5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PMAOPS233 Monitor wells and gathering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211F9" w:rsidP="006D5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3A1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724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7CE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BB8"/>
  </w:style>
  <w:style w:type="character" w:customStyle="1" w:styleId="Heading1Char">
    <w:name w:val="Heading 1 Char"/>
    <w:basedOn w:val="DefaultParagraphFont"/>
    <w:link w:val="Heading1"/>
    <w:rsid w:val="006D5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B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5B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5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5BB8"/>
    <w:rPr>
      <w:b/>
      <w:spacing w:val="0"/>
    </w:rPr>
  </w:style>
  <w:style w:type="paragraph" w:customStyle="1" w:styleId="SuperTitle">
    <w:name w:val="SuperTitle"/>
    <w:basedOn w:val="Title"/>
    <w:rsid w:val="006D5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B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BB8"/>
    <w:rPr>
      <w:i/>
    </w:rPr>
  </w:style>
  <w:style w:type="paragraph" w:styleId="Caption">
    <w:name w:val="caption"/>
    <w:basedOn w:val="BodyText"/>
    <w:next w:val="Normal"/>
    <w:qFormat/>
    <w:rsid w:val="006D5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BB8"/>
  </w:style>
  <w:style w:type="paragraph" w:styleId="TableofFigures">
    <w:name w:val="table of figures"/>
    <w:basedOn w:val="Normal"/>
    <w:next w:val="Normal"/>
    <w:semiHidden/>
    <w:rsid w:val="006D5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B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BB8"/>
    <w:rPr>
      <w:rFonts w:ascii="Wingdings" w:hAnsi="Wingdings"/>
    </w:rPr>
  </w:style>
  <w:style w:type="paragraph" w:customStyle="1" w:styleId="TableHeading">
    <w:name w:val="Table Heading"/>
    <w:basedOn w:val="HeadingBase"/>
    <w:rsid w:val="006D5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BB8"/>
    <w:rPr>
      <w:color w:val="0033CC"/>
      <w:u w:val="none"/>
    </w:rPr>
  </w:style>
  <w:style w:type="paragraph" w:customStyle="1" w:styleId="BodyTextRight">
    <w:name w:val="Body Text Right"/>
    <w:basedOn w:val="BodyText"/>
    <w:rsid w:val="006D5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B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BB8"/>
    <w:rPr>
      <w:sz w:val="32"/>
    </w:rPr>
  </w:style>
  <w:style w:type="paragraph" w:customStyle="1" w:styleId="HeadingProcedure">
    <w:name w:val="Heading Procedure"/>
    <w:basedOn w:val="HeadingBase"/>
    <w:next w:val="Normal"/>
    <w:rsid w:val="006D5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BB8"/>
    <w:pPr>
      <w:spacing w:before="60" w:after="60"/>
    </w:pPr>
  </w:style>
  <w:style w:type="paragraph" w:styleId="ListContinue">
    <w:name w:val="List Continue"/>
    <w:basedOn w:val="List"/>
    <w:rsid w:val="006D5BB8"/>
    <w:pPr>
      <w:ind w:firstLine="0"/>
    </w:pPr>
  </w:style>
  <w:style w:type="paragraph" w:customStyle="1" w:styleId="ListNote">
    <w:name w:val="List Note"/>
    <w:basedOn w:val="List"/>
    <w:rsid w:val="006D5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BB8"/>
    <w:rPr>
      <w:rFonts w:ascii="Courier New" w:hAnsi="Courier New"/>
    </w:rPr>
  </w:style>
  <w:style w:type="paragraph" w:customStyle="1" w:styleId="NoteBullet">
    <w:name w:val="Note Bullet"/>
    <w:basedOn w:val="Note"/>
    <w:rsid w:val="006D5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B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BB8"/>
    <w:rPr>
      <w:b/>
      <w:smallCaps/>
    </w:rPr>
  </w:style>
  <w:style w:type="paragraph" w:customStyle="1" w:styleId="TableListNumber">
    <w:name w:val="Table List Number"/>
    <w:basedOn w:val="ListNumber"/>
    <w:rsid w:val="006D5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BB8"/>
    <w:pPr>
      <w:numPr>
        <w:numId w:val="9"/>
      </w:numPr>
    </w:pPr>
  </w:style>
  <w:style w:type="paragraph" w:customStyle="1" w:styleId="ListAlpha2">
    <w:name w:val="List Alpha 2"/>
    <w:basedOn w:val="List2"/>
    <w:rsid w:val="006D5BB8"/>
    <w:pPr>
      <w:numPr>
        <w:numId w:val="8"/>
      </w:numPr>
    </w:pPr>
  </w:style>
  <w:style w:type="paragraph" w:styleId="List2">
    <w:name w:val="List 2"/>
    <w:basedOn w:val="BodyText"/>
    <w:rsid w:val="006D5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B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B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BB8"/>
    <w:pPr>
      <w:numPr>
        <w:numId w:val="4"/>
      </w:numPr>
    </w:pPr>
  </w:style>
  <w:style w:type="paragraph" w:styleId="ListContinue2">
    <w:name w:val="List Continue 2"/>
    <w:basedOn w:val="List2"/>
    <w:rsid w:val="006D5BB8"/>
    <w:pPr>
      <w:ind w:firstLine="0"/>
    </w:pPr>
  </w:style>
  <w:style w:type="paragraph" w:styleId="ListContinue3">
    <w:name w:val="List Continue 3"/>
    <w:basedOn w:val="List3"/>
    <w:rsid w:val="006D5BB8"/>
    <w:pPr>
      <w:ind w:left="1021" w:firstLine="0"/>
    </w:pPr>
  </w:style>
  <w:style w:type="paragraph" w:styleId="ListContinue4">
    <w:name w:val="List Continue 4"/>
    <w:basedOn w:val="List4"/>
    <w:rsid w:val="006D5BB8"/>
    <w:pPr>
      <w:ind w:firstLine="0"/>
    </w:pPr>
  </w:style>
  <w:style w:type="paragraph" w:styleId="ListContinue5">
    <w:name w:val="List Continue 5"/>
    <w:basedOn w:val="List5"/>
    <w:rsid w:val="006D5BB8"/>
    <w:pPr>
      <w:ind w:firstLine="0"/>
    </w:pPr>
  </w:style>
  <w:style w:type="paragraph" w:styleId="ListNumber3">
    <w:name w:val="List Number 3"/>
    <w:basedOn w:val="List3"/>
    <w:rsid w:val="006D5BB8"/>
    <w:pPr>
      <w:numPr>
        <w:numId w:val="5"/>
      </w:numPr>
    </w:pPr>
  </w:style>
  <w:style w:type="paragraph" w:styleId="ListNumber4">
    <w:name w:val="List Number 4"/>
    <w:basedOn w:val="List4"/>
    <w:rsid w:val="006D5BB8"/>
    <w:pPr>
      <w:numPr>
        <w:numId w:val="6"/>
      </w:numPr>
    </w:pPr>
  </w:style>
  <w:style w:type="paragraph" w:styleId="ListNumber5">
    <w:name w:val="List Number 5"/>
    <w:basedOn w:val="List5"/>
    <w:rsid w:val="006D5BB8"/>
    <w:pPr>
      <w:numPr>
        <w:numId w:val="7"/>
      </w:numPr>
    </w:pPr>
  </w:style>
  <w:style w:type="paragraph" w:styleId="BlockText">
    <w:name w:val="Block Text"/>
    <w:basedOn w:val="Normal"/>
    <w:rsid w:val="006D5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BB8"/>
    <w:rPr>
      <w:sz w:val="16"/>
      <w:vertAlign w:val="superscript"/>
    </w:rPr>
  </w:style>
  <w:style w:type="character" w:customStyle="1" w:styleId="Symbols">
    <w:name w:val="Symbols"/>
    <w:basedOn w:val="DefaultParagraphFont"/>
    <w:rsid w:val="006D5BB8"/>
    <w:rPr>
      <w:rFonts w:ascii="Symbol" w:hAnsi="Symbol"/>
    </w:rPr>
  </w:style>
  <w:style w:type="character" w:customStyle="1" w:styleId="MenuOptions">
    <w:name w:val="Menu Options"/>
    <w:basedOn w:val="DefaultParagraphFont"/>
    <w:rsid w:val="006D5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BB8"/>
    <w:rPr>
      <w:b/>
    </w:rPr>
  </w:style>
  <w:style w:type="character" w:customStyle="1" w:styleId="Underlined">
    <w:name w:val="Underlined"/>
    <w:basedOn w:val="DefaultParagraphFont"/>
    <w:rsid w:val="006D5BB8"/>
    <w:rPr>
      <w:u w:val="single"/>
    </w:rPr>
  </w:style>
  <w:style w:type="paragraph" w:customStyle="1" w:styleId="TableBodyTextRight">
    <w:name w:val="Table Body Text Right"/>
    <w:basedOn w:val="TableBodyText"/>
    <w:rsid w:val="006D5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BB8"/>
    <w:rPr>
      <w:sz w:val="18"/>
    </w:rPr>
  </w:style>
  <w:style w:type="paragraph" w:customStyle="1" w:styleId="BodySmallRight">
    <w:name w:val="Body Small Right"/>
    <w:basedOn w:val="BodyTextRight"/>
    <w:rsid w:val="006D5BB8"/>
    <w:rPr>
      <w:sz w:val="18"/>
      <w:szCs w:val="18"/>
    </w:rPr>
  </w:style>
  <w:style w:type="paragraph" w:customStyle="1" w:styleId="MarginEdition">
    <w:name w:val="Margin Edition"/>
    <w:basedOn w:val="MarginNote"/>
    <w:rsid w:val="006D5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BB8"/>
    <w:rPr>
      <w:sz w:val="2"/>
      <w:szCs w:val="2"/>
    </w:rPr>
  </w:style>
  <w:style w:type="character" w:customStyle="1" w:styleId="Small">
    <w:name w:val="Small"/>
    <w:basedOn w:val="DefaultParagraphFont"/>
    <w:rsid w:val="006D5BB8"/>
    <w:rPr>
      <w:sz w:val="16"/>
    </w:rPr>
  </w:style>
  <w:style w:type="paragraph" w:customStyle="1" w:styleId="WideTable">
    <w:name w:val="Wide Table"/>
    <w:basedOn w:val="Normal"/>
    <w:rsid w:val="006D5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BB8"/>
  </w:style>
  <w:style w:type="paragraph" w:styleId="Quote">
    <w:name w:val="Quote"/>
    <w:basedOn w:val="Heading1"/>
    <w:link w:val="QuoteChar"/>
    <w:qFormat/>
    <w:rsid w:val="006D5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BB8"/>
    <w:pPr>
      <w:pageBreakBefore/>
    </w:pPr>
  </w:style>
  <w:style w:type="paragraph" w:customStyle="1" w:styleId="Border">
    <w:name w:val="Border"/>
    <w:basedOn w:val="Normal"/>
    <w:qFormat/>
    <w:rsid w:val="006D5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BB8"/>
    <w:rPr>
      <w:u w:val="single"/>
    </w:rPr>
  </w:style>
  <w:style w:type="character" w:customStyle="1" w:styleId="BoldandItalics">
    <w:name w:val="Bold and Italics"/>
    <w:qFormat/>
    <w:rsid w:val="006D5BB8"/>
    <w:rPr>
      <w:b/>
      <w:i/>
      <w:u w:val="none"/>
    </w:rPr>
  </w:style>
  <w:style w:type="paragraph" w:styleId="BalloonText">
    <w:name w:val="Balloon Text"/>
    <w:basedOn w:val="Normal"/>
    <w:link w:val="BalloonTextChar"/>
    <w:rsid w:val="006D5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BB8"/>
    <w:pPr>
      <w:spacing w:before="0" w:after="0"/>
    </w:pPr>
  </w:style>
  <w:style w:type="paragraph" w:customStyle="1" w:styleId="BodyTextBold">
    <w:name w:val="Body Text Bold"/>
    <w:basedOn w:val="BodyText"/>
    <w:qFormat/>
    <w:rsid w:val="006D5BB8"/>
    <w:rPr>
      <w:b/>
    </w:rPr>
  </w:style>
  <w:style w:type="character" w:styleId="Hyperlink">
    <w:name w:val="Hyperlink"/>
    <w:basedOn w:val="DefaultParagraphFont"/>
    <w:uiPriority w:val="99"/>
    <w:unhideWhenUsed/>
    <w:rsid w:val="00421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5217</Characters>
  <Application>Microsoft Office Word</Application>
  <DocSecurity>0</DocSecurity>
  <Lines>115</Lines>
  <Paragraphs>81</Paragraphs>
  <ScaleCrop>false</ScaleCrop>
  <Company>Author-it Software Corporation Ltd.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PMAOPS233 Monitor wells and gathering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2022-09-21T04:40:00Z</dcterms:modified>
</cp:coreProperties>
</file>