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CB6" w:rsidP="00360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PMAOPS231 Control gas odourisation</w:t>
      </w:r>
      <w:r>
        <w:fldChar w:fldCharType="end"/>
      </w:r>
    </w:p>
    <w:p w:rsidR="00360CB6" w:rsidP="00360CB6">
      <w:pPr>
        <w:pStyle w:val="Version"/>
        <w:sectPr w:rsidSect="00505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6F2" w:rsidP="005056F2">
      <w:pPr>
        <w:pStyle w:val="SuperHeading"/>
      </w:pPr>
      <w:r w:rsidRPr="005056F2">
        <w:t>Assessment Requirements for PMAOPS231 Control gas odourisation</w:t>
      </w:r>
    </w:p>
    <w:p w:rsidR="00000000" w:rsidRPr="005056F2" w:rsidP="005056F2">
      <w:pPr>
        <w:pStyle w:val="Heading1"/>
      </w:pPr>
      <w:bookmarkStart w:id="1" w:name="O_907305"/>
      <w:bookmarkEnd w:id="1"/>
      <w:r w:rsidRPr="005056F2">
        <w:t>Modification History</w:t>
      </w:r>
    </w:p>
    <w:p w:rsidR="00000000" w:rsidRPr="005056F2" w:rsidP="00360CB6">
      <w:pPr>
        <w:pStyle w:val="BodyText"/>
      </w:pPr>
      <w:r w:rsidRPr="005056F2">
        <w:t>Release 1. Supersedes and is equivalent to PMAOPS231B Control gas odourisation</w:t>
      </w:r>
    </w:p>
    <w:p w:rsidR="00000000" w:rsidRPr="005056F2" w:rsidP="005056F2">
      <w:pPr>
        <w:pStyle w:val="Heading1"/>
      </w:pPr>
      <w:bookmarkStart w:id="2" w:name="O_907308"/>
      <w:bookmarkEnd w:id="2"/>
      <w:r w:rsidRPr="005056F2">
        <w:t>Performance Evidence</w:t>
      </w:r>
    </w:p>
    <w:p w:rsidR="00000000" w:rsidRPr="005056F2" w:rsidP="00360CB6">
      <w:pPr>
        <w:pStyle w:val="BodyText"/>
      </w:pPr>
      <w:r w:rsidRPr="005056F2">
        <w:t>Evidence required to demonstrate competence in this unit must be relevant to and satisfy the requirements of the elements and performance criteria, and include the ability to:</w:t>
      </w:r>
    </w:p>
    <w:p w:rsidR="00000000" w:rsidRPr="005056F2" w:rsidP="005056F2">
      <w:pPr>
        <w:pStyle w:val="ListBullet"/>
      </w:pPr>
      <w:r w:rsidRPr="005056F2">
        <w:t>start up, monitor and adjust injection pumps to maintain odour to specification</w:t>
      </w:r>
      <w:r w:rsidRPr="005056F2">
        <w:t>s</w:t>
      </w:r>
    </w:p>
    <w:p w:rsidR="00000000" w:rsidRPr="005056F2" w:rsidP="005056F2">
      <w:pPr>
        <w:pStyle w:val="ListBullet"/>
      </w:pPr>
      <w:r w:rsidRPr="005056F2">
        <w:t>store, handle, transfer and dispose of odourant waste in accordance with regulatory requirements and safety data sheets (SDS)</w:t>
      </w:r>
    </w:p>
    <w:p w:rsidR="00000000" w:rsidRPr="005056F2" w:rsidP="005056F2">
      <w:pPr>
        <w:pStyle w:val="ListBullet"/>
      </w:pPr>
      <w:r w:rsidRPr="005056F2">
        <w:t>apply shutdown and emergency procedures</w:t>
      </w:r>
    </w:p>
    <w:p w:rsidR="00000000" w:rsidRPr="005056F2" w:rsidP="005056F2">
      <w:pPr>
        <w:pStyle w:val="ListBullet"/>
      </w:pPr>
      <w:r w:rsidRPr="005056F2">
        <w:t>recognise and take specified action on early warning signs of equipment/processes needin</w:t>
      </w:r>
      <w:r w:rsidRPr="005056F2">
        <w:t xml:space="preserve">g attention or with potential problems </w:t>
      </w:r>
    </w:p>
    <w:p w:rsidR="00000000" w:rsidRPr="005056F2" w:rsidP="005056F2">
      <w:pPr>
        <w:pStyle w:val="ListBullet"/>
      </w:pPr>
      <w:r w:rsidRPr="005056F2">
        <w:t>isolate and de-isolate equipment</w:t>
      </w:r>
    </w:p>
    <w:p w:rsidR="00000000" w:rsidRPr="005056F2" w:rsidP="005056F2">
      <w:pPr>
        <w:pStyle w:val="ListBullet"/>
      </w:pPr>
      <w:r w:rsidRPr="005056F2">
        <w:t xml:space="preserve">identify hazards and apply hazard control procedures </w:t>
      </w:r>
    </w:p>
    <w:p w:rsidR="00000000" w:rsidRPr="005056F2" w:rsidP="005056F2">
      <w:pPr>
        <w:pStyle w:val="ListBullet"/>
      </w:pPr>
      <w:r w:rsidRPr="005056F2">
        <w:t>distinguish between causes of problems/alarm/fault indications, including:</w:t>
      </w:r>
    </w:p>
    <w:p w:rsidR="00000000" w:rsidRPr="005056F2" w:rsidP="005056F2">
      <w:pPr>
        <w:pStyle w:val="ListBullet2"/>
      </w:pPr>
      <w:r w:rsidRPr="005056F2">
        <w:t>process gas variations</w:t>
      </w:r>
    </w:p>
    <w:p w:rsidR="00000000" w:rsidRPr="005056F2" w:rsidP="005056F2">
      <w:pPr>
        <w:pStyle w:val="ListBullet2"/>
      </w:pPr>
      <w:r w:rsidRPr="005056F2">
        <w:t>instrument failure/wrong readings</w:t>
      </w:r>
    </w:p>
    <w:p w:rsidR="00000000" w:rsidRPr="005056F2" w:rsidP="005056F2">
      <w:pPr>
        <w:pStyle w:val="ListBullet2"/>
      </w:pPr>
      <w:r w:rsidRPr="005056F2">
        <w:t>electrical failures</w:t>
      </w:r>
    </w:p>
    <w:p w:rsidR="00000000" w:rsidRPr="005056F2" w:rsidP="005056F2">
      <w:pPr>
        <w:pStyle w:val="ListBullet2"/>
      </w:pPr>
      <w:r w:rsidRPr="005056F2">
        <w:t>mechanical failures</w:t>
      </w:r>
    </w:p>
    <w:p w:rsidR="00000000" w:rsidRPr="005056F2" w:rsidP="005056F2">
      <w:pPr>
        <w:pStyle w:val="ListBullet2"/>
      </w:pPr>
      <w:r w:rsidRPr="005056F2">
        <w:t>operational problems.</w:t>
      </w:r>
    </w:p>
    <w:p w:rsidR="00000000" w:rsidRPr="005056F2" w:rsidP="005056F2">
      <w:pPr>
        <w:pStyle w:val="AllowPageBreak"/>
      </w:pPr>
    </w:p>
    <w:p w:rsidR="00000000" w:rsidRPr="005056F2" w:rsidP="005056F2">
      <w:pPr>
        <w:pStyle w:val="Heading1"/>
      </w:pPr>
      <w:bookmarkStart w:id="3" w:name="O_907307"/>
      <w:bookmarkEnd w:id="3"/>
      <w:r w:rsidRPr="005056F2">
        <w:t>Knowledge Evidence</w:t>
      </w:r>
    </w:p>
    <w:p w:rsidR="00000000" w:rsidRPr="005056F2" w:rsidP="00360CB6">
      <w:pPr>
        <w:pStyle w:val="BodyText"/>
      </w:pPr>
      <w:r w:rsidRPr="005056F2">
        <w:t>Evidence must be provided that demonstrates knowledge of:</w:t>
      </w:r>
    </w:p>
    <w:p w:rsidR="00000000" w:rsidRPr="005056F2" w:rsidP="005056F2">
      <w:pPr>
        <w:pStyle w:val="ListBullet"/>
      </w:pPr>
      <w:r w:rsidRPr="005056F2">
        <w:t>gas odourisation systems and their component functions</w:t>
      </w:r>
    </w:p>
    <w:p w:rsidR="00000000" w:rsidRPr="005056F2" w:rsidP="005056F2">
      <w:pPr>
        <w:pStyle w:val="ListBullet"/>
      </w:pPr>
      <w:r w:rsidRPr="005056F2">
        <w:t>principles</w:t>
      </w:r>
      <w:r w:rsidRPr="005056F2">
        <w:t xml:space="preserve"> of operation of plant/equipment </w:t>
      </w:r>
    </w:p>
    <w:p w:rsidR="00000000" w:rsidRPr="005056F2" w:rsidP="005056F2">
      <w:pPr>
        <w:pStyle w:val="ListBullet"/>
      </w:pPr>
      <w:r w:rsidRPr="005056F2">
        <w:t>physics and chemistry relevant to the process unit and the materials processed</w:t>
      </w:r>
    </w:p>
    <w:p w:rsidR="00000000" w:rsidRPr="005056F2" w:rsidP="005056F2">
      <w:pPr>
        <w:pStyle w:val="ListBullet"/>
      </w:pPr>
      <w:r w:rsidRPr="005056F2">
        <w:t>nature/condition of materials entering and leaving each stage of the process</w:t>
      </w:r>
    </w:p>
    <w:p w:rsidR="00000000" w:rsidRPr="005056F2" w:rsidP="005056F2">
      <w:pPr>
        <w:pStyle w:val="ListBullet"/>
      </w:pPr>
      <w:r w:rsidRPr="005056F2">
        <w:t>process parameters and limits, e.g. temperature, pressure and flow</w:t>
      </w:r>
    </w:p>
    <w:p w:rsidR="00000000" w:rsidRPr="005056F2" w:rsidP="005056F2">
      <w:pPr>
        <w:pStyle w:val="ListBullet"/>
      </w:pPr>
      <w:r w:rsidRPr="005056F2">
        <w:t>routine problems, faults, their symptoms and resolution</w:t>
      </w:r>
    </w:p>
    <w:p w:rsidR="00000000" w:rsidRPr="005056F2" w:rsidP="005056F2">
      <w:pPr>
        <w:pStyle w:val="ListBullet"/>
      </w:pPr>
      <w:r w:rsidRPr="005056F2">
        <w:t>correct methods of starting, stopping, operating and controlling process</w:t>
      </w:r>
    </w:p>
    <w:p w:rsidR="00000000" w:rsidRPr="005056F2" w:rsidP="005056F2">
      <w:pPr>
        <w:pStyle w:val="ListBullet"/>
      </w:pPr>
      <w:r w:rsidRPr="005056F2">
        <w:t>hazards that may arise in the job/work environment, and:</w:t>
      </w:r>
    </w:p>
    <w:p w:rsidR="00000000" w:rsidRPr="005056F2" w:rsidP="005056F2">
      <w:pPr>
        <w:pStyle w:val="ListBullet2"/>
      </w:pPr>
      <w:r w:rsidRPr="005056F2">
        <w:t xml:space="preserve">their possible causes </w:t>
      </w:r>
    </w:p>
    <w:p w:rsidR="00000000" w:rsidRPr="005056F2" w:rsidP="005056F2">
      <w:pPr>
        <w:pStyle w:val="ListBullet2"/>
      </w:pPr>
      <w:r w:rsidRPr="005056F2">
        <w:t>potential consequences</w:t>
      </w:r>
    </w:p>
    <w:p w:rsidR="00000000" w:rsidRPr="005056F2" w:rsidP="005056F2">
      <w:pPr>
        <w:pStyle w:val="ListBullet2"/>
      </w:pPr>
      <w:r w:rsidRPr="005056F2">
        <w:t>ap</w:t>
      </w:r>
      <w:r w:rsidRPr="005056F2">
        <w:t>propriate risk controls.</w:t>
      </w:r>
    </w:p>
    <w:p w:rsidR="00000000" w:rsidRPr="005056F2" w:rsidP="005056F2">
      <w:pPr>
        <w:pStyle w:val="AllowPageBreak"/>
      </w:pPr>
    </w:p>
    <w:p w:rsidR="00000000" w:rsidRPr="005056F2" w:rsidP="005056F2">
      <w:pPr>
        <w:pStyle w:val="Heading1"/>
      </w:pPr>
      <w:bookmarkStart w:id="4" w:name="O_907306"/>
      <w:bookmarkEnd w:id="4"/>
      <w:r w:rsidRPr="005056F2">
        <w:t>Assessment Conditions</w:t>
      </w:r>
    </w:p>
    <w:p w:rsidR="00000000" w:rsidRPr="005056F2" w:rsidP="005056F2">
      <w:pPr>
        <w:pStyle w:val="ListBullet"/>
      </w:pPr>
      <w:r w:rsidRPr="005056F2">
        <w:t xml:space="preserve">The unit should be assessed holistically and the judgement of competence based on a holistic assessment of the evidence. </w:t>
      </w:r>
    </w:p>
    <w:p w:rsidR="00000000" w:rsidRPr="005056F2" w:rsidP="005056F2">
      <w:pPr>
        <w:pStyle w:val="ListBullet"/>
      </w:pPr>
      <w:r w:rsidRPr="005056F2">
        <w:t>The collection of performance evidence:</w:t>
      </w:r>
    </w:p>
    <w:p w:rsidR="00000000" w:rsidRPr="005056F2" w:rsidP="005056F2">
      <w:pPr>
        <w:pStyle w:val="ListBullet2"/>
      </w:pPr>
      <w:r w:rsidRPr="005056F2">
        <w:t>should occur over a range of</w:t>
      </w:r>
      <w:r w:rsidRPr="005056F2">
        <w:t xml:space="preserve"> situations which include typical disruptions to normal, smooth operation of an operating plant</w:t>
      </w:r>
    </w:p>
    <w:p w:rsidR="00000000" w:rsidRPr="005056F2" w:rsidP="005056F2">
      <w:pPr>
        <w:pStyle w:val="ListBullet2"/>
      </w:pPr>
      <w:r w:rsidRPr="005056F2">
        <w:t>will typically include a supervisor/third-party report or other evidence, focusing on consistent performance and problem recognition and solving. A supervisor/t</w:t>
      </w:r>
      <w:r w:rsidRPr="005056F2">
        <w:t xml:space="preserve">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5056F2" w:rsidP="005056F2">
      <w:pPr>
        <w:pStyle w:val="ListBullet2"/>
      </w:pPr>
      <w:r w:rsidRPr="005056F2">
        <w:t xml:space="preserve">must include the use of </w:t>
      </w:r>
      <w:r w:rsidRPr="005056F2">
        <w:t>an appropriate industrial item of equipment requiring demonstration of operation, start-up and shutdown procedures and responding to problems</w:t>
      </w:r>
    </w:p>
    <w:p w:rsidR="00000000" w:rsidRPr="005056F2" w:rsidP="005056F2">
      <w:pPr>
        <w:pStyle w:val="ListBullet2"/>
      </w:pPr>
      <w:r w:rsidRPr="005056F2">
        <w:t xml:space="preserve">may use industry-based simulation for part only of the unit where safety, lack of opportunity or significant cost </w:t>
      </w:r>
      <w:r w:rsidRPr="005056F2">
        <w:t>is an issue.</w:t>
      </w:r>
    </w:p>
    <w:p w:rsidR="00000000" w:rsidRPr="005056F2" w:rsidP="005056F2">
      <w:pPr>
        <w:pStyle w:val="ListBullet"/>
      </w:pPr>
      <w:r w:rsidRPr="005056F2">
        <w:t xml:space="preserve">Assessment should occur in operational workplace situations. Where this is not possible, or where personal safety or environmental damage are limiting factors, assessment must occur in a sufficiently rigorous simulated environment reflecting </w:t>
      </w:r>
      <w:r w:rsidRPr="005056F2">
        <w:t xml:space="preserve">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5056F2" w:rsidP="005056F2">
      <w:pPr>
        <w:pStyle w:val="ListBullet"/>
      </w:pPr>
      <w:r w:rsidRPr="005056F2">
        <w:t>Assessment in a simulated environm</w:t>
      </w:r>
      <w:r w:rsidRPr="005056F2">
        <w:t xml:space="preserve">ent should use evidence collected from one or more of: </w:t>
      </w:r>
    </w:p>
    <w:p w:rsidR="00000000" w:rsidRPr="005056F2" w:rsidP="005056F2">
      <w:pPr>
        <w:pStyle w:val="ListBullet2"/>
      </w:pPr>
      <w:r w:rsidRPr="005056F2">
        <w:t>walk-throughs</w:t>
      </w:r>
    </w:p>
    <w:p w:rsidR="00000000" w:rsidRPr="005056F2" w:rsidP="005056F2">
      <w:pPr>
        <w:pStyle w:val="ListBullet2"/>
      </w:pPr>
      <w:r w:rsidRPr="005056F2">
        <w:t>pilot plant operation</w:t>
      </w:r>
    </w:p>
    <w:p w:rsidR="00000000" w:rsidRPr="005056F2" w:rsidP="005056F2">
      <w:pPr>
        <w:pStyle w:val="ListBullet2"/>
      </w:pPr>
      <w:r w:rsidRPr="005056F2">
        <w:t xml:space="preserve">demonstration of skills </w:t>
      </w:r>
    </w:p>
    <w:p w:rsidR="00000000" w:rsidRPr="005056F2" w:rsidP="005056F2">
      <w:pPr>
        <w:pStyle w:val="ListBullet2"/>
      </w:pPr>
      <w:r w:rsidRPr="005056F2">
        <w:t xml:space="preserve">industry-based case studies/scenarios </w:t>
      </w:r>
    </w:p>
    <w:p w:rsidR="00000000" w:rsidRPr="005056F2" w:rsidP="005056F2">
      <w:pPr>
        <w:pStyle w:val="ListBullet2"/>
      </w:pPr>
      <w:r w:rsidRPr="005056F2">
        <w:t>‘what ifs’.</w:t>
      </w:r>
    </w:p>
    <w:p w:rsidR="00000000" w:rsidRPr="005056F2" w:rsidP="005056F2">
      <w:pPr>
        <w:pStyle w:val="ListBullet"/>
      </w:pPr>
      <w:r w:rsidRPr="005056F2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5056F2" w:rsidP="005056F2">
      <w:pPr>
        <w:pStyle w:val="ListBullet"/>
      </w:pPr>
      <w:r w:rsidRPr="005056F2">
        <w:t xml:space="preserve">Assessment processes and techniques </w:t>
      </w:r>
      <w:r w:rsidRPr="005056F2">
        <w:t>must be appropriate to the language, literacy and numeracy requirements of the work being performed and the needs of the candidate.</w:t>
      </w:r>
    </w:p>
    <w:p w:rsidR="00000000" w:rsidRPr="005056F2" w:rsidP="005056F2">
      <w:pPr>
        <w:pStyle w:val="ListBullet"/>
      </w:pPr>
      <w:r w:rsidRPr="005056F2">
        <w:t>Conditions for assessment must include access to all tools, equipment, materials and documentation required, including relev</w:t>
      </w:r>
      <w:r w:rsidRPr="005056F2">
        <w:t>ant workplace procedures, product and manufacturing specifications associated with this unit.</w:t>
      </w:r>
    </w:p>
    <w:p w:rsidR="00000000" w:rsidRPr="005056F2" w:rsidP="005056F2">
      <w:pPr>
        <w:pStyle w:val="ListBullet"/>
      </w:pPr>
      <w:r w:rsidRPr="005056F2">
        <w:t>The regulatory framework will be reflected in workplace policies and procedures and is not required to be independently assessed.</w:t>
      </w:r>
    </w:p>
    <w:p w:rsidR="00000000" w:rsidRPr="005056F2" w:rsidP="005056F2">
      <w:pPr>
        <w:pStyle w:val="ListBullet"/>
      </w:pPr>
      <w:r w:rsidRPr="005056F2">
        <w:t>Foundation skills are integral t</w:t>
      </w:r>
      <w:r w:rsidRPr="005056F2">
        <w:t>o competent performance of the unit and should not be assessed separately.</w:t>
      </w:r>
    </w:p>
    <w:p w:rsidR="00000000" w:rsidRPr="005056F2" w:rsidP="005056F2">
      <w:pPr>
        <w:pStyle w:val="ListBullet"/>
      </w:pPr>
      <w:r w:rsidRPr="005056F2">
        <w:t>Assessors must satisfy the assessor competency requirements that are in place at the time of the assessment as set by the VET regulator.</w:t>
      </w:r>
    </w:p>
    <w:p w:rsidR="00000000" w:rsidRPr="005056F2" w:rsidP="005056F2">
      <w:pPr>
        <w:pStyle w:val="ListBullet"/>
      </w:pPr>
      <w:r w:rsidRPr="005056F2">
        <w:t>In addition, the assessor or anyone acting i</w:t>
      </w:r>
      <w:r w:rsidRPr="005056F2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5056F2" w:rsidP="005056F2">
      <w:pPr>
        <w:pStyle w:val="ListBullet"/>
      </w:pPr>
      <w:r w:rsidRPr="005056F2">
        <w:t>Techni</w:t>
      </w:r>
      <w:r w:rsidRPr="005056F2">
        <w:t>cal competence can be demonstrated through one or more of:</w:t>
      </w:r>
    </w:p>
    <w:p w:rsidR="00000000" w:rsidRPr="005056F2" w:rsidP="005056F2">
      <w:pPr>
        <w:pStyle w:val="ListBullet2"/>
      </w:pPr>
      <w:r w:rsidRPr="005056F2">
        <w:t xml:space="preserve">relevant VET or other qualification/Statement of Attainment </w:t>
      </w:r>
    </w:p>
    <w:p w:rsidR="00000000" w:rsidRPr="005056F2" w:rsidP="005056F2">
      <w:pPr>
        <w:pStyle w:val="ListBullet2"/>
      </w:pPr>
      <w:r w:rsidRPr="005056F2">
        <w:t xml:space="preserve">appropriate workplace experience undertaking the type of work being assessed under routine and non-routine conditions </w:t>
      </w:r>
    </w:p>
    <w:p w:rsidR="00000000" w:rsidRPr="005056F2" w:rsidP="005056F2">
      <w:pPr>
        <w:pStyle w:val="ListBullet2"/>
      </w:pPr>
      <w:r w:rsidRPr="005056F2">
        <w:t>appropriate workplace experience supervising/evaluating the type of work being assessed under routine and non-routine conditions</w:t>
      </w:r>
    </w:p>
    <w:p w:rsidR="00000000" w:rsidRPr="005056F2" w:rsidP="005056F2">
      <w:pPr>
        <w:pStyle w:val="ListBullet"/>
      </w:pPr>
      <w:r w:rsidRPr="005056F2">
        <w:t>Currency can be demonstrated through one or more of:</w:t>
      </w:r>
    </w:p>
    <w:p w:rsidR="00000000" w:rsidRPr="005056F2" w:rsidP="005056F2">
      <w:pPr>
        <w:pStyle w:val="ListBullet2"/>
      </w:pPr>
      <w:r w:rsidRPr="005056F2">
        <w:t xml:space="preserve">being currently employed undertaking the type of work being assessed </w:t>
      </w:r>
    </w:p>
    <w:p w:rsidR="00000000" w:rsidRPr="005056F2" w:rsidP="005056F2">
      <w:pPr>
        <w:pStyle w:val="ListBullet2"/>
      </w:pPr>
      <w:r w:rsidRPr="005056F2">
        <w:t>be</w:t>
      </w:r>
      <w:r w:rsidRPr="005056F2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5056F2" w:rsidP="005056F2">
      <w:pPr>
        <w:pStyle w:val="ListBullet2"/>
      </w:pPr>
      <w:r w:rsidRPr="005056F2">
        <w:t>having consulted/had contact with an organisation undertaking the type of work being</w:t>
      </w:r>
      <w:r w:rsidRPr="005056F2">
        <w:t xml:space="preserve"> assessed within the last twelve months, the consultation/contact being related to assessment </w:t>
      </w:r>
    </w:p>
    <w:p w:rsidR="00000000" w:rsidRPr="005056F2" w:rsidP="005056F2">
      <w:pPr>
        <w:pStyle w:val="ListBullet2"/>
      </w:pPr>
      <w:r w:rsidRPr="005056F2">
        <w:t xml:space="preserve">conducting on-the-job training/assessments of the type of work being assessed </w:t>
      </w:r>
    </w:p>
    <w:p w:rsidR="00000000" w:rsidRPr="005056F2" w:rsidP="005056F2">
      <w:pPr>
        <w:pStyle w:val="ListBullet2"/>
      </w:pPr>
      <w:r w:rsidRPr="005056F2">
        <w:t>being an active member of a relevant professional body and participating in activi</w:t>
      </w:r>
      <w:r w:rsidRPr="005056F2">
        <w:t>ties relevant to the assessment of this type of work.</w:t>
      </w:r>
    </w:p>
    <w:p w:rsidR="00000000" w:rsidRPr="005056F2" w:rsidP="005056F2">
      <w:pPr>
        <w:pStyle w:val="AllowPageBreak"/>
      </w:pPr>
    </w:p>
    <w:p w:rsidR="00000000" w:rsidRPr="005056F2" w:rsidP="005056F2">
      <w:pPr>
        <w:pStyle w:val="Heading1"/>
      </w:pPr>
      <w:bookmarkStart w:id="5" w:name="O_907304"/>
      <w:bookmarkEnd w:id="5"/>
      <w:r w:rsidRPr="005056F2">
        <w:t>Links</w:t>
      </w:r>
    </w:p>
    <w:p w:rsidR="00000000" w:rsidRPr="005056F2" w:rsidP="00360CB6">
      <w:pPr>
        <w:pStyle w:val="BodyText"/>
      </w:pPr>
      <w:r w:rsidRPr="005056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43C0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056F2" w:rsidP="005056F2"/>
    <w:sectPr w:rsidSect="005056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F2" w:rsidRPr="00360CB6" w:rsidP="00360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6" w:rsidP="00505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CB6" w:rsidP="00505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0CB6" w:rsidP="00505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6F2" w:rsidRPr="00360CB6" w:rsidP="00360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6" w:rsidRPr="002D2AF8" w:rsidP="00505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PMAOPS231 Control gas odourisation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60CB6" w:rsidP="00505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80E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62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149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6F2"/>
  </w:style>
  <w:style w:type="character" w:customStyle="1" w:styleId="Heading1Char">
    <w:name w:val="Heading 1 Char"/>
    <w:basedOn w:val="DefaultParagraphFont"/>
    <w:link w:val="Heading1"/>
    <w:rsid w:val="00505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6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56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5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6F2"/>
    <w:rPr>
      <w:b/>
      <w:spacing w:val="0"/>
    </w:rPr>
  </w:style>
  <w:style w:type="paragraph" w:customStyle="1" w:styleId="SuperTitle">
    <w:name w:val="SuperTitle"/>
    <w:basedOn w:val="Title"/>
    <w:rsid w:val="00505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6F2"/>
    <w:rPr>
      <w:i/>
    </w:rPr>
  </w:style>
  <w:style w:type="paragraph" w:styleId="Caption">
    <w:name w:val="caption"/>
    <w:basedOn w:val="BodyText"/>
    <w:next w:val="Normal"/>
    <w:qFormat/>
    <w:rsid w:val="00505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6F2"/>
  </w:style>
  <w:style w:type="paragraph" w:styleId="TableofFigures">
    <w:name w:val="table of figures"/>
    <w:basedOn w:val="Normal"/>
    <w:next w:val="Normal"/>
    <w:semiHidden/>
    <w:rsid w:val="00505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6F2"/>
    <w:rPr>
      <w:rFonts w:ascii="Wingdings" w:hAnsi="Wingdings"/>
    </w:rPr>
  </w:style>
  <w:style w:type="paragraph" w:customStyle="1" w:styleId="TableHeading">
    <w:name w:val="Table Heading"/>
    <w:basedOn w:val="HeadingBase"/>
    <w:rsid w:val="00505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6F2"/>
    <w:rPr>
      <w:color w:val="0033CC"/>
      <w:u w:val="none"/>
    </w:rPr>
  </w:style>
  <w:style w:type="paragraph" w:customStyle="1" w:styleId="BodyTextRight">
    <w:name w:val="Body Text Right"/>
    <w:basedOn w:val="BodyText"/>
    <w:rsid w:val="00505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6F2"/>
    <w:rPr>
      <w:sz w:val="32"/>
    </w:rPr>
  </w:style>
  <w:style w:type="paragraph" w:customStyle="1" w:styleId="HeadingProcedure">
    <w:name w:val="Heading Procedure"/>
    <w:basedOn w:val="HeadingBase"/>
    <w:next w:val="Normal"/>
    <w:rsid w:val="00505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6F2"/>
    <w:pPr>
      <w:spacing w:before="60" w:after="60"/>
    </w:pPr>
  </w:style>
  <w:style w:type="paragraph" w:styleId="ListContinue">
    <w:name w:val="List Continue"/>
    <w:basedOn w:val="List"/>
    <w:rsid w:val="005056F2"/>
    <w:pPr>
      <w:ind w:firstLine="0"/>
    </w:pPr>
  </w:style>
  <w:style w:type="paragraph" w:customStyle="1" w:styleId="ListNote">
    <w:name w:val="List Note"/>
    <w:basedOn w:val="List"/>
    <w:rsid w:val="00505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6F2"/>
    <w:rPr>
      <w:rFonts w:ascii="Courier New" w:hAnsi="Courier New"/>
    </w:rPr>
  </w:style>
  <w:style w:type="paragraph" w:customStyle="1" w:styleId="NoteBullet">
    <w:name w:val="Note Bullet"/>
    <w:basedOn w:val="Note"/>
    <w:rsid w:val="00505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6F2"/>
    <w:rPr>
      <w:b/>
      <w:smallCaps/>
    </w:rPr>
  </w:style>
  <w:style w:type="paragraph" w:customStyle="1" w:styleId="TableListNumber">
    <w:name w:val="Table List Number"/>
    <w:basedOn w:val="ListNumber"/>
    <w:rsid w:val="00505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6F2"/>
    <w:pPr>
      <w:numPr>
        <w:numId w:val="9"/>
      </w:numPr>
    </w:pPr>
  </w:style>
  <w:style w:type="paragraph" w:customStyle="1" w:styleId="ListAlpha2">
    <w:name w:val="List Alpha 2"/>
    <w:basedOn w:val="List2"/>
    <w:rsid w:val="005056F2"/>
    <w:pPr>
      <w:numPr>
        <w:numId w:val="8"/>
      </w:numPr>
    </w:pPr>
  </w:style>
  <w:style w:type="paragraph" w:styleId="List2">
    <w:name w:val="List 2"/>
    <w:basedOn w:val="BodyText"/>
    <w:rsid w:val="00505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6F2"/>
    <w:pPr>
      <w:numPr>
        <w:numId w:val="4"/>
      </w:numPr>
    </w:pPr>
  </w:style>
  <w:style w:type="paragraph" w:styleId="ListContinue2">
    <w:name w:val="List Continue 2"/>
    <w:basedOn w:val="List2"/>
    <w:rsid w:val="005056F2"/>
    <w:pPr>
      <w:ind w:firstLine="0"/>
    </w:pPr>
  </w:style>
  <w:style w:type="paragraph" w:styleId="ListContinue3">
    <w:name w:val="List Continue 3"/>
    <w:basedOn w:val="List3"/>
    <w:rsid w:val="005056F2"/>
    <w:pPr>
      <w:ind w:left="1021" w:firstLine="0"/>
    </w:pPr>
  </w:style>
  <w:style w:type="paragraph" w:styleId="ListContinue4">
    <w:name w:val="List Continue 4"/>
    <w:basedOn w:val="List4"/>
    <w:rsid w:val="005056F2"/>
    <w:pPr>
      <w:ind w:firstLine="0"/>
    </w:pPr>
  </w:style>
  <w:style w:type="paragraph" w:styleId="ListContinue5">
    <w:name w:val="List Continue 5"/>
    <w:basedOn w:val="List5"/>
    <w:rsid w:val="005056F2"/>
    <w:pPr>
      <w:ind w:firstLine="0"/>
    </w:pPr>
  </w:style>
  <w:style w:type="paragraph" w:styleId="ListNumber3">
    <w:name w:val="List Number 3"/>
    <w:basedOn w:val="List3"/>
    <w:rsid w:val="005056F2"/>
    <w:pPr>
      <w:numPr>
        <w:numId w:val="5"/>
      </w:numPr>
    </w:pPr>
  </w:style>
  <w:style w:type="paragraph" w:styleId="ListNumber4">
    <w:name w:val="List Number 4"/>
    <w:basedOn w:val="List4"/>
    <w:rsid w:val="005056F2"/>
    <w:pPr>
      <w:numPr>
        <w:numId w:val="6"/>
      </w:numPr>
    </w:pPr>
  </w:style>
  <w:style w:type="paragraph" w:styleId="ListNumber5">
    <w:name w:val="List Number 5"/>
    <w:basedOn w:val="List5"/>
    <w:rsid w:val="005056F2"/>
    <w:pPr>
      <w:numPr>
        <w:numId w:val="7"/>
      </w:numPr>
    </w:pPr>
  </w:style>
  <w:style w:type="paragraph" w:styleId="BlockText">
    <w:name w:val="Block Text"/>
    <w:basedOn w:val="Normal"/>
    <w:rsid w:val="00505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6F2"/>
    <w:rPr>
      <w:sz w:val="16"/>
      <w:vertAlign w:val="superscript"/>
    </w:rPr>
  </w:style>
  <w:style w:type="character" w:customStyle="1" w:styleId="Symbols">
    <w:name w:val="Symbols"/>
    <w:basedOn w:val="DefaultParagraphFont"/>
    <w:rsid w:val="005056F2"/>
    <w:rPr>
      <w:rFonts w:ascii="Symbol" w:hAnsi="Symbol"/>
    </w:rPr>
  </w:style>
  <w:style w:type="character" w:customStyle="1" w:styleId="MenuOptions">
    <w:name w:val="Menu Options"/>
    <w:basedOn w:val="DefaultParagraphFont"/>
    <w:rsid w:val="00505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6F2"/>
    <w:rPr>
      <w:b/>
    </w:rPr>
  </w:style>
  <w:style w:type="character" w:customStyle="1" w:styleId="Underlined">
    <w:name w:val="Underlined"/>
    <w:basedOn w:val="DefaultParagraphFont"/>
    <w:rsid w:val="005056F2"/>
    <w:rPr>
      <w:u w:val="single"/>
    </w:rPr>
  </w:style>
  <w:style w:type="paragraph" w:customStyle="1" w:styleId="TableBodyTextRight">
    <w:name w:val="Table Body Text Right"/>
    <w:basedOn w:val="TableBodyText"/>
    <w:rsid w:val="00505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6F2"/>
    <w:rPr>
      <w:sz w:val="18"/>
    </w:rPr>
  </w:style>
  <w:style w:type="paragraph" w:customStyle="1" w:styleId="BodySmallRight">
    <w:name w:val="Body Small Right"/>
    <w:basedOn w:val="BodyTextRight"/>
    <w:rsid w:val="005056F2"/>
    <w:rPr>
      <w:sz w:val="18"/>
      <w:szCs w:val="18"/>
    </w:rPr>
  </w:style>
  <w:style w:type="paragraph" w:customStyle="1" w:styleId="MarginEdition">
    <w:name w:val="Margin Edition"/>
    <w:basedOn w:val="MarginNote"/>
    <w:rsid w:val="00505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6F2"/>
    <w:rPr>
      <w:sz w:val="2"/>
      <w:szCs w:val="2"/>
    </w:rPr>
  </w:style>
  <w:style w:type="character" w:customStyle="1" w:styleId="Small">
    <w:name w:val="Small"/>
    <w:basedOn w:val="DefaultParagraphFont"/>
    <w:rsid w:val="005056F2"/>
    <w:rPr>
      <w:sz w:val="16"/>
    </w:rPr>
  </w:style>
  <w:style w:type="paragraph" w:customStyle="1" w:styleId="WideTable">
    <w:name w:val="Wide Table"/>
    <w:basedOn w:val="Normal"/>
    <w:rsid w:val="00505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6F2"/>
  </w:style>
  <w:style w:type="paragraph" w:styleId="Quote">
    <w:name w:val="Quote"/>
    <w:basedOn w:val="Heading1"/>
    <w:link w:val="QuoteChar"/>
    <w:qFormat/>
    <w:rsid w:val="00505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6F2"/>
    <w:pPr>
      <w:pageBreakBefore/>
    </w:pPr>
  </w:style>
  <w:style w:type="paragraph" w:customStyle="1" w:styleId="Border">
    <w:name w:val="Border"/>
    <w:basedOn w:val="Normal"/>
    <w:qFormat/>
    <w:rsid w:val="00505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6F2"/>
    <w:rPr>
      <w:u w:val="single"/>
    </w:rPr>
  </w:style>
  <w:style w:type="character" w:customStyle="1" w:styleId="BoldandItalics">
    <w:name w:val="Bold and Italics"/>
    <w:qFormat/>
    <w:rsid w:val="005056F2"/>
    <w:rPr>
      <w:b/>
      <w:i/>
      <w:u w:val="none"/>
    </w:rPr>
  </w:style>
  <w:style w:type="paragraph" w:styleId="BalloonText">
    <w:name w:val="Balloon Text"/>
    <w:basedOn w:val="Normal"/>
    <w:link w:val="BalloonTextChar"/>
    <w:rsid w:val="00505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6F2"/>
    <w:pPr>
      <w:spacing w:before="0" w:after="0"/>
    </w:pPr>
  </w:style>
  <w:style w:type="paragraph" w:customStyle="1" w:styleId="BodyTextBold">
    <w:name w:val="Body Text Bold"/>
    <w:basedOn w:val="BodyText"/>
    <w:qFormat/>
    <w:rsid w:val="005056F2"/>
    <w:rPr>
      <w:b/>
    </w:rPr>
  </w:style>
  <w:style w:type="character" w:styleId="Hyperlink">
    <w:name w:val="Hyperlink"/>
    <w:basedOn w:val="DefaultParagraphFont"/>
    <w:uiPriority w:val="99"/>
    <w:unhideWhenUsed/>
    <w:rsid w:val="00360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5255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PMAOPS231 Control gas odourisation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