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618" w:rsidP="00B31618">
      <w:pPr>
        <w:pStyle w:val="Title"/>
      </w:pPr>
      <w:r>
        <w:fldChar w:fldCharType="begin"/>
      </w:r>
      <w:r>
        <w:instrText xml:space="preserve"> TITLE   \* MERGEFORMAT </w:instrText>
      </w:r>
      <w:r>
        <w:fldChar w:fldCharType="separate"/>
      </w:r>
      <w:r>
        <w:t>PMAOPS226 Monitor and operate flare systems</w:t>
      </w:r>
      <w:r>
        <w:fldChar w:fldCharType="end"/>
      </w:r>
    </w:p>
    <w:p w:rsidR="00B31618" w:rsidP="00B31618">
      <w:pPr>
        <w:pStyle w:val="Version"/>
        <w:sectPr w:rsidSect="00A365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557" w:rsidP="00A36557">
      <w:pPr>
        <w:pStyle w:val="SuperHeading"/>
      </w:pPr>
      <w:r w:rsidRPr="00A36557">
        <w:t>PMAOPS226 Monitor and operate flare systems</w:t>
      </w:r>
    </w:p>
    <w:p w:rsidR="00000000" w:rsidRPr="00A36557" w:rsidP="00A36557">
      <w:pPr>
        <w:pStyle w:val="Heading1"/>
      </w:pPr>
      <w:bookmarkStart w:id="1" w:name="O_907271"/>
      <w:bookmarkEnd w:id="1"/>
      <w:r w:rsidRPr="00A36557">
        <w:t>Modification History</w:t>
      </w:r>
    </w:p>
    <w:p w:rsidR="00000000" w:rsidRPr="00A36557" w:rsidP="00B31618">
      <w:pPr>
        <w:pStyle w:val="BodyText"/>
      </w:pPr>
      <w:r w:rsidRPr="00A36557">
        <w:t>Release 1. Supersedes and is equivalent to PMAOPS226A Monitor and operate flare systems</w:t>
      </w:r>
    </w:p>
    <w:p w:rsidR="00000000" w:rsidRPr="00A36557" w:rsidP="00A36557">
      <w:pPr>
        <w:pStyle w:val="Heading1"/>
      </w:pPr>
      <w:bookmarkStart w:id="2" w:name="O_907279"/>
      <w:bookmarkEnd w:id="2"/>
      <w:r w:rsidRPr="00A36557">
        <w:t>Application</w:t>
      </w:r>
    </w:p>
    <w:p w:rsidR="00000000" w:rsidRPr="00A36557" w:rsidP="00B31618">
      <w:pPr>
        <w:pStyle w:val="BodyText"/>
      </w:pPr>
      <w:r w:rsidRPr="00A36557">
        <w:t xml:space="preserve">This unit of competency covers the skills and knowledge required to monitor and operate flare systems. </w:t>
      </w:r>
    </w:p>
    <w:p w:rsidR="00000000" w:rsidRPr="00A36557" w:rsidP="00B31618">
      <w:pPr>
        <w:pStyle w:val="BodyText"/>
      </w:pPr>
      <w:r w:rsidRPr="00A36557">
        <w:t>The flare sys</w:t>
      </w:r>
      <w:r w:rsidRPr="00A36557">
        <w:t>tem may be an elevated flare, ground flare or vent (sometimes called ‘cold flare’). The flare system includes all items from the safety relief device through to the flare inclusive.</w:t>
      </w:r>
    </w:p>
    <w:p w:rsidR="00000000" w:rsidRPr="00A36557" w:rsidP="00B31618">
      <w:pPr>
        <w:pStyle w:val="BodyText"/>
      </w:pPr>
      <w:r w:rsidRPr="00A36557">
        <w:t>This unit of competency applies to operators who, as part of their duties</w:t>
      </w:r>
      <w:r w:rsidRPr="00A36557">
        <w:t>, are required to monitor flare systems, start up and shut down according to procedures, identify problems with flare systems and take appropriate action.</w:t>
      </w:r>
    </w:p>
    <w:p w:rsidR="00000000" w:rsidRPr="00A36557" w:rsidP="00B31618">
      <w:pPr>
        <w:pStyle w:val="BodyText"/>
      </w:pPr>
      <w:r w:rsidRPr="00A36557">
        <w:t>This unit of competency applies to an individual who may work alone although under the routine direc</w:t>
      </w:r>
      <w:r w:rsidRPr="00A36557">
        <w:t xml:space="preserve">tion and supervision of a person who is competent to undertake the complete operation of the plant/plant area. They may work as part of a team or group and will work in liaison with other shift team members and the control room operator, as appropriate. </w:t>
      </w:r>
    </w:p>
    <w:p w:rsidR="00000000" w:rsidRPr="00A36557" w:rsidP="00B31618">
      <w:pPr>
        <w:pStyle w:val="BodyText"/>
      </w:pPr>
      <w:r w:rsidRPr="00A36557">
        <w:t>No licensing, legislative or certification requirements apply to this unit at the time of publication.</w:t>
      </w:r>
    </w:p>
    <w:p w:rsidR="00000000" w:rsidRPr="00A36557" w:rsidP="00A36557">
      <w:pPr>
        <w:pStyle w:val="Heading1"/>
      </w:pPr>
      <w:bookmarkStart w:id="3" w:name="O_907278"/>
      <w:bookmarkEnd w:id="3"/>
      <w:r w:rsidRPr="00A36557">
        <w:t>Pre-requisite Unit</w:t>
      </w:r>
    </w:p>
    <w:p w:rsidR="00000000" w:rsidRPr="00A36557" w:rsidP="00B31618">
      <w:pPr>
        <w:pStyle w:val="BodyText"/>
      </w:pPr>
      <w:r w:rsidRPr="00A36557">
        <w:t>Nil</w:t>
      </w:r>
    </w:p>
    <w:p w:rsidR="00000000" w:rsidRPr="00A36557" w:rsidP="00A36557">
      <w:pPr>
        <w:pStyle w:val="Heading1"/>
      </w:pPr>
      <w:bookmarkStart w:id="4" w:name="O_907277"/>
      <w:bookmarkEnd w:id="4"/>
      <w:r w:rsidRPr="00A36557">
        <w:t>Competency Field</w:t>
      </w:r>
    </w:p>
    <w:p w:rsidR="00000000" w:rsidRPr="00A36557" w:rsidP="00B31618">
      <w:pPr>
        <w:pStyle w:val="BodyText"/>
      </w:pPr>
      <w:r w:rsidRPr="00A36557">
        <w:t>Operations</w:t>
      </w:r>
    </w:p>
    <w:p w:rsidR="00000000" w:rsidRPr="00A36557" w:rsidP="00A36557">
      <w:pPr>
        <w:pStyle w:val="Heading1"/>
      </w:pPr>
      <w:bookmarkStart w:id="5" w:name="O_907276"/>
      <w:bookmarkEnd w:id="5"/>
      <w:r w:rsidRPr="00A36557">
        <w:t>Unit Sector</w:t>
      </w:r>
    </w:p>
    <w:p w:rsidR="00000000" w:rsidRPr="00A36557" w:rsidP="00A36557">
      <w:pPr>
        <w:pStyle w:val="Heading1"/>
      </w:pPr>
      <w:bookmarkStart w:id="6" w:name="O_907275"/>
      <w:bookmarkEnd w:id="6"/>
      <w:r w:rsidRPr="00A36557">
        <w:t>Elements and Performanc</w:t>
      </w:r>
      <w:r w:rsidRPr="00A36557">
        <w:t>e Criteria</w:t>
      </w:r>
    </w:p>
    <w:tbl>
      <w:tblPr>
        <w:tblW w:w="0" w:type="auto"/>
        <w:tblLayout w:type="fixed"/>
        <w:tblCellMar>
          <w:left w:w="62" w:type="dxa"/>
          <w:right w:w="62" w:type="dxa"/>
        </w:tblCellMar>
        <w:tblLook w:val="0000"/>
      </w:tblPr>
      <w:tblGrid>
        <w:gridCol w:w="678"/>
        <w:gridCol w:w="1962"/>
        <w:gridCol w:w="770"/>
        <w:gridCol w:w="5610"/>
      </w:tblGrid>
      <w:tr w:rsidTr="00A365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 xml:space="preserve">Elements describe the </w:t>
            </w:r>
            <w:r w:rsidRPr="00A3655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 xml:space="preserve">Performance criteria describe the performance needed to </w:t>
            </w:r>
            <w:r w:rsidRPr="00A36557">
              <w:t>demonstrate achievement of the element.</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1</w:t>
            </w:r>
          </w:p>
        </w:tc>
        <w:tc>
          <w:tcPr>
            <w:tcW w:w="1962" w:type="dxa"/>
            <w:vMerge w:val="restart"/>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Monitor flare system</w:t>
            </w: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1.1</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Identify and control flare system hazards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1.2</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Visually inspect the flare and flare system components for compliance to requirements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1.3</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Take relevant readings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1.4</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Check for process causes of identified problems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1.5</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Check for other causes of identified problems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1.6</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Take actions specified in the procedures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1.7</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Complete logs as required</w:t>
            </w:r>
          </w:p>
        </w:tc>
      </w:tr>
      <w:tr w:rsidTr="00A365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36557">
            <w:pPr>
              <w:pStyle w:val="BodyText"/>
              <w:rPr>
                <w:lang w:val="en-NZ"/>
              </w:rPr>
            </w:pP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2</w:t>
            </w:r>
          </w:p>
        </w:tc>
        <w:tc>
          <w:tcPr>
            <w:tcW w:w="1962" w:type="dxa"/>
            <w:vMerge w:val="restart"/>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Shut down flare system</w:t>
            </w: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2.1</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Obtain required authorisations for a flare shutdown</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2.2</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Notify other relevant plants/units of planned shutdown</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2.3</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Identify and control flare shutdown hazards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2.4</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Purge and isolate flare system</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2.5</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Complete other preparations for flare shutdown according to procedures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2.6</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Shut down according to procedures</w:t>
            </w:r>
          </w:p>
        </w:tc>
      </w:tr>
      <w:tr w:rsidTr="00A365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36557">
            <w:pPr>
              <w:pStyle w:val="BodyText"/>
              <w:rPr>
                <w:lang w:val="en-NZ"/>
              </w:rPr>
            </w:pP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3</w:t>
            </w:r>
          </w:p>
        </w:tc>
        <w:tc>
          <w:tcPr>
            <w:tcW w:w="1962" w:type="dxa"/>
            <w:vMerge w:val="restart"/>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Start up flare system</w:t>
            </w: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3.1</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Check all required</w:t>
            </w:r>
            <w:r w:rsidRPr="00A36557">
              <w:t xml:space="preserve"> work has been completed</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3.2</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Check integrity of components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3.3</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Notify other relevant plants/units of planned start-up</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3.4</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Identify and control flare start-up hazards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3.5</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De-isolate and purge flare system</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3.6</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Complete other preparations for flare start-up according to procedures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3.7</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Start up flare system according to procedures</w:t>
            </w:r>
          </w:p>
        </w:tc>
      </w:tr>
      <w:tr w:rsidTr="00A365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36557">
            <w:pPr>
              <w:pStyle w:val="BodyText"/>
              <w:rPr>
                <w:lang w:val="en-NZ"/>
              </w:rPr>
            </w:pP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4</w:t>
            </w:r>
          </w:p>
        </w:tc>
        <w:tc>
          <w:tcPr>
            <w:tcW w:w="1962" w:type="dxa"/>
            <w:vMerge w:val="restart"/>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Solve flare system problems</w:t>
            </w: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4.1</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Recognise and respond to abnormal conditions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4.2</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Identify other problems in flare system</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4.3</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Take action to remedy flare problems in accordance with procedures</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4.4</w:t>
            </w:r>
          </w:p>
        </w:tc>
        <w:tc>
          <w:tcPr>
            <w:tcW w:w="561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Communicate relevant information</w:t>
            </w:r>
          </w:p>
        </w:tc>
      </w:tr>
      <w:tr w:rsidTr="00A365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4.5</w:t>
            </w:r>
          </w:p>
        </w:tc>
        <w:tc>
          <w:tcPr>
            <w:tcW w:w="5610" w:type="dxa"/>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Complete required documentation</w:t>
            </w:r>
          </w:p>
        </w:tc>
      </w:tr>
    </w:tbl>
    <w:p w:rsidR="00000000" w:rsidRPr="00A36557" w:rsidP="00A36557">
      <w:pPr>
        <w:pStyle w:val="BodyText"/>
      </w:pPr>
    </w:p>
    <w:p w:rsidR="00000000" w:rsidRPr="00A36557" w:rsidP="00A36557">
      <w:pPr>
        <w:pStyle w:val="AllowPageBreak"/>
      </w:pPr>
    </w:p>
    <w:p w:rsidR="00000000" w:rsidRPr="00A36557" w:rsidP="00A36557">
      <w:pPr>
        <w:pStyle w:val="Heading1"/>
      </w:pPr>
      <w:bookmarkStart w:id="7" w:name="O_907274"/>
      <w:bookmarkEnd w:id="7"/>
      <w:r w:rsidRPr="00A36557">
        <w:t>Foundation Skills</w:t>
      </w:r>
    </w:p>
    <w:p w:rsidR="00000000" w:rsidRPr="00A36557" w:rsidP="00B31618">
      <w:pPr>
        <w:pStyle w:val="BodyText"/>
      </w:pPr>
      <w:r w:rsidRPr="00A36557">
        <w:t>This section describes those language, literacy, numeracy and employment skills that are essential to performance.</w:t>
      </w:r>
    </w:p>
    <w:p w:rsidR="00000000" w:rsidRPr="00A36557" w:rsidP="00B31618">
      <w:pPr>
        <w:pStyle w:val="BodyText"/>
      </w:pPr>
      <w:r w:rsidRPr="00A36557">
        <w:t>Foundation skills essential to performance are explicit in the performance criteria of this unit of competency.</w:t>
      </w:r>
    </w:p>
    <w:p w:rsidR="00000000" w:rsidRPr="00A36557" w:rsidP="00A36557">
      <w:pPr>
        <w:pStyle w:val="Heading1"/>
      </w:pPr>
      <w:bookmarkStart w:id="8" w:name="O_907273"/>
      <w:bookmarkEnd w:id="8"/>
      <w:r w:rsidRPr="00A36557">
        <w:t>Range of Conditions</w:t>
      </w:r>
    </w:p>
    <w:tbl>
      <w:tblPr>
        <w:tblW w:w="0" w:type="auto"/>
        <w:tblCellMar>
          <w:left w:w="62" w:type="dxa"/>
          <w:right w:w="62" w:type="dxa"/>
        </w:tblCellMar>
        <w:tblLook w:val="0000"/>
      </w:tblPr>
      <w:tblGrid>
        <w:gridCol w:w="2163"/>
        <w:gridCol w:w="7033"/>
      </w:tblGrid>
      <w:tr w:rsidTr="00B316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t>This field allows for different work environments and conditions that may affect performance. Essential operating conditions that may be present (depending on the work situation, needs of the candidate, accessibility of the item, and lo</w:t>
            </w:r>
            <w:r w:rsidRPr="00A36557">
              <w:t>cal industry and regional contexts) are included.</w:t>
            </w:r>
          </w:p>
        </w:tc>
      </w:tr>
      <w:tr w:rsidTr="00B31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The latest version of all legislation, regulations, industry codes of practice and Australian/international standards, or the version specified by the local regulatory authority, mus</w:t>
            </w:r>
            <w:r w:rsidRPr="00A36557">
              <w:t>t be used, and include one or more of the following:</w:t>
            </w:r>
          </w:p>
          <w:p w:rsidR="00000000" w:rsidRPr="00A36557" w:rsidP="00A36557">
            <w:pPr>
              <w:pStyle w:val="ListBullet"/>
            </w:pPr>
            <w:r w:rsidRPr="00A36557">
              <w:t>legislative requirements, including work health and safety (WHS)</w:t>
            </w:r>
          </w:p>
          <w:p w:rsidR="00000000" w:rsidRPr="00A36557" w:rsidP="00A36557">
            <w:pPr>
              <w:pStyle w:val="ListBullet"/>
            </w:pPr>
            <w:r w:rsidRPr="00A36557">
              <w:t>industry codes of practice and guidelines</w:t>
            </w:r>
          </w:p>
          <w:p w:rsidR="00000000" w:rsidRPr="00A36557" w:rsidP="00A36557">
            <w:pPr>
              <w:pStyle w:val="ListBullet"/>
            </w:pPr>
            <w:r w:rsidRPr="00A36557">
              <w:t xml:space="preserve">environmental regulations and guidelines </w:t>
            </w:r>
          </w:p>
          <w:p w:rsidR="00000000" w:rsidRPr="00A36557" w:rsidP="00A36557">
            <w:pPr>
              <w:pStyle w:val="ListBullet"/>
            </w:pPr>
            <w:r w:rsidRPr="00A36557">
              <w:t>Australian and other standards</w:t>
            </w:r>
          </w:p>
          <w:p w:rsidR="00000000" w:rsidRPr="00A36557" w:rsidP="00A36557">
            <w:pPr>
              <w:pStyle w:val="ListBullet"/>
            </w:pPr>
            <w:r w:rsidRPr="00A36557">
              <w:t xml:space="preserve">licence and certification requirements </w:t>
            </w:r>
          </w:p>
          <w:p w:rsidR="00000000" w:rsidRPr="00A36557" w:rsidP="00A36557">
            <w:pPr>
              <w:pStyle w:val="BodyText"/>
            </w:pPr>
          </w:p>
          <w:p w:rsidR="00000000" w:rsidRPr="00A36557" w:rsidP="00A36557">
            <w:pPr>
              <w:pStyle w:val="BodyText"/>
            </w:pPr>
            <w:r w:rsidRPr="00A36557">
              <w:t>All operations to which this unit applies are subject to stringent health, safety and environment (HSE) requirements, which may be imposed through state/territory or federal legislation, and these must not be compro</w:t>
            </w:r>
            <w:r w:rsidRPr="00A36557">
              <w:t>mised at any time. Where there is an apparent conflict between performance criteria and HSE requirements, the HSE requirements take precedence</w:t>
            </w:r>
          </w:p>
          <w:p w:rsidR="00000000" w:rsidP="00A36557">
            <w:pPr>
              <w:pStyle w:val="BodyText"/>
              <w:rPr>
                <w:lang w:val="en-NZ"/>
              </w:rPr>
            </w:pPr>
          </w:p>
        </w:tc>
      </w:tr>
      <w:tr w:rsidTr="00B31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All operations must be performed in accordance with relevant procedures.</w:t>
            </w:r>
          </w:p>
          <w:p w:rsidR="00000000" w:rsidRPr="00A36557" w:rsidP="00A36557">
            <w:pPr>
              <w:pStyle w:val="BodyText"/>
            </w:pPr>
          </w:p>
          <w:p w:rsidR="00000000" w:rsidRPr="00A36557" w:rsidP="00A36557">
            <w:pPr>
              <w:pStyle w:val="BodyText"/>
            </w:pPr>
            <w:r w:rsidRPr="00A36557">
              <w:t>Procedures are written, ve</w:t>
            </w:r>
            <w:r w:rsidRPr="00A36557">
              <w:t>rbal, visual, computer-based or in some other form, and include one or more of the following:</w:t>
            </w:r>
          </w:p>
          <w:p w:rsidR="00000000" w:rsidRPr="00A36557" w:rsidP="00A36557">
            <w:pPr>
              <w:pStyle w:val="ListBullet"/>
            </w:pPr>
            <w:r w:rsidRPr="00A36557">
              <w:t>emergency procedures</w:t>
            </w:r>
          </w:p>
          <w:p w:rsidR="00000000" w:rsidRPr="00A36557" w:rsidP="00A36557">
            <w:pPr>
              <w:pStyle w:val="ListBullet"/>
            </w:pPr>
            <w:r w:rsidRPr="00A36557">
              <w:t>work instructions</w:t>
            </w:r>
          </w:p>
          <w:p w:rsidR="00000000" w:rsidRPr="00A36557" w:rsidP="00A36557">
            <w:pPr>
              <w:pStyle w:val="ListBullet"/>
            </w:pPr>
            <w:r w:rsidRPr="00A36557">
              <w:t>standard operating procedures (SOPs)</w:t>
            </w:r>
          </w:p>
          <w:p w:rsidR="00000000" w:rsidRPr="00A36557" w:rsidP="00A36557">
            <w:pPr>
              <w:pStyle w:val="ListBullet"/>
            </w:pPr>
            <w:r w:rsidRPr="00A36557">
              <w:t>safe work method statements (SWMS)</w:t>
            </w:r>
          </w:p>
          <w:p w:rsidR="00000000" w:rsidRPr="00A36557" w:rsidP="00A36557">
            <w:pPr>
              <w:pStyle w:val="ListBullet"/>
            </w:pPr>
            <w:r w:rsidRPr="00A36557">
              <w:t>formulas/recipes</w:t>
            </w:r>
          </w:p>
          <w:p w:rsidR="00000000" w:rsidRPr="00A36557" w:rsidP="00A36557">
            <w:pPr>
              <w:pStyle w:val="ListBullet"/>
            </w:pPr>
            <w:r w:rsidRPr="00A36557">
              <w:t>batch sheets</w:t>
            </w:r>
          </w:p>
          <w:p w:rsidR="00000000" w:rsidRPr="00A36557" w:rsidP="00A36557">
            <w:pPr>
              <w:pStyle w:val="ListBullet"/>
            </w:pPr>
            <w:r w:rsidRPr="00A36557">
              <w:t>temporary instructions</w:t>
            </w:r>
          </w:p>
          <w:p w:rsidR="00000000" w:rsidRPr="00A36557" w:rsidP="00A36557">
            <w:pPr>
              <w:pStyle w:val="ListBullet"/>
            </w:pPr>
            <w:r w:rsidRPr="00A36557">
              <w:t>any similar instructions provided for the smooth running of the plant</w:t>
            </w:r>
          </w:p>
          <w:p w:rsidR="00000000" w:rsidP="00A36557">
            <w:pPr>
              <w:pStyle w:val="BodyText"/>
              <w:rPr>
                <w:lang w:val="en-NZ"/>
              </w:rPr>
            </w:pPr>
          </w:p>
        </w:tc>
      </w:tr>
      <w:tr w:rsidTr="00B31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 xml:space="preserve">Routine problems must be resolved by applying known solutions. </w:t>
            </w:r>
          </w:p>
          <w:p w:rsidR="00000000" w:rsidRPr="00A36557" w:rsidP="00A36557">
            <w:pPr>
              <w:pStyle w:val="BodyText"/>
            </w:pPr>
          </w:p>
          <w:p w:rsidR="00000000" w:rsidRPr="00A36557" w:rsidP="00A36557">
            <w:pPr>
              <w:pStyle w:val="BodyText"/>
            </w:pPr>
            <w:r w:rsidRPr="00A36557">
              <w:t>Routine problems are predictable and include one or more of the following:</w:t>
            </w:r>
          </w:p>
          <w:p w:rsidR="00000000" w:rsidRPr="00A36557" w:rsidP="00A36557">
            <w:pPr>
              <w:pStyle w:val="ListBullet"/>
            </w:pPr>
            <w:r w:rsidRPr="00A36557">
              <w:t>ice</w:t>
            </w:r>
            <w:r w:rsidRPr="00A36557">
              <w:t>d lines</w:t>
            </w:r>
          </w:p>
          <w:p w:rsidR="00000000" w:rsidRPr="00A36557" w:rsidP="00A36557">
            <w:pPr>
              <w:pStyle w:val="ListBullet"/>
            </w:pPr>
            <w:r w:rsidRPr="00A36557">
              <w:t>high levels in pots/vessels</w:t>
            </w:r>
          </w:p>
          <w:p w:rsidR="00000000" w:rsidRPr="00A36557" w:rsidP="00A36557">
            <w:pPr>
              <w:pStyle w:val="ListBullet"/>
            </w:pPr>
            <w:r w:rsidRPr="00A36557">
              <w:t>smoke from flare</w:t>
            </w:r>
          </w:p>
          <w:p w:rsidR="00000000" w:rsidRPr="00A36557" w:rsidP="00A36557">
            <w:pPr>
              <w:pStyle w:val="ListBullet"/>
            </w:pPr>
            <w:r w:rsidRPr="00A36557">
              <w:t>flame out</w:t>
            </w:r>
          </w:p>
          <w:p w:rsidR="00000000" w:rsidRPr="00A36557" w:rsidP="00A36557">
            <w:pPr>
              <w:pStyle w:val="ListBullet"/>
            </w:pPr>
            <w:r w:rsidRPr="00A36557">
              <w:t>lack of header purge flow</w:t>
            </w:r>
          </w:p>
          <w:p w:rsidR="00000000" w:rsidRPr="00A36557" w:rsidP="00A36557">
            <w:pPr>
              <w:pStyle w:val="ListBullet"/>
            </w:pPr>
            <w:r w:rsidRPr="00A36557">
              <w:t>flash back</w:t>
            </w:r>
          </w:p>
          <w:p w:rsidR="00000000" w:rsidRPr="00A36557" w:rsidP="00A36557">
            <w:pPr>
              <w:pStyle w:val="ListBullet"/>
            </w:pPr>
            <w:r w:rsidRPr="00A36557">
              <w:t>inconsistent header composition</w:t>
            </w:r>
          </w:p>
          <w:p w:rsidR="00000000" w:rsidRPr="00A36557" w:rsidP="00A36557">
            <w:pPr>
              <w:pStyle w:val="ListBullet"/>
            </w:pPr>
            <w:r w:rsidRPr="00A36557">
              <w:t>blockage</w:t>
            </w:r>
          </w:p>
          <w:p w:rsidR="00000000" w:rsidRPr="00A36557" w:rsidP="00A36557">
            <w:pPr>
              <w:pStyle w:val="ListBullet"/>
            </w:pPr>
            <w:r w:rsidRPr="00A36557">
              <w:t>cold feed to warm header</w:t>
            </w:r>
          </w:p>
          <w:p w:rsidR="00000000" w:rsidRPr="00A36557" w:rsidP="00A36557">
            <w:pPr>
              <w:pStyle w:val="BodyText"/>
            </w:pPr>
          </w:p>
          <w:p w:rsidR="00000000" w:rsidRPr="00A36557" w:rsidP="00A36557">
            <w:pPr>
              <w:pStyle w:val="BodyText"/>
            </w:pPr>
            <w:r w:rsidRPr="00A36557">
              <w:t>Known solutions are drawn from one or more of the following:</w:t>
            </w:r>
          </w:p>
          <w:p w:rsidR="00000000" w:rsidRPr="00A36557" w:rsidP="00A36557">
            <w:pPr>
              <w:pStyle w:val="ListBullet"/>
            </w:pPr>
            <w:r w:rsidRPr="00A36557">
              <w:t>procedures</w:t>
            </w:r>
          </w:p>
          <w:p w:rsidR="00000000" w:rsidRPr="00A36557" w:rsidP="00A36557">
            <w:pPr>
              <w:pStyle w:val="ListBullet"/>
            </w:pPr>
            <w:r w:rsidRPr="00A36557">
              <w:t>training</w:t>
            </w:r>
          </w:p>
          <w:p w:rsidR="00000000" w:rsidRPr="00A36557" w:rsidP="00A36557">
            <w:pPr>
              <w:pStyle w:val="ListBullet"/>
            </w:pPr>
            <w:r w:rsidRPr="00A36557">
              <w:t>remembered experience</w:t>
            </w:r>
          </w:p>
          <w:p w:rsidR="00000000" w:rsidRPr="00A36557" w:rsidP="00A36557">
            <w:pPr>
              <w:pStyle w:val="BodyText"/>
            </w:pPr>
          </w:p>
          <w:p w:rsidR="00000000" w:rsidRPr="00A36557" w:rsidP="00A36557">
            <w:pPr>
              <w:pStyle w:val="BodyText"/>
            </w:pPr>
            <w:r w:rsidRPr="00A36557">
              <w:t>Non-routine problems must be reported according to according to relevant procedures.</w:t>
            </w:r>
          </w:p>
          <w:p w:rsidR="00000000" w:rsidP="00A36557">
            <w:pPr>
              <w:pStyle w:val="BodyText"/>
              <w:rPr>
                <w:lang w:val="en-NZ"/>
              </w:rPr>
            </w:pPr>
          </w:p>
        </w:tc>
      </w:tr>
      <w:tr w:rsidTr="00B31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Abnormal conditions</w:t>
            </w:r>
          </w:p>
        </w:tc>
        <w:tc>
          <w:tcPr>
            <w:tcW w:w="0" w:type="auto"/>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Abnormal conditions include one or more of the following:</w:t>
            </w:r>
          </w:p>
          <w:p w:rsidR="00000000" w:rsidRPr="00A36557" w:rsidP="00A36557">
            <w:pPr>
              <w:pStyle w:val="ListBullet"/>
            </w:pPr>
            <w:r w:rsidRPr="00A36557">
              <w:t>weather</w:t>
            </w:r>
          </w:p>
          <w:p w:rsidR="00000000" w:rsidRPr="00A36557" w:rsidP="00A36557">
            <w:pPr>
              <w:pStyle w:val="ListBullet"/>
            </w:pPr>
            <w:r w:rsidRPr="00A36557">
              <w:t>loss of pilot fuel</w:t>
            </w:r>
          </w:p>
          <w:p w:rsidR="00000000" w:rsidRPr="00A36557" w:rsidP="00A36557">
            <w:pPr>
              <w:pStyle w:val="ListBullet"/>
            </w:pPr>
            <w:r w:rsidRPr="00A36557">
              <w:t>loss of utilities</w:t>
            </w:r>
          </w:p>
          <w:p w:rsidR="00000000" w:rsidRPr="00A36557" w:rsidP="00A36557">
            <w:pPr>
              <w:pStyle w:val="ListBullet"/>
            </w:pPr>
            <w:r w:rsidRPr="00A36557">
              <w:t>flame out</w:t>
            </w:r>
          </w:p>
          <w:p w:rsidR="00000000" w:rsidRPr="00A36557" w:rsidP="00A36557">
            <w:pPr>
              <w:pStyle w:val="ListBullet"/>
            </w:pPr>
            <w:r w:rsidRPr="00A36557">
              <w:t>high flare system back pressure</w:t>
            </w:r>
          </w:p>
          <w:p w:rsidR="00000000" w:rsidRPr="00A36557" w:rsidP="00A36557">
            <w:pPr>
              <w:pStyle w:val="ListBullet"/>
            </w:pPr>
            <w:r w:rsidRPr="00A36557">
              <w:t>cross connection between dissimilar systems</w:t>
            </w:r>
          </w:p>
          <w:p w:rsidR="00000000" w:rsidP="00A36557">
            <w:pPr>
              <w:pStyle w:val="BodyText"/>
              <w:rPr>
                <w:lang w:val="en-NZ"/>
              </w:rPr>
            </w:pPr>
          </w:p>
        </w:tc>
      </w:tr>
      <w:tr w:rsidTr="00B31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Responding to abnormal conditions</w:t>
            </w:r>
          </w:p>
        </w:tc>
        <w:tc>
          <w:tcPr>
            <w:tcW w:w="0" w:type="auto"/>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Responding to abnormal conditions includes the following:</w:t>
            </w:r>
          </w:p>
          <w:p w:rsidR="00000000" w:rsidRPr="00A36557" w:rsidP="00A36557">
            <w:pPr>
              <w:pStyle w:val="ListBullet"/>
            </w:pPr>
            <w:r w:rsidRPr="00A36557">
              <w:t>determining problems needing action</w:t>
            </w:r>
          </w:p>
          <w:p w:rsidR="00000000" w:rsidRPr="00A36557" w:rsidP="00A36557">
            <w:pPr>
              <w:pStyle w:val="ListBullet"/>
            </w:pPr>
            <w:r w:rsidRPr="00A36557">
              <w:t>accessing and applying relevant technical and pla</w:t>
            </w:r>
            <w:r w:rsidRPr="00A36557">
              <w:t>nt data</w:t>
            </w:r>
          </w:p>
          <w:p w:rsidR="00000000" w:rsidRPr="00A36557" w:rsidP="00A36557">
            <w:pPr>
              <w:pStyle w:val="ListBullet"/>
            </w:pPr>
            <w:r w:rsidRPr="00A36557">
              <w:t>applying appropriate problem solving techniques to determine possible fault causes</w:t>
            </w:r>
          </w:p>
          <w:p w:rsidR="00000000" w:rsidRPr="00A36557" w:rsidP="00A36557">
            <w:pPr>
              <w:pStyle w:val="ListBullet"/>
            </w:pPr>
            <w:r w:rsidRPr="00A36557">
              <w:t>rectifying problem using appropriate solution within area of responsibility</w:t>
            </w:r>
          </w:p>
          <w:p w:rsidR="00000000" w:rsidRPr="00A36557" w:rsidP="00A36557">
            <w:pPr>
              <w:pStyle w:val="ListBullet"/>
            </w:pPr>
            <w:r w:rsidRPr="00A36557">
              <w:t>following through items initiated until final resolution has occurred</w:t>
            </w:r>
          </w:p>
          <w:p w:rsidR="00000000" w:rsidRPr="00A36557" w:rsidP="00A36557">
            <w:pPr>
              <w:pStyle w:val="ListBullet"/>
            </w:pPr>
            <w:r w:rsidRPr="00A36557">
              <w:t>reporting problems outside area of responsibility/ability to resolve to designated person</w:t>
            </w:r>
          </w:p>
          <w:p w:rsidR="00000000" w:rsidP="00A36557">
            <w:pPr>
              <w:pStyle w:val="BodyText"/>
              <w:rPr>
                <w:lang w:val="en-NZ"/>
              </w:rPr>
            </w:pPr>
          </w:p>
        </w:tc>
      </w:tr>
      <w:tr w:rsidTr="00B31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Flare system</w:t>
            </w:r>
          </w:p>
        </w:tc>
        <w:tc>
          <w:tcPr>
            <w:tcW w:w="0" w:type="auto"/>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The flare system includes one or more of the following:</w:t>
            </w:r>
          </w:p>
          <w:p w:rsidR="00000000" w:rsidRPr="00A36557" w:rsidP="00A36557">
            <w:pPr>
              <w:pStyle w:val="ListBullet"/>
            </w:pPr>
            <w:r w:rsidRPr="00A36557">
              <w:t>elevated flare</w:t>
            </w:r>
          </w:p>
          <w:p w:rsidR="00000000" w:rsidRPr="00A36557" w:rsidP="00A36557">
            <w:pPr>
              <w:pStyle w:val="ListBullet"/>
            </w:pPr>
            <w:r w:rsidRPr="00A36557">
              <w:t>ground flare</w:t>
            </w:r>
          </w:p>
          <w:p w:rsidR="00000000" w:rsidRPr="00A36557" w:rsidP="00A36557">
            <w:pPr>
              <w:pStyle w:val="ListBullet"/>
            </w:pPr>
            <w:r w:rsidRPr="00A36557">
              <w:t>vents (sometimes called ‘cold flare’)</w:t>
            </w:r>
          </w:p>
          <w:p w:rsidR="00000000" w:rsidRPr="00A36557" w:rsidP="00A36557">
            <w:pPr>
              <w:pStyle w:val="BodyText"/>
            </w:pPr>
          </w:p>
          <w:p w:rsidR="00000000" w:rsidRPr="00A36557" w:rsidP="00A36557">
            <w:pPr>
              <w:pStyle w:val="BodyText"/>
            </w:pPr>
            <w:r w:rsidRPr="00A36557">
              <w:t>The flare system includes a</w:t>
            </w:r>
            <w:r w:rsidRPr="00A36557">
              <w:t>ll items from the safety relief device through to the flare inclusive.</w:t>
            </w:r>
          </w:p>
          <w:p w:rsidR="00000000" w:rsidP="00A36557">
            <w:pPr>
              <w:pStyle w:val="BodyText"/>
              <w:rPr>
                <w:lang w:val="en-NZ"/>
              </w:rPr>
            </w:pPr>
          </w:p>
        </w:tc>
      </w:tr>
      <w:tr w:rsidTr="00B31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Hazards include one or more of the following:</w:t>
            </w:r>
          </w:p>
          <w:p w:rsidR="00000000" w:rsidRPr="00A36557" w:rsidP="00A36557">
            <w:pPr>
              <w:pStyle w:val="ListBullet"/>
            </w:pPr>
            <w:r w:rsidRPr="00A36557">
              <w:t>access and exclusion zone</w:t>
            </w:r>
          </w:p>
          <w:p w:rsidR="00000000" w:rsidRPr="00A36557" w:rsidP="00A36557">
            <w:pPr>
              <w:pStyle w:val="ListBullet"/>
            </w:pPr>
            <w:r w:rsidRPr="00A36557">
              <w:t>heat</w:t>
            </w:r>
          </w:p>
          <w:p w:rsidR="00000000" w:rsidRPr="00A36557" w:rsidP="00A36557">
            <w:pPr>
              <w:pStyle w:val="ListBullet"/>
            </w:pPr>
            <w:r w:rsidRPr="00A36557">
              <w:t>blow backs</w:t>
            </w:r>
          </w:p>
          <w:p w:rsidR="00000000" w:rsidRPr="00A36557" w:rsidP="00A36557">
            <w:pPr>
              <w:pStyle w:val="ListBullet"/>
            </w:pPr>
            <w:r w:rsidRPr="00A36557">
              <w:t>leaks/loss of containment (LOC)</w:t>
            </w:r>
          </w:p>
          <w:p w:rsidR="00000000" w:rsidRPr="00A36557" w:rsidP="00A36557">
            <w:pPr>
              <w:pStyle w:val="ListBullet"/>
            </w:pPr>
            <w:r w:rsidRPr="00A36557">
              <w:t>ineffective isolations</w:t>
            </w:r>
          </w:p>
          <w:p w:rsidR="00000000" w:rsidRPr="00A36557" w:rsidP="00A36557">
            <w:pPr>
              <w:pStyle w:val="ListBullet"/>
            </w:pPr>
            <w:r w:rsidRPr="00A36557">
              <w:t>inadequate ventilation</w:t>
            </w:r>
          </w:p>
          <w:p w:rsidR="00000000" w:rsidRPr="00A36557" w:rsidP="00A36557">
            <w:pPr>
              <w:pStyle w:val="ListBullet"/>
            </w:pPr>
            <w:r w:rsidRPr="00A36557">
              <w:t>air ingress</w:t>
            </w:r>
          </w:p>
          <w:p w:rsidR="00000000" w:rsidRPr="00A36557" w:rsidP="00A36557">
            <w:pPr>
              <w:pStyle w:val="ListBullet"/>
            </w:pPr>
            <w:r w:rsidRPr="00A36557">
              <w:t>liquid carryover</w:t>
            </w:r>
          </w:p>
          <w:p w:rsidR="00000000" w:rsidRPr="00A36557" w:rsidP="00A36557">
            <w:pPr>
              <w:pStyle w:val="ListBullet"/>
            </w:pPr>
            <w:r w:rsidRPr="00A36557">
              <w:t>high liquid levels in knock out pots/separation vessels</w:t>
            </w:r>
          </w:p>
          <w:p w:rsidR="00000000" w:rsidRPr="00A36557" w:rsidP="00A36557">
            <w:pPr>
              <w:pStyle w:val="ListBullet"/>
            </w:pPr>
            <w:r w:rsidRPr="00A36557">
              <w:t>contraction and expansion (cold vapours)</w:t>
            </w:r>
          </w:p>
          <w:p w:rsidR="00000000" w:rsidRPr="00A36557" w:rsidP="00A36557">
            <w:pPr>
              <w:pStyle w:val="ListBullet"/>
            </w:pPr>
            <w:r w:rsidRPr="00A36557">
              <w:t>dislodgement of burning coke</w:t>
            </w:r>
          </w:p>
          <w:p w:rsidR="00000000" w:rsidRPr="00A36557" w:rsidP="00A36557">
            <w:pPr>
              <w:pStyle w:val="ListBullet"/>
            </w:pPr>
            <w:r w:rsidRPr="00A36557">
              <w:t>noise</w:t>
            </w:r>
          </w:p>
          <w:p w:rsidR="00000000" w:rsidRPr="00A36557" w:rsidP="00A36557">
            <w:pPr>
              <w:pStyle w:val="ListBullet"/>
            </w:pPr>
            <w:r w:rsidRPr="00A36557">
              <w:t>cryogenic temperatures</w:t>
            </w:r>
          </w:p>
          <w:p w:rsidR="00000000" w:rsidRPr="00A36557" w:rsidP="00A36557">
            <w:pPr>
              <w:pStyle w:val="ListBullet"/>
            </w:pPr>
            <w:r w:rsidRPr="00A36557">
              <w:t>radiation</w:t>
            </w:r>
          </w:p>
          <w:p w:rsidR="00000000" w:rsidRPr="00A36557" w:rsidP="00A36557">
            <w:pPr>
              <w:pStyle w:val="ListBullet"/>
            </w:pPr>
            <w:r w:rsidRPr="00A36557">
              <w:t>liquid hammer</w:t>
            </w:r>
          </w:p>
          <w:p w:rsidR="00000000" w:rsidP="00A36557">
            <w:pPr>
              <w:pStyle w:val="BodyText"/>
              <w:rPr>
                <w:lang w:val="en-NZ"/>
              </w:rPr>
            </w:pPr>
          </w:p>
        </w:tc>
      </w:tr>
      <w:tr w:rsidTr="00B31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Visual inspection</w:t>
            </w:r>
          </w:p>
        </w:tc>
        <w:tc>
          <w:tcPr>
            <w:tcW w:w="0" w:type="auto"/>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As relevant to the type of flare, visual inspection includes one or more of the following:</w:t>
            </w:r>
          </w:p>
          <w:p w:rsidR="00000000" w:rsidRPr="00A36557" w:rsidP="00A36557">
            <w:pPr>
              <w:pStyle w:val="ListBullet"/>
            </w:pPr>
            <w:r w:rsidRPr="00A36557">
              <w:t>pilot flame condition</w:t>
            </w:r>
          </w:p>
          <w:p w:rsidR="00000000" w:rsidRPr="00A36557" w:rsidP="00A36557">
            <w:pPr>
              <w:pStyle w:val="ListBullet"/>
            </w:pPr>
            <w:r w:rsidRPr="00A36557">
              <w:t>burn pattern</w:t>
            </w:r>
          </w:p>
          <w:p w:rsidR="00000000" w:rsidRPr="00A36557" w:rsidP="00A36557">
            <w:pPr>
              <w:pStyle w:val="ListBullet"/>
            </w:pPr>
            <w:r w:rsidRPr="00A36557">
              <w:t>ice on header lines</w:t>
            </w:r>
          </w:p>
          <w:p w:rsidR="00000000" w:rsidRPr="00A36557" w:rsidP="00A36557">
            <w:pPr>
              <w:pStyle w:val="ListBullet"/>
            </w:pPr>
            <w:r w:rsidRPr="00A36557">
              <w:t>vessel levels</w:t>
            </w:r>
          </w:p>
          <w:p w:rsidR="00000000" w:rsidRPr="00A36557" w:rsidP="00A36557">
            <w:pPr>
              <w:pStyle w:val="ListBullet"/>
            </w:pPr>
            <w:r w:rsidRPr="00A36557">
              <w:t>damage or deterioration</w:t>
            </w:r>
          </w:p>
          <w:p w:rsidR="00000000" w:rsidRPr="00A36557" w:rsidP="00A36557">
            <w:pPr>
              <w:pStyle w:val="ListBullet"/>
            </w:pPr>
            <w:r w:rsidRPr="00A36557">
              <w:t>smoke density</w:t>
            </w:r>
          </w:p>
          <w:p w:rsidR="00000000" w:rsidP="00A36557">
            <w:pPr>
              <w:pStyle w:val="BodyText"/>
              <w:rPr>
                <w:lang w:val="en-NZ"/>
              </w:rPr>
            </w:pPr>
          </w:p>
        </w:tc>
      </w:tr>
      <w:tr w:rsidTr="00B316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6557">
            <w:pPr>
              <w:pStyle w:val="BodyText"/>
              <w:rPr>
                <w:lang w:val="en-NZ"/>
              </w:rPr>
            </w:pPr>
            <w:r w:rsidRPr="00A36557">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A36557" w:rsidP="00A36557">
            <w:pPr>
              <w:pStyle w:val="BodyText"/>
            </w:pPr>
            <w:r w:rsidRPr="00A36557">
              <w:t>Logs and reports include one or more of the following:</w:t>
            </w:r>
          </w:p>
          <w:p w:rsidR="00000000" w:rsidRPr="00A36557" w:rsidP="00A36557">
            <w:pPr>
              <w:pStyle w:val="ListBullet"/>
            </w:pPr>
            <w:r w:rsidRPr="00A36557">
              <w:t xml:space="preserve">paper or electronic based </w:t>
            </w:r>
          </w:p>
          <w:p w:rsidR="00000000" w:rsidRPr="00A36557" w:rsidP="00A36557">
            <w:pPr>
              <w:pStyle w:val="ListBullet"/>
            </w:pPr>
            <w:r w:rsidRPr="00A36557">
              <w:t>verbal/radio reports</w:t>
            </w:r>
          </w:p>
          <w:p w:rsidR="00000000" w:rsidRPr="00A36557" w:rsidP="00A36557">
            <w:pPr>
              <w:pStyle w:val="ListBullet"/>
            </w:pPr>
            <w:r w:rsidRPr="00A36557">
              <w:t>reporting items found which require action</w:t>
            </w:r>
          </w:p>
        </w:tc>
      </w:tr>
    </w:tbl>
    <w:p w:rsidR="00000000" w:rsidRPr="00A36557" w:rsidP="00A36557">
      <w:pPr>
        <w:pStyle w:val="BodyText"/>
      </w:pPr>
    </w:p>
    <w:p w:rsidR="00000000" w:rsidRPr="00A36557" w:rsidP="00A36557">
      <w:pPr>
        <w:pStyle w:val="AllowPageBreak"/>
      </w:pPr>
    </w:p>
    <w:p w:rsidR="00000000" w:rsidRPr="00A36557" w:rsidP="00A36557">
      <w:pPr>
        <w:pStyle w:val="Heading1"/>
      </w:pPr>
      <w:bookmarkStart w:id="9" w:name="O_907272"/>
      <w:bookmarkEnd w:id="9"/>
      <w:r w:rsidRPr="00A36557">
        <w:t>Unit Mapping Information</w:t>
      </w:r>
    </w:p>
    <w:p w:rsidR="00000000" w:rsidRPr="00A36557" w:rsidP="00B31618">
      <w:pPr>
        <w:pStyle w:val="BodyText"/>
      </w:pPr>
      <w:r w:rsidRPr="00A36557">
        <w:t>Release 1. Supersedes and is equivalent to PMAOPS226A Monitor and</w:t>
      </w:r>
      <w:r w:rsidRPr="00A36557">
        <w:t xml:space="preserve"> operate flare systems</w:t>
      </w:r>
    </w:p>
    <w:p w:rsidR="00000000" w:rsidRPr="00A36557" w:rsidP="00A36557">
      <w:pPr>
        <w:pStyle w:val="Heading1"/>
      </w:pPr>
      <w:bookmarkStart w:id="10" w:name="O_907265"/>
      <w:bookmarkEnd w:id="10"/>
      <w:r w:rsidRPr="00A36557">
        <w:t>Links</w:t>
      </w:r>
    </w:p>
    <w:p w:rsidR="00000000" w:rsidRPr="00A36557" w:rsidP="00B31618">
      <w:pPr>
        <w:pStyle w:val="BodyText"/>
      </w:pPr>
      <w:r w:rsidRPr="00A3655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96722">
        <w:rPr>
          <w:rStyle w:val="Hyperlink"/>
        </w:rPr>
        <w:t>https://vetnet.gov.au/Pages/TrainingDocs.aspx?q=9fc2cf53-e570-4e9f-ad6a-b228ffdb6875</w:t>
      </w:r>
      <w:r>
        <w:fldChar w:fldCharType="end"/>
      </w:r>
    </w:p>
    <w:p w:rsidR="00000000" w:rsidRPr="00A36557" w:rsidP="00B31618">
      <w:pPr>
        <w:pStyle w:val="BodyText"/>
        <w:sectPr w:rsidSect="00A36557">
          <w:headerReference w:type="default" r:id="rId10"/>
          <w:footerReference w:type="default" r:id="rId11"/>
          <w:pgSz w:w="11908" w:h="16833"/>
          <w:pgMar w:top="1702" w:right="1418" w:bottom="1702" w:left="1418" w:header="992" w:footer="992" w:gutter="0"/>
          <w:cols w:space="720"/>
          <w:noEndnote/>
          <w:docGrid w:linePitch="299"/>
        </w:sectPr>
      </w:pPr>
    </w:p>
    <w:p w:rsidR="00000000" w:rsidRPr="00A36557" w:rsidP="00A36557">
      <w:pPr>
        <w:pStyle w:val="SuperHeading"/>
      </w:pPr>
      <w:r w:rsidRPr="00A36557">
        <w:t xml:space="preserve">Assessment </w:t>
      </w:r>
      <w:r w:rsidRPr="00A36557">
        <w:t>Requirements for PMAOPS226 Monitor and operate flare systems</w:t>
      </w:r>
    </w:p>
    <w:p w:rsidR="00000000" w:rsidRPr="00A36557" w:rsidP="00A36557">
      <w:pPr>
        <w:pStyle w:val="Heading1"/>
      </w:pPr>
      <w:bookmarkStart w:id="11" w:name="O_907267"/>
      <w:bookmarkEnd w:id="11"/>
      <w:r w:rsidRPr="00A36557">
        <w:t>Modification History</w:t>
      </w:r>
    </w:p>
    <w:p w:rsidR="00000000" w:rsidRPr="00A36557" w:rsidP="00B31618">
      <w:pPr>
        <w:pStyle w:val="BodyText"/>
      </w:pPr>
      <w:r w:rsidRPr="00A36557">
        <w:t>Release 1. Supersedes and is equivalent to PMAOPS226A Monitor and operate flare systems</w:t>
      </w:r>
    </w:p>
    <w:p w:rsidR="00000000" w:rsidRPr="00A36557" w:rsidP="00A36557">
      <w:pPr>
        <w:pStyle w:val="Heading1"/>
      </w:pPr>
      <w:bookmarkStart w:id="12" w:name="O_907270"/>
      <w:bookmarkEnd w:id="12"/>
      <w:r w:rsidRPr="00A36557">
        <w:t>Performance Evidence</w:t>
      </w:r>
    </w:p>
    <w:p w:rsidR="00000000" w:rsidRPr="00A36557" w:rsidP="00B31618">
      <w:pPr>
        <w:pStyle w:val="BodyText"/>
      </w:pPr>
      <w:r w:rsidRPr="00A36557">
        <w:t>Evidence required to demonstrate</w:t>
      </w:r>
      <w:r w:rsidRPr="00A36557">
        <w:t xml:space="preserve"> competence in this unit must be relevant to and satisfy the requirements of the elements and performance criteria, and include the ability to:</w:t>
      </w:r>
    </w:p>
    <w:p w:rsidR="00000000" w:rsidRPr="00A36557" w:rsidP="00A36557">
      <w:pPr>
        <w:pStyle w:val="ListBullet"/>
      </w:pPr>
      <w:r w:rsidRPr="00A36557">
        <w:t>monitor and inspect flare systems</w:t>
      </w:r>
    </w:p>
    <w:p w:rsidR="00000000" w:rsidRPr="00A36557" w:rsidP="00A36557">
      <w:pPr>
        <w:pStyle w:val="ListBullet"/>
      </w:pPr>
      <w:r w:rsidRPr="00A36557">
        <w:t>shut down/start up flare systems according to procedures</w:t>
      </w:r>
    </w:p>
    <w:p w:rsidR="00000000" w:rsidRPr="00A36557" w:rsidP="00A36557">
      <w:pPr>
        <w:pStyle w:val="ListBullet"/>
      </w:pPr>
      <w:r w:rsidRPr="00A36557">
        <w:t>recognise conditions</w:t>
      </w:r>
      <w:r w:rsidRPr="00A36557">
        <w:t xml:space="preserve"> which indicate a problem and take appropriate action</w:t>
      </w:r>
    </w:p>
    <w:p w:rsidR="00000000" w:rsidRPr="00A36557" w:rsidP="00A36557">
      <w:pPr>
        <w:pStyle w:val="ListBullet"/>
      </w:pPr>
      <w:r w:rsidRPr="00A36557">
        <w:t>convey information relevant to the operation clearly and effectively.</w:t>
      </w:r>
    </w:p>
    <w:p w:rsidR="00000000" w:rsidRPr="00A36557" w:rsidP="00A36557">
      <w:pPr>
        <w:pStyle w:val="AllowPageBreak"/>
      </w:pPr>
    </w:p>
    <w:p w:rsidR="00000000" w:rsidRPr="00A36557" w:rsidP="00A36557">
      <w:pPr>
        <w:pStyle w:val="Heading1"/>
      </w:pPr>
      <w:bookmarkStart w:id="13" w:name="O_907269"/>
      <w:bookmarkEnd w:id="13"/>
      <w:r w:rsidRPr="00A36557">
        <w:t>Knowledge Evidence</w:t>
      </w:r>
    </w:p>
    <w:p w:rsidR="00000000" w:rsidRPr="00A36557" w:rsidP="00A36557">
      <w:pPr>
        <w:pStyle w:val="ListBullet"/>
      </w:pPr>
      <w:r w:rsidRPr="00A36557">
        <w:t>Evidence must be provided that demonstrates knowledge of:</w:t>
      </w:r>
    </w:p>
    <w:p w:rsidR="00000000" w:rsidRPr="00A36557" w:rsidP="00A36557">
      <w:pPr>
        <w:pStyle w:val="ListBullet"/>
      </w:pPr>
      <w:r w:rsidRPr="00A36557">
        <w:t>hazards that may arise in the job/wor</w:t>
      </w:r>
      <w:r w:rsidRPr="00A36557">
        <w:t>k environment, and:</w:t>
      </w:r>
    </w:p>
    <w:p w:rsidR="00000000" w:rsidRPr="00A36557" w:rsidP="00A36557">
      <w:pPr>
        <w:pStyle w:val="ListBullet2"/>
      </w:pPr>
      <w:r w:rsidRPr="00A36557">
        <w:t xml:space="preserve">their possible causes </w:t>
      </w:r>
    </w:p>
    <w:p w:rsidR="00000000" w:rsidRPr="00A36557" w:rsidP="00A36557">
      <w:pPr>
        <w:pStyle w:val="ListBullet2"/>
      </w:pPr>
      <w:r w:rsidRPr="00A36557">
        <w:t>potential consequences</w:t>
      </w:r>
    </w:p>
    <w:p w:rsidR="00000000" w:rsidRPr="00A36557" w:rsidP="00A36557">
      <w:pPr>
        <w:pStyle w:val="ListBullet2"/>
      </w:pPr>
      <w:r w:rsidRPr="00A36557">
        <w:t xml:space="preserve">appropriate risk controls </w:t>
      </w:r>
    </w:p>
    <w:p w:rsidR="00000000" w:rsidRPr="00A36557" w:rsidP="00A36557">
      <w:pPr>
        <w:pStyle w:val="ListBullet"/>
      </w:pPr>
      <w:r w:rsidRPr="00A36557">
        <w:t>flare system operating principles, requirements and parameters</w:t>
      </w:r>
    </w:p>
    <w:p w:rsidR="00000000" w:rsidRPr="00A36557" w:rsidP="00A36557">
      <w:pPr>
        <w:pStyle w:val="ListBullet"/>
      </w:pPr>
      <w:r w:rsidRPr="00A36557">
        <w:t>routine problems, faults and their symptoms and the corrective action to be taken</w:t>
      </w:r>
    </w:p>
    <w:p w:rsidR="00000000" w:rsidRPr="00A36557" w:rsidP="00A36557">
      <w:pPr>
        <w:pStyle w:val="ListBullet"/>
      </w:pPr>
      <w:r w:rsidRPr="00A36557">
        <w:t>knock on/escalation potential</w:t>
      </w:r>
    </w:p>
    <w:p w:rsidR="00000000" w:rsidRPr="00A36557" w:rsidP="00A36557">
      <w:pPr>
        <w:pStyle w:val="ListBullet"/>
      </w:pPr>
      <w:r w:rsidRPr="00A36557">
        <w:t>process materials likely to be flared and the conditions which will lead to flaring</w:t>
      </w:r>
    </w:p>
    <w:p w:rsidR="00000000" w:rsidRPr="00A36557" w:rsidP="00A36557">
      <w:pPr>
        <w:pStyle w:val="ListBullet"/>
      </w:pPr>
      <w:r w:rsidRPr="00A36557">
        <w:t>relevant environmental requirements</w:t>
      </w:r>
    </w:p>
    <w:p w:rsidR="00000000" w:rsidRPr="00A36557" w:rsidP="00A36557">
      <w:pPr>
        <w:pStyle w:val="ListBullet"/>
      </w:pPr>
      <w:r w:rsidRPr="00A36557">
        <w:t>significance of the exclusion zone</w:t>
      </w:r>
    </w:p>
    <w:p w:rsidR="00000000" w:rsidRPr="00A36557" w:rsidP="00B31618">
      <w:pPr>
        <w:pStyle w:val="BodyText"/>
      </w:pPr>
      <w:r w:rsidRPr="00A36557">
        <w:t>flare start-up, re-ignition and shutdown procedures.</w:t>
      </w:r>
    </w:p>
    <w:p w:rsidR="00000000" w:rsidRPr="00A36557" w:rsidP="00A36557">
      <w:pPr>
        <w:pStyle w:val="Heading1"/>
      </w:pPr>
      <w:bookmarkStart w:id="14" w:name="O_907268"/>
      <w:bookmarkEnd w:id="14"/>
      <w:r w:rsidRPr="00A36557">
        <w:t>A</w:t>
      </w:r>
      <w:r w:rsidRPr="00A36557">
        <w:t>ssessment Conditions</w:t>
      </w:r>
    </w:p>
    <w:p w:rsidR="00000000" w:rsidRPr="00A36557" w:rsidP="00A36557">
      <w:pPr>
        <w:pStyle w:val="ListBullet"/>
      </w:pPr>
      <w:r w:rsidRPr="00A36557">
        <w:t xml:space="preserve">The unit should be assessed holistically and the judgement of competence based on a holistic assessment of the evidence. </w:t>
      </w:r>
    </w:p>
    <w:p w:rsidR="00000000" w:rsidRPr="00A36557" w:rsidP="00A36557">
      <w:pPr>
        <w:pStyle w:val="ListBullet"/>
      </w:pPr>
      <w:r w:rsidRPr="00A36557">
        <w:t>The collection of performance evidence:</w:t>
      </w:r>
    </w:p>
    <w:p w:rsidR="00000000" w:rsidRPr="00A36557" w:rsidP="00A36557">
      <w:pPr>
        <w:pStyle w:val="ListBullet2"/>
      </w:pPr>
      <w:r w:rsidRPr="00A36557">
        <w:t>should occur over a range of situations which include typical disruptions to normal, smooth operation of an operating plant</w:t>
      </w:r>
    </w:p>
    <w:p w:rsidR="00000000" w:rsidRPr="00A36557" w:rsidP="00A36557">
      <w:pPr>
        <w:pStyle w:val="ListBullet2"/>
      </w:pPr>
      <w:r w:rsidRPr="00A36557">
        <w:t>will typically include a supervisor/third-party report or other evidence, focusing on consistent performance and problem recognition</w:t>
      </w:r>
      <w:r w:rsidRPr="00A36557">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A36557">
        <w:t xml:space="preserve">cy </w:t>
      </w:r>
    </w:p>
    <w:p w:rsidR="00000000" w:rsidRPr="00A36557" w:rsidP="00A36557">
      <w:pPr>
        <w:pStyle w:val="ListBullet2"/>
      </w:pPr>
      <w:r w:rsidRPr="00A36557">
        <w:t>must include the use of an appropriate industrial item of equipment requiring demonstration of operation, start-up and shutdown procedures and responding to problems</w:t>
      </w:r>
    </w:p>
    <w:p w:rsidR="00000000" w:rsidRPr="00A36557" w:rsidP="00A36557">
      <w:pPr>
        <w:pStyle w:val="ListBullet2"/>
      </w:pPr>
      <w:r w:rsidRPr="00A36557">
        <w:t>may use industry-based simulation for part only of the unit where safety, lack of oppo</w:t>
      </w:r>
      <w:r w:rsidRPr="00A36557">
        <w:t>rtunity or significant cost is an issue.</w:t>
      </w:r>
    </w:p>
    <w:p w:rsidR="00000000" w:rsidRPr="00A36557" w:rsidP="00A36557">
      <w:pPr>
        <w:pStyle w:val="ListBullet"/>
      </w:pPr>
      <w:r w:rsidRPr="00A36557">
        <w:t xml:space="preserve">Assessment should occur in operational workplace situations. Where this is not possible, or where personal </w:t>
      </w:r>
      <w:r w:rsidRPr="00A36557">
        <w:t>safety or environmental damage are limiting factors, assessment must occur in a sufficiently rigorous simul</w:t>
      </w:r>
      <w:r w:rsidRPr="00A36557">
        <w:t xml:space="preserve">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A36557" w:rsidP="00A36557">
      <w:pPr>
        <w:pStyle w:val="ListBullet"/>
      </w:pPr>
      <w:r w:rsidRPr="00A36557">
        <w:t>Assess</w:t>
      </w:r>
      <w:r w:rsidRPr="00A36557">
        <w:t xml:space="preserve">ment in a simulated environment should use evidence collected from one or more of: </w:t>
      </w:r>
    </w:p>
    <w:p w:rsidR="00000000" w:rsidRPr="00A36557" w:rsidP="00A36557">
      <w:pPr>
        <w:pStyle w:val="ListBullet2"/>
      </w:pPr>
      <w:r w:rsidRPr="00A36557">
        <w:t>walk-throughs</w:t>
      </w:r>
    </w:p>
    <w:p w:rsidR="00000000" w:rsidRPr="00A36557" w:rsidP="00A36557">
      <w:pPr>
        <w:pStyle w:val="ListBullet2"/>
      </w:pPr>
      <w:r w:rsidRPr="00A36557">
        <w:t>pilot plant operation</w:t>
      </w:r>
    </w:p>
    <w:p w:rsidR="00000000" w:rsidRPr="00A36557" w:rsidP="00A36557">
      <w:pPr>
        <w:pStyle w:val="ListBullet2"/>
      </w:pPr>
      <w:r w:rsidRPr="00A36557">
        <w:t xml:space="preserve">demonstration of skills </w:t>
      </w:r>
    </w:p>
    <w:p w:rsidR="00000000" w:rsidRPr="00A36557" w:rsidP="00A36557">
      <w:pPr>
        <w:pStyle w:val="ListBullet2"/>
      </w:pPr>
      <w:r w:rsidRPr="00A36557">
        <w:t xml:space="preserve">industry-based case studies/scenarios </w:t>
      </w:r>
    </w:p>
    <w:p w:rsidR="00000000" w:rsidRPr="00A36557" w:rsidP="00A36557">
      <w:pPr>
        <w:pStyle w:val="ListBullet2"/>
      </w:pPr>
      <w:r w:rsidRPr="00A36557">
        <w:t>‘what ifs’.</w:t>
      </w:r>
    </w:p>
    <w:p w:rsidR="00000000" w:rsidRPr="00A36557" w:rsidP="00A36557">
      <w:pPr>
        <w:pStyle w:val="ListBullet"/>
      </w:pPr>
      <w:r w:rsidRPr="00A36557">
        <w:t>Knowledge evidence may be collected concurrently with performance evidence (provided a record is kept) or through an independent process, such as workbooks, written assessments or interviews (provided a record is kept).</w:t>
      </w:r>
    </w:p>
    <w:p w:rsidR="00000000" w:rsidRPr="00A36557" w:rsidP="00A36557">
      <w:pPr>
        <w:pStyle w:val="ListBullet"/>
      </w:pPr>
      <w:r w:rsidRPr="00A36557">
        <w:t xml:space="preserve">Assessment processes and techniques </w:t>
      </w:r>
      <w:r w:rsidRPr="00A36557">
        <w:t>must be appropriate to the language, literacy and numeracy requirements of the work being performed and the needs of the candidate.</w:t>
      </w:r>
    </w:p>
    <w:p w:rsidR="00000000" w:rsidRPr="00A36557" w:rsidP="00A36557">
      <w:pPr>
        <w:pStyle w:val="ListBullet"/>
      </w:pPr>
      <w:r w:rsidRPr="00A36557">
        <w:t>Conditions for assessment must include access to all tools, equipment, materials and documentation required, including relev</w:t>
      </w:r>
      <w:r w:rsidRPr="00A36557">
        <w:t>ant workplace procedures, product and manufacturing specifications associated with this unit.</w:t>
      </w:r>
    </w:p>
    <w:p w:rsidR="00000000" w:rsidRPr="00A36557" w:rsidP="00A36557">
      <w:pPr>
        <w:pStyle w:val="ListBullet"/>
      </w:pPr>
      <w:r w:rsidRPr="00A36557">
        <w:t>The regulatory framework will be reflected in workplace policies and procedures and is not required to be independently assessed.</w:t>
      </w:r>
    </w:p>
    <w:p w:rsidR="00000000" w:rsidRPr="00A36557" w:rsidP="00A36557">
      <w:pPr>
        <w:pStyle w:val="ListBullet"/>
      </w:pPr>
      <w:r w:rsidRPr="00A36557">
        <w:t>Foundation skills are integral t</w:t>
      </w:r>
      <w:r w:rsidRPr="00A36557">
        <w:t>o competent performance of the unit and should not be assessed separately.</w:t>
      </w:r>
    </w:p>
    <w:p w:rsidR="00000000" w:rsidRPr="00A36557" w:rsidP="00A36557">
      <w:pPr>
        <w:pStyle w:val="ListBullet"/>
      </w:pPr>
      <w:r w:rsidRPr="00A36557">
        <w:t>Assessors must satisfy the assessor competency requirements that are in place at the time of the assessment as set by the VET regulator.</w:t>
      </w:r>
    </w:p>
    <w:p w:rsidR="00000000" w:rsidRPr="00A36557" w:rsidP="00A36557">
      <w:pPr>
        <w:pStyle w:val="ListBullet"/>
      </w:pPr>
      <w:r w:rsidRPr="00A36557">
        <w:t>In addition, the assessor or anyone acting i</w:t>
      </w:r>
      <w:r w:rsidRPr="00A36557">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A36557" w:rsidP="00A36557">
      <w:pPr>
        <w:pStyle w:val="ListBullet"/>
      </w:pPr>
      <w:r w:rsidRPr="00A36557">
        <w:t>Techni</w:t>
      </w:r>
      <w:r w:rsidRPr="00A36557">
        <w:t>cal competence can be demonstrated through one or more of:</w:t>
      </w:r>
    </w:p>
    <w:p w:rsidR="00000000" w:rsidRPr="00A36557" w:rsidP="00A36557">
      <w:pPr>
        <w:pStyle w:val="ListBullet2"/>
      </w:pPr>
      <w:r w:rsidRPr="00A36557">
        <w:t xml:space="preserve">relevant VET or other qualification/Statement of Attainment </w:t>
      </w:r>
    </w:p>
    <w:p w:rsidR="00000000" w:rsidRPr="00A36557" w:rsidP="00A36557">
      <w:pPr>
        <w:pStyle w:val="ListBullet2"/>
      </w:pPr>
      <w:r w:rsidRPr="00A36557">
        <w:t xml:space="preserve">appropriate workplace experience undertaking the type of work being assessed under routine and non-routine conditions </w:t>
      </w:r>
    </w:p>
    <w:p w:rsidR="00000000" w:rsidRPr="00A36557" w:rsidP="00A36557">
      <w:pPr>
        <w:pStyle w:val="ListBullet2"/>
      </w:pPr>
      <w:r w:rsidRPr="00A36557">
        <w:t>appropriate work</w:t>
      </w:r>
      <w:r w:rsidRPr="00A36557">
        <w:t>place experience supervising/evaluating the type of work being assessed under routine and non-routine conditions</w:t>
      </w:r>
    </w:p>
    <w:p w:rsidR="00000000" w:rsidRPr="00A36557" w:rsidP="00A36557">
      <w:pPr>
        <w:pStyle w:val="ListBullet"/>
      </w:pPr>
      <w:r w:rsidRPr="00A36557">
        <w:t>Currency can be demonstrated through one or more of:</w:t>
      </w:r>
    </w:p>
    <w:p w:rsidR="00000000" w:rsidRPr="00A36557" w:rsidP="00A36557">
      <w:pPr>
        <w:pStyle w:val="ListBullet2"/>
      </w:pPr>
      <w:r w:rsidRPr="00A36557">
        <w:t xml:space="preserve">being currently employed undertaking the type of work being assessed </w:t>
      </w:r>
    </w:p>
    <w:p w:rsidR="00000000" w:rsidRPr="00A36557" w:rsidP="00A36557">
      <w:pPr>
        <w:pStyle w:val="ListBullet2"/>
      </w:pPr>
      <w:r w:rsidRPr="00A36557">
        <w:t xml:space="preserve">being employed by the organisation undertaking the type of work being assessed and having maintained currency in accordance with that organisation’s policies and procedures </w:t>
      </w:r>
    </w:p>
    <w:p w:rsidR="00000000" w:rsidRPr="00A36557" w:rsidP="00A36557">
      <w:pPr>
        <w:pStyle w:val="ListBullet2"/>
      </w:pPr>
      <w:r w:rsidRPr="00A36557">
        <w:t>having consulted/had contact with an organisation undertaking the type of work bei</w:t>
      </w:r>
      <w:r w:rsidRPr="00A36557">
        <w:t xml:space="preserve">ng assessed within the last twelve months, the consultation/contact being related to assessment </w:t>
      </w:r>
    </w:p>
    <w:p w:rsidR="00000000" w:rsidRPr="00A36557" w:rsidP="00A36557">
      <w:pPr>
        <w:pStyle w:val="ListBullet2"/>
      </w:pPr>
      <w:r w:rsidRPr="00A36557">
        <w:t xml:space="preserve">conducting on the job training/assessments of the type of work being assessed </w:t>
      </w:r>
    </w:p>
    <w:p w:rsidR="00000000" w:rsidRPr="00A36557" w:rsidP="00A36557">
      <w:pPr>
        <w:pStyle w:val="ListBullet2"/>
      </w:pPr>
      <w:r w:rsidRPr="00A36557">
        <w:t>being an active member of a relevant professional body and participating in acti</w:t>
      </w:r>
      <w:r w:rsidRPr="00A36557">
        <w:t>vities relevant to the assessment of this type of work.</w:t>
      </w:r>
    </w:p>
    <w:p w:rsidR="00000000" w:rsidRPr="00A36557" w:rsidP="00A36557">
      <w:pPr>
        <w:pStyle w:val="AllowPageBreak"/>
      </w:pPr>
    </w:p>
    <w:p w:rsidR="00000000" w:rsidRPr="00A36557" w:rsidP="00A36557">
      <w:pPr>
        <w:pStyle w:val="Heading1"/>
      </w:pPr>
      <w:bookmarkStart w:id="15" w:name="O_907266"/>
      <w:bookmarkEnd w:id="15"/>
      <w:r w:rsidRPr="00A36557">
        <w:t>Links</w:t>
      </w:r>
    </w:p>
    <w:p w:rsidR="00000000" w:rsidRPr="00A36557" w:rsidP="00B31618">
      <w:pPr>
        <w:pStyle w:val="BodyText"/>
      </w:pPr>
      <w:r w:rsidRPr="00A3655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96722">
        <w:rPr>
          <w:rStyle w:val="Hyperlink"/>
        </w:rPr>
        <w:t>https://vetnet.gov.au/Pages/TrainingDocs.aspx?q=9fc2cf53-e570-4e9f-ad6a-b228ffdb6875</w:t>
      </w:r>
      <w:r>
        <w:fldChar w:fldCharType="end"/>
      </w:r>
    </w:p>
    <w:p w:rsidR="00000000" w:rsidRPr="00A36557" w:rsidP="00A36557"/>
    <w:sectPr w:rsidSect="00A365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57" w:rsidRPr="00B31618" w:rsidP="00B31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18" w:rsidP="00A36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31618" w:rsidP="00A365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1618" w:rsidP="00A365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57" w:rsidP="00A36557">
    <w:pPr>
      <w:pStyle w:val="Footer"/>
      <w:framePr w:wrap="around"/>
    </w:pPr>
    <w:r>
      <w:fldChar w:fldCharType="begin"/>
    </w:r>
    <w:r>
      <w:instrText xml:space="preserve"> DOCPROPERTY  Subject  \* MERGEFORMAT </w:instrText>
    </w:r>
    <w:r>
      <w:fldChar w:fldCharType="separate"/>
    </w:r>
    <w:r w:rsidR="00B31618">
      <w:t>Approved</w:t>
    </w:r>
    <w:r w:rsidR="00B31618">
      <w:fldChar w:fldCharType="end"/>
    </w:r>
    <w:r>
      <w:tab/>
      <w:t xml:space="preserve">Page </w:t>
    </w:r>
    <w:r>
      <w:fldChar w:fldCharType="begin"/>
    </w:r>
    <w:r>
      <w:instrText xml:space="preserve"> PAGE  \* Arabic  \* MERGEFORMAT </w:instrText>
    </w:r>
    <w:r>
      <w:fldChar w:fldCharType="separate"/>
    </w:r>
    <w:r w:rsidR="00B3161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1618">
      <w:rPr>
        <w:noProof/>
      </w:rPr>
      <w:t>7</w:t>
    </w:r>
    <w:r>
      <w:rPr>
        <w:noProof/>
      </w:rPr>
      <w:fldChar w:fldCharType="end"/>
    </w:r>
  </w:p>
  <w:p w:rsidR="00A36557" w:rsidP="00A36557">
    <w:pPr>
      <w:pStyle w:val="Footer"/>
      <w:framePr w:wrap="around"/>
    </w:pPr>
    <w:r>
      <w:t xml:space="preserve">© Commonwealth of Australia, </w:t>
    </w:r>
    <w:r>
      <w:fldChar w:fldCharType="begin"/>
    </w:r>
    <w:r>
      <w:instrText xml:space="preserve"> DATE  \@ "yyyy"  \* MERGEFORMAT </w:instrText>
    </w:r>
    <w:r>
      <w:fldChar w:fldCharType="separate"/>
    </w:r>
    <w:r w:rsidR="00B31618">
      <w:rPr>
        <w:noProof/>
      </w:rPr>
      <w:t>2025</w:t>
    </w:r>
    <w:r>
      <w:fldChar w:fldCharType="end"/>
    </w:r>
    <w:r>
      <w:tab/>
    </w:r>
    <w:r>
      <w:fldChar w:fldCharType="begin"/>
    </w:r>
    <w:r>
      <w:instrText xml:space="preserve"> DOCPROPERTY  Author  \* MERGEFORMAT </w:instrText>
    </w:r>
    <w:r>
      <w:fldChar w:fldCharType="separate"/>
    </w:r>
    <w:r w:rsidR="00B31618">
      <w:t>Manufacturing Industry Skills Alliance</w:t>
    </w:r>
    <w:r w:rsidR="00B31618">
      <w:fldChar w:fldCharType="end"/>
    </w:r>
  </w:p>
  <w:p w:rsidR="00A36557" w:rsidP="00A365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557" w:rsidRPr="00B31618" w:rsidP="00B31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18" w:rsidRPr="002D2AF8" w:rsidP="00A36557">
    <w:pPr>
      <w:pStyle w:val="Header"/>
      <w:framePr w:wrap="around"/>
    </w:pPr>
    <w:r>
      <w:fldChar w:fldCharType="begin"/>
    </w:r>
    <w:r>
      <w:instrText xml:space="preserve"> TITLE   \* MERGEFORMAT </w:instrText>
    </w:r>
    <w:r>
      <w:fldChar w:fldCharType="separate"/>
    </w:r>
    <w:r>
      <w:t>PMAOPS226 Monitor and operate flare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1618" w:rsidP="00A365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57" w:rsidRPr="002D2AF8" w:rsidP="00A36557">
    <w:pPr>
      <w:pStyle w:val="Header"/>
      <w:framePr w:wrap="around"/>
    </w:pPr>
    <w:r>
      <w:fldChar w:fldCharType="begin"/>
    </w:r>
    <w:r>
      <w:instrText xml:space="preserve"> TITLE   \* MERGEFORMAT </w:instrText>
    </w:r>
    <w:r>
      <w:fldChar w:fldCharType="separate"/>
    </w:r>
    <w:r w:rsidR="00B31618">
      <w:t>PMAOPS226 Monitor and operate flare systems</w:t>
    </w:r>
    <w:r w:rsidR="00B31618">
      <w:fldChar w:fldCharType="end"/>
    </w:r>
    <w:r>
      <w:tab/>
      <w:t xml:space="preserve">Date this document was generated: </w:t>
    </w:r>
    <w:r>
      <w:fldChar w:fldCharType="begin"/>
    </w:r>
    <w:r>
      <w:instrText xml:space="preserve"> CREATEDATE  \@ "d MMMM yyyy"  \* MERGEFORMAT </w:instrText>
    </w:r>
    <w:r>
      <w:fldChar w:fldCharType="separate"/>
    </w:r>
    <w:r w:rsidR="00B31618">
      <w:rPr>
        <w:noProof/>
      </w:rPr>
      <w:t>2 March 2025</w:t>
    </w:r>
    <w:r>
      <w:fldChar w:fldCharType="end"/>
    </w:r>
  </w:p>
  <w:p w:rsidR="00A36557" w:rsidP="00A365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69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4D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F85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557"/>
    <w:pPr>
      <w:spacing w:before="360" w:after="60"/>
      <w:outlineLvl w:val="0"/>
    </w:pPr>
    <w:rPr>
      <w:sz w:val="32"/>
    </w:rPr>
  </w:style>
  <w:style w:type="paragraph" w:styleId="Heading2">
    <w:name w:val="heading 2"/>
    <w:basedOn w:val="HeadingBase"/>
    <w:next w:val="BodyText"/>
    <w:link w:val="Heading2Char"/>
    <w:qFormat/>
    <w:rsid w:val="00A36557"/>
    <w:pPr>
      <w:keepLines/>
      <w:spacing w:before="240" w:after="120"/>
      <w:outlineLvl w:val="1"/>
    </w:pPr>
    <w:rPr>
      <w:sz w:val="28"/>
      <w:szCs w:val="40"/>
    </w:rPr>
  </w:style>
  <w:style w:type="paragraph" w:styleId="Heading3">
    <w:name w:val="heading 3"/>
    <w:basedOn w:val="HeadingBase"/>
    <w:next w:val="BodyText"/>
    <w:link w:val="Heading3Char"/>
    <w:qFormat/>
    <w:rsid w:val="00A36557"/>
    <w:pPr>
      <w:spacing w:before="180" w:after="120"/>
      <w:outlineLvl w:val="2"/>
    </w:pPr>
    <w:rPr>
      <w:spacing w:val="-10"/>
      <w:kern w:val="32"/>
    </w:rPr>
  </w:style>
  <w:style w:type="paragraph" w:styleId="Heading4">
    <w:name w:val="heading 4"/>
    <w:basedOn w:val="HeadingBase"/>
    <w:next w:val="BodyText"/>
    <w:link w:val="Heading4Char"/>
    <w:qFormat/>
    <w:rsid w:val="00A36557"/>
    <w:pPr>
      <w:spacing w:before="160" w:after="120"/>
      <w:outlineLvl w:val="3"/>
    </w:pPr>
    <w:rPr>
      <w:sz w:val="22"/>
    </w:rPr>
  </w:style>
  <w:style w:type="paragraph" w:styleId="Heading5">
    <w:name w:val="heading 5"/>
    <w:basedOn w:val="HeadingBase"/>
    <w:next w:val="Normal"/>
    <w:link w:val="Heading5Char"/>
    <w:qFormat/>
    <w:rsid w:val="00A36557"/>
    <w:pPr>
      <w:spacing w:before="80"/>
      <w:outlineLvl w:val="4"/>
    </w:pPr>
    <w:rPr>
      <w:color w:val="918585"/>
      <w:sz w:val="20"/>
    </w:rPr>
  </w:style>
  <w:style w:type="paragraph" w:styleId="Heading6">
    <w:name w:val="heading 6"/>
    <w:basedOn w:val="HeadingBase"/>
    <w:next w:val="Normal"/>
    <w:link w:val="Heading6Char"/>
    <w:qFormat/>
    <w:rsid w:val="00A36557"/>
    <w:pPr>
      <w:spacing w:before="60"/>
      <w:outlineLvl w:val="5"/>
    </w:pPr>
    <w:rPr>
      <w:color w:val="918585"/>
      <w:sz w:val="20"/>
    </w:rPr>
  </w:style>
  <w:style w:type="paragraph" w:styleId="Heading7">
    <w:name w:val="heading 7"/>
    <w:basedOn w:val="Normal"/>
    <w:next w:val="Normal"/>
    <w:link w:val="Heading7Char"/>
    <w:qFormat/>
    <w:rsid w:val="00A36557"/>
    <w:pPr>
      <w:ind w:left="720"/>
      <w:outlineLvl w:val="6"/>
    </w:pPr>
    <w:rPr>
      <w:i/>
    </w:rPr>
  </w:style>
  <w:style w:type="paragraph" w:styleId="Heading8">
    <w:name w:val="heading 8"/>
    <w:basedOn w:val="Normal"/>
    <w:next w:val="Normal"/>
    <w:link w:val="Heading8Char"/>
    <w:qFormat/>
    <w:rsid w:val="00A36557"/>
    <w:pPr>
      <w:ind w:left="720"/>
      <w:outlineLvl w:val="7"/>
    </w:pPr>
    <w:rPr>
      <w:i/>
    </w:rPr>
  </w:style>
  <w:style w:type="paragraph" w:styleId="Heading9">
    <w:name w:val="heading 9"/>
    <w:basedOn w:val="Normal"/>
    <w:next w:val="Normal"/>
    <w:link w:val="Heading9Char"/>
    <w:qFormat/>
    <w:rsid w:val="00A36557"/>
    <w:pPr>
      <w:ind w:left="720"/>
      <w:outlineLvl w:val="8"/>
    </w:pPr>
    <w:rPr>
      <w:i/>
    </w:rPr>
  </w:style>
  <w:style w:type="character" w:default="1" w:styleId="DefaultParagraphFont">
    <w:name w:val="Default Paragraph Font"/>
    <w:uiPriority w:val="1"/>
    <w:unhideWhenUsed/>
    <w:rsid w:val="00A36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557"/>
  </w:style>
  <w:style w:type="character" w:customStyle="1" w:styleId="Heading1Char">
    <w:name w:val="Heading 1 Char"/>
    <w:basedOn w:val="DefaultParagraphFont"/>
    <w:link w:val="Heading1"/>
    <w:rsid w:val="00A36557"/>
    <w:rPr>
      <w:rFonts w:ascii="Times New Roman" w:eastAsia="Times New Roman" w:hAnsi="Times New Roman" w:cs="Times New Roman"/>
      <w:b/>
      <w:sz w:val="32"/>
      <w:szCs w:val="20"/>
      <w:lang w:eastAsia="en-US"/>
    </w:rPr>
  </w:style>
  <w:style w:type="paragraph" w:styleId="BodyText">
    <w:name w:val="Body Text"/>
    <w:basedOn w:val="Normal"/>
    <w:link w:val="BodyTextChar"/>
    <w:rsid w:val="00A365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557"/>
    <w:rPr>
      <w:rFonts w:ascii="Times New Roman" w:eastAsia="Times New Roman" w:hAnsi="Times New Roman" w:cs="Times New Roman"/>
      <w:sz w:val="24"/>
      <w:lang w:eastAsia="en-US"/>
    </w:rPr>
  </w:style>
  <w:style w:type="paragraph" w:styleId="ListBullet">
    <w:name w:val="List Bullet"/>
    <w:basedOn w:val="List"/>
    <w:rsid w:val="00A36557"/>
    <w:pPr>
      <w:numPr>
        <w:numId w:val="12"/>
      </w:numPr>
      <w:tabs>
        <w:tab w:val="clear" w:pos="340"/>
      </w:tabs>
      <w:spacing w:before="40" w:after="40"/>
    </w:pPr>
  </w:style>
  <w:style w:type="character" w:customStyle="1" w:styleId="SpecialBold">
    <w:name w:val="Special Bold"/>
    <w:basedOn w:val="DefaultParagraphFont"/>
    <w:rsid w:val="00A36557"/>
    <w:rPr>
      <w:b/>
      <w:spacing w:val="0"/>
    </w:rPr>
  </w:style>
  <w:style w:type="paragraph" w:styleId="ListBullet2">
    <w:name w:val="List Bullet 2"/>
    <w:basedOn w:val="List2"/>
    <w:rsid w:val="00A36557"/>
    <w:pPr>
      <w:numPr>
        <w:numId w:val="13"/>
      </w:numPr>
      <w:tabs>
        <w:tab w:val="clear" w:pos="680"/>
      </w:tabs>
    </w:pPr>
  </w:style>
  <w:style w:type="paragraph" w:customStyle="1" w:styleId="SuperHeading">
    <w:name w:val="SuperHeading"/>
    <w:basedOn w:val="Normal"/>
    <w:rsid w:val="00A36557"/>
    <w:pPr>
      <w:spacing w:before="240" w:after="120"/>
      <w:outlineLvl w:val="0"/>
    </w:pPr>
    <w:rPr>
      <w:rFonts w:ascii="Times New Roman" w:hAnsi="Times New Roman"/>
      <w:b/>
      <w:sz w:val="32"/>
    </w:rPr>
  </w:style>
  <w:style w:type="paragraph" w:customStyle="1" w:styleId="AllowPageBreak">
    <w:name w:val="AllowPageBreak"/>
    <w:rsid w:val="00A365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557"/>
    <w:rPr>
      <w:rFonts w:ascii="Courier New" w:eastAsia="Times New Roman" w:hAnsi="Courier New" w:cs="Times New Roman"/>
      <w:i/>
      <w:szCs w:val="20"/>
      <w:lang w:eastAsia="en-US"/>
    </w:rPr>
  </w:style>
  <w:style w:type="paragraph" w:customStyle="1" w:styleId="HeadingBase">
    <w:name w:val="Heading Base"/>
    <w:rsid w:val="00A36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557"/>
    <w:pPr>
      <w:tabs>
        <w:tab w:val="right" w:leader="dot" w:pos="9072"/>
      </w:tabs>
      <w:ind w:left="567"/>
    </w:pPr>
    <w:rPr>
      <w:szCs w:val="22"/>
    </w:rPr>
  </w:style>
  <w:style w:type="paragraph" w:customStyle="1" w:styleId="TOCBase">
    <w:name w:val="TOC Base"/>
    <w:rsid w:val="00A36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557"/>
    <w:pPr>
      <w:tabs>
        <w:tab w:val="right" w:leader="dot" w:pos="9072"/>
      </w:tabs>
      <w:spacing w:before="40" w:after="40"/>
      <w:ind w:left="284"/>
    </w:pPr>
    <w:rPr>
      <w:rFonts w:ascii="Times New Roman" w:hAnsi="Times New Roman"/>
    </w:rPr>
  </w:style>
  <w:style w:type="paragraph" w:styleId="TOC1">
    <w:name w:val="toc 1"/>
    <w:basedOn w:val="TOCBase"/>
    <w:next w:val="Normal"/>
    <w:rsid w:val="00A365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557"/>
    <w:rPr>
      <w:rFonts w:ascii="Times New Roman" w:eastAsia="Times New Roman" w:hAnsi="Times New Roman" w:cs="Times New Roman"/>
      <w:sz w:val="16"/>
      <w:lang w:eastAsia="en-US"/>
    </w:rPr>
  </w:style>
  <w:style w:type="paragraph" w:styleId="Title">
    <w:name w:val="Title"/>
    <w:basedOn w:val="HeadingBase"/>
    <w:link w:val="TitleChar"/>
    <w:qFormat/>
    <w:rsid w:val="00A36557"/>
    <w:pPr>
      <w:spacing w:before="5040"/>
      <w:jc w:val="center"/>
    </w:pPr>
    <w:rPr>
      <w:sz w:val="48"/>
      <w:szCs w:val="72"/>
      <w:lang w:val="en-US"/>
    </w:rPr>
  </w:style>
  <w:style w:type="character" w:customStyle="1" w:styleId="TitleChar">
    <w:name w:val="Title Char"/>
    <w:basedOn w:val="DefaultParagraphFont"/>
    <w:link w:val="Title"/>
    <w:rsid w:val="00A36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557"/>
    <w:pPr>
      <w:tabs>
        <w:tab w:val="left" w:pos="3600"/>
        <w:tab w:val="left" w:pos="3958"/>
      </w:tabs>
    </w:pPr>
  </w:style>
  <w:style w:type="paragraph" w:styleId="List">
    <w:name w:val="List"/>
    <w:basedOn w:val="BodyText"/>
    <w:next w:val="BodyText"/>
    <w:rsid w:val="00A36557"/>
    <w:pPr>
      <w:tabs>
        <w:tab w:val="left" w:pos="340"/>
      </w:tabs>
      <w:spacing w:before="60" w:after="60"/>
      <w:ind w:left="340" w:hanging="340"/>
    </w:pPr>
  </w:style>
  <w:style w:type="paragraph" w:customStyle="1" w:styleId="Note">
    <w:name w:val="Note"/>
    <w:basedOn w:val="BodyText"/>
    <w:rsid w:val="00A365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557"/>
    <w:pPr>
      <w:framePr w:wrap="auto" w:hAnchor="text" w:y="6049"/>
    </w:pPr>
    <w:rPr>
      <w:color w:val="000000"/>
      <w:sz w:val="40"/>
    </w:rPr>
  </w:style>
  <w:style w:type="paragraph" w:customStyle="1" w:styleId="TOCTitle">
    <w:name w:val="TOCTitle"/>
    <w:basedOn w:val="Heading1"/>
    <w:rsid w:val="00A36557"/>
    <w:pPr>
      <w:spacing w:after="240"/>
      <w:jc w:val="center"/>
      <w:outlineLvl w:val="9"/>
    </w:pPr>
    <w:rPr>
      <w:caps/>
    </w:rPr>
  </w:style>
  <w:style w:type="paragraph" w:customStyle="1" w:styleId="Version">
    <w:name w:val="Version"/>
    <w:rsid w:val="00A365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557"/>
    <w:pPr>
      <w:keepNext w:val="0"/>
      <w:tabs>
        <w:tab w:val="right" w:pos="4176"/>
      </w:tabs>
      <w:ind w:left="198" w:hanging="198"/>
    </w:pPr>
    <w:rPr>
      <w:rFonts w:ascii="Garamond" w:hAnsi="Garamond"/>
    </w:rPr>
  </w:style>
  <w:style w:type="paragraph" w:styleId="IndexHeading">
    <w:name w:val="index heading"/>
    <w:basedOn w:val="Normal"/>
    <w:next w:val="Index1"/>
    <w:semiHidden/>
    <w:rsid w:val="00A36557"/>
    <w:pPr>
      <w:spacing w:before="120" w:after="120"/>
    </w:pPr>
    <w:rPr>
      <w:rFonts w:ascii="Arial" w:hAnsi="Arial"/>
      <w:b/>
      <w:color w:val="918585"/>
      <w:sz w:val="24"/>
    </w:rPr>
  </w:style>
  <w:style w:type="paragraph" w:styleId="Header">
    <w:name w:val="header"/>
    <w:basedOn w:val="Normal"/>
    <w:link w:val="HeaderChar"/>
    <w:rsid w:val="00A36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557"/>
    <w:rPr>
      <w:rFonts w:ascii="Times New Roman" w:eastAsia="Times New Roman" w:hAnsi="Times New Roman" w:cs="Times New Roman"/>
      <w:sz w:val="16"/>
      <w:szCs w:val="20"/>
      <w:lang w:val="en-GB" w:eastAsia="en-US"/>
    </w:rPr>
  </w:style>
  <w:style w:type="paragraph" w:customStyle="1" w:styleId="Chapter">
    <w:name w:val="Chapter"/>
    <w:basedOn w:val="Normal"/>
    <w:rsid w:val="00A36557"/>
    <w:pPr>
      <w:spacing w:before="240"/>
    </w:pPr>
    <w:rPr>
      <w:rFonts w:ascii="Times New Roman" w:hAnsi="Times New Roman"/>
      <w:smallCaps/>
      <w:spacing w:val="80"/>
      <w:sz w:val="28"/>
    </w:rPr>
  </w:style>
  <w:style w:type="paragraph" w:customStyle="1" w:styleId="InChapter">
    <w:name w:val="InChapter"/>
    <w:basedOn w:val="Heading3"/>
    <w:rsid w:val="00A36557"/>
    <w:pPr>
      <w:spacing w:after="240"/>
      <w:outlineLvl w:val="9"/>
    </w:pPr>
    <w:rPr>
      <w:noProof/>
    </w:rPr>
  </w:style>
  <w:style w:type="paragraph" w:styleId="Index2">
    <w:name w:val="index 2"/>
    <w:basedOn w:val="Normal"/>
    <w:next w:val="Normal"/>
    <w:semiHidden/>
    <w:rsid w:val="00A36557"/>
    <w:pPr>
      <w:tabs>
        <w:tab w:val="right" w:pos="4176"/>
      </w:tabs>
      <w:ind w:left="568" w:hanging="284"/>
    </w:pPr>
    <w:rPr>
      <w:rFonts w:ascii="Garamond" w:hAnsi="Garamond"/>
    </w:rPr>
  </w:style>
  <w:style w:type="paragraph" w:customStyle="1" w:styleId="Byline">
    <w:name w:val="Byline"/>
    <w:rsid w:val="00A36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557"/>
    <w:pPr>
      <w:tabs>
        <w:tab w:val="clear" w:pos="3600"/>
        <w:tab w:val="clear" w:pos="3958"/>
      </w:tabs>
      <w:jc w:val="right"/>
    </w:pPr>
  </w:style>
  <w:style w:type="character" w:styleId="Emphasis">
    <w:name w:val="Emphasis"/>
    <w:basedOn w:val="DefaultParagraphFont"/>
    <w:qFormat/>
    <w:rsid w:val="00A36557"/>
    <w:rPr>
      <w:i/>
    </w:rPr>
  </w:style>
  <w:style w:type="paragraph" w:styleId="Caption">
    <w:name w:val="caption"/>
    <w:basedOn w:val="BodyText"/>
    <w:next w:val="Normal"/>
    <w:qFormat/>
    <w:rsid w:val="00A36557"/>
    <w:pPr>
      <w:framePr w:w="2268" w:hSpace="181" w:vSpace="181" w:wrap="around" w:vAnchor="text" w:hAnchor="page" w:x="1135" w:y="285" w:anchorLock="1"/>
    </w:pPr>
    <w:rPr>
      <w:i/>
    </w:rPr>
  </w:style>
  <w:style w:type="paragraph" w:customStyle="1" w:styleId="MiniTOCTitle">
    <w:name w:val="MiniTOCTitle"/>
    <w:basedOn w:val="Heading4"/>
    <w:rsid w:val="00A36557"/>
    <w:pPr>
      <w:spacing w:before="240"/>
      <w:outlineLvl w:val="9"/>
    </w:pPr>
    <w:rPr>
      <w:noProof/>
      <w:sz w:val="24"/>
    </w:rPr>
  </w:style>
  <w:style w:type="paragraph" w:customStyle="1" w:styleId="MiniTOCItem">
    <w:name w:val="MiniTOCItem"/>
    <w:basedOn w:val="ListBullet"/>
    <w:rsid w:val="00A36557"/>
    <w:pPr>
      <w:numPr>
        <w:numId w:val="0"/>
      </w:numPr>
      <w:tabs>
        <w:tab w:val="right" w:leader="dot" w:pos="6521"/>
      </w:tabs>
      <w:spacing w:before="0" w:after="0"/>
    </w:pPr>
  </w:style>
  <w:style w:type="paragraph" w:customStyle="1" w:styleId="TOFTitle">
    <w:name w:val="TOFTitle"/>
    <w:basedOn w:val="TOCTitle"/>
    <w:rsid w:val="00A36557"/>
  </w:style>
  <w:style w:type="paragraph" w:styleId="TableofFigures">
    <w:name w:val="table of figures"/>
    <w:basedOn w:val="Normal"/>
    <w:next w:val="Normal"/>
    <w:semiHidden/>
    <w:rsid w:val="00A36557"/>
    <w:pPr>
      <w:tabs>
        <w:tab w:val="right" w:leader="dot" w:pos="9072"/>
      </w:tabs>
      <w:ind w:left="970" w:hanging="403"/>
    </w:pPr>
    <w:rPr>
      <w:rFonts w:ascii="Times New Roman" w:hAnsi="Times New Roman"/>
      <w:b/>
    </w:rPr>
  </w:style>
  <w:style w:type="paragraph" w:styleId="ListNumber">
    <w:name w:val="List Number"/>
    <w:basedOn w:val="List"/>
    <w:rsid w:val="00A36557"/>
    <w:pPr>
      <w:numPr>
        <w:numId w:val="15"/>
      </w:numPr>
      <w:tabs>
        <w:tab w:val="clear" w:pos="340"/>
      </w:tabs>
    </w:pPr>
  </w:style>
  <w:style w:type="character" w:customStyle="1" w:styleId="WingdingSymbols">
    <w:name w:val="Wingding Symbols"/>
    <w:rsid w:val="00A36557"/>
    <w:rPr>
      <w:rFonts w:ascii="Wingdings" w:hAnsi="Wingdings"/>
    </w:rPr>
  </w:style>
  <w:style w:type="paragraph" w:customStyle="1" w:styleId="TableHeading">
    <w:name w:val="Table Heading"/>
    <w:basedOn w:val="HeadingBase"/>
    <w:rsid w:val="00A36557"/>
    <w:pPr>
      <w:keepLines/>
      <w:pBdr>
        <w:bottom w:val="single" w:sz="6" w:space="1" w:color="918585"/>
      </w:pBdr>
      <w:spacing w:before="240"/>
    </w:pPr>
  </w:style>
  <w:style w:type="character" w:customStyle="1" w:styleId="HotSpot">
    <w:name w:val="HotSpot"/>
    <w:rsid w:val="00A36557"/>
    <w:rPr>
      <w:color w:val="0033CC"/>
      <w:u w:val="none"/>
    </w:rPr>
  </w:style>
  <w:style w:type="paragraph" w:customStyle="1" w:styleId="BodyTextRight">
    <w:name w:val="Body Text Right"/>
    <w:basedOn w:val="BodyText"/>
    <w:rsid w:val="00A36557"/>
    <w:pPr>
      <w:spacing w:before="0" w:after="0"/>
      <w:jc w:val="right"/>
    </w:pPr>
  </w:style>
  <w:style w:type="paragraph" w:styleId="Index3">
    <w:name w:val="index 3"/>
    <w:basedOn w:val="ListNumber2"/>
    <w:next w:val="Normal"/>
    <w:semiHidden/>
    <w:rsid w:val="00A36557"/>
    <w:pPr>
      <w:numPr>
        <w:numId w:val="0"/>
      </w:numPr>
      <w:tabs>
        <w:tab w:val="right" w:leader="dot" w:pos="4176"/>
      </w:tabs>
    </w:pPr>
  </w:style>
  <w:style w:type="paragraph" w:styleId="ListNumber2">
    <w:name w:val="List Number 2"/>
    <w:basedOn w:val="List2"/>
    <w:rsid w:val="00A36557"/>
    <w:pPr>
      <w:numPr>
        <w:numId w:val="10"/>
      </w:numPr>
      <w:tabs>
        <w:tab w:val="clear" w:pos="1060"/>
      </w:tabs>
    </w:pPr>
  </w:style>
  <w:style w:type="paragraph" w:customStyle="1" w:styleId="MarginNote">
    <w:name w:val="Margin Note"/>
    <w:basedOn w:val="BodyText"/>
    <w:rsid w:val="00A36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557"/>
    <w:rPr>
      <w:sz w:val="32"/>
    </w:rPr>
  </w:style>
  <w:style w:type="paragraph" w:customStyle="1" w:styleId="HeadingProcedure">
    <w:name w:val="Heading Procedure"/>
    <w:basedOn w:val="HeadingBase"/>
    <w:next w:val="Normal"/>
    <w:rsid w:val="00A36557"/>
    <w:pPr>
      <w:tabs>
        <w:tab w:val="left" w:pos="0"/>
      </w:tabs>
      <w:spacing w:before="120" w:after="60"/>
    </w:pPr>
    <w:rPr>
      <w:i/>
      <w:color w:val="918585"/>
      <w:sz w:val="22"/>
    </w:rPr>
  </w:style>
  <w:style w:type="paragraph" w:customStyle="1" w:styleId="TableBodyText">
    <w:name w:val="Table Body Text"/>
    <w:basedOn w:val="BodyText"/>
    <w:rsid w:val="00A36557"/>
    <w:pPr>
      <w:spacing w:before="60" w:after="60"/>
    </w:pPr>
  </w:style>
  <w:style w:type="paragraph" w:styleId="ListContinue">
    <w:name w:val="List Continue"/>
    <w:basedOn w:val="List"/>
    <w:rsid w:val="00A36557"/>
    <w:pPr>
      <w:ind w:firstLine="0"/>
    </w:pPr>
  </w:style>
  <w:style w:type="paragraph" w:customStyle="1" w:styleId="ListNote">
    <w:name w:val="List Note"/>
    <w:basedOn w:val="List"/>
    <w:rsid w:val="00A36557"/>
    <w:pPr>
      <w:pBdr>
        <w:top w:val="single" w:sz="6" w:space="2" w:color="918585"/>
        <w:bottom w:val="single" w:sz="6" w:space="2" w:color="918585"/>
      </w:pBdr>
      <w:tabs>
        <w:tab w:val="left" w:pos="1021"/>
      </w:tabs>
      <w:ind w:firstLine="0"/>
    </w:pPr>
  </w:style>
  <w:style w:type="paragraph" w:customStyle="1" w:styleId="Warning">
    <w:name w:val="Warning"/>
    <w:basedOn w:val="BodyText"/>
    <w:rsid w:val="00A36557"/>
    <w:pPr>
      <w:shd w:val="clear" w:color="auto" w:fill="D9D9D9"/>
      <w:tabs>
        <w:tab w:val="left" w:pos="992"/>
      </w:tabs>
      <w:ind w:left="119" w:right="119"/>
    </w:pPr>
    <w:rPr>
      <w:sz w:val="20"/>
    </w:rPr>
  </w:style>
  <w:style w:type="paragraph" w:customStyle="1" w:styleId="MarginIcons">
    <w:name w:val="Margin Icons"/>
    <w:basedOn w:val="BodyText"/>
    <w:rsid w:val="00A36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557"/>
    <w:rPr>
      <w:rFonts w:ascii="Courier New" w:hAnsi="Courier New"/>
    </w:rPr>
  </w:style>
  <w:style w:type="paragraph" w:customStyle="1" w:styleId="NoteBullet">
    <w:name w:val="Note Bullet"/>
    <w:basedOn w:val="Note"/>
    <w:rsid w:val="00A36557"/>
    <w:pPr>
      <w:tabs>
        <w:tab w:val="clear" w:pos="680"/>
      </w:tabs>
      <w:spacing w:before="60" w:after="60"/>
    </w:pPr>
  </w:style>
  <w:style w:type="paragraph" w:customStyle="1" w:styleId="SubHeading2">
    <w:name w:val="SubHeading2"/>
    <w:basedOn w:val="HeadingBase"/>
    <w:rsid w:val="00A36557"/>
    <w:pPr>
      <w:spacing w:before="240" w:after="60"/>
    </w:pPr>
    <w:rPr>
      <w:sz w:val="20"/>
    </w:rPr>
  </w:style>
  <w:style w:type="paragraph" w:customStyle="1" w:styleId="SubHeading1">
    <w:name w:val="SubHeading1"/>
    <w:basedOn w:val="HeadingBase"/>
    <w:rsid w:val="00A36557"/>
    <w:pPr>
      <w:spacing w:before="240" w:after="60"/>
    </w:pPr>
    <w:rPr>
      <w:color w:val="918585"/>
      <w:sz w:val="22"/>
    </w:rPr>
  </w:style>
  <w:style w:type="paragraph" w:customStyle="1" w:styleId="SideHeading">
    <w:name w:val="Side Heading"/>
    <w:basedOn w:val="HeadingBase"/>
    <w:rsid w:val="00A36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557"/>
    <w:pPr>
      <w:tabs>
        <w:tab w:val="num" w:pos="360"/>
      </w:tabs>
    </w:pPr>
  </w:style>
  <w:style w:type="paragraph" w:styleId="PlainText">
    <w:name w:val="Plain Text"/>
    <w:basedOn w:val="Normal"/>
    <w:link w:val="PlainTextChar"/>
    <w:rsid w:val="00A36557"/>
    <w:rPr>
      <w:sz w:val="20"/>
    </w:rPr>
  </w:style>
  <w:style w:type="character" w:customStyle="1" w:styleId="PlainTextChar">
    <w:name w:val="Plain Text Char"/>
    <w:basedOn w:val="DefaultParagraphFont"/>
    <w:link w:val="PlainText"/>
    <w:rsid w:val="00A36557"/>
    <w:rPr>
      <w:rFonts w:ascii="Courier New" w:eastAsia="Times New Roman" w:hAnsi="Courier New" w:cs="Times New Roman"/>
      <w:sz w:val="20"/>
      <w:szCs w:val="20"/>
      <w:lang w:eastAsia="en-US"/>
    </w:rPr>
  </w:style>
  <w:style w:type="character" w:customStyle="1" w:styleId="MenuOption">
    <w:name w:val="Menu Option"/>
    <w:basedOn w:val="DefaultParagraphFont"/>
    <w:rsid w:val="00A36557"/>
    <w:rPr>
      <w:b/>
      <w:smallCaps/>
    </w:rPr>
  </w:style>
  <w:style w:type="paragraph" w:customStyle="1" w:styleId="TableListNumber">
    <w:name w:val="Table List Number"/>
    <w:basedOn w:val="ListNumber"/>
    <w:rsid w:val="00A36557"/>
    <w:pPr>
      <w:numPr>
        <w:numId w:val="0"/>
      </w:numPr>
    </w:pPr>
  </w:style>
  <w:style w:type="paragraph" w:styleId="TOC4">
    <w:name w:val="toc 4"/>
    <w:basedOn w:val="TOCBase"/>
    <w:next w:val="Normal"/>
    <w:semiHidden/>
    <w:rsid w:val="00A36557"/>
    <w:pPr>
      <w:tabs>
        <w:tab w:val="right" w:leader="dot" w:pos="9071"/>
      </w:tabs>
      <w:ind w:left="1701"/>
    </w:pPr>
  </w:style>
  <w:style w:type="paragraph" w:customStyle="1" w:styleId="ListAlpha">
    <w:name w:val="List Alpha"/>
    <w:basedOn w:val="List"/>
    <w:rsid w:val="00A36557"/>
    <w:pPr>
      <w:numPr>
        <w:numId w:val="9"/>
      </w:numPr>
    </w:pPr>
  </w:style>
  <w:style w:type="paragraph" w:customStyle="1" w:styleId="ListAlpha2">
    <w:name w:val="List Alpha 2"/>
    <w:basedOn w:val="List2"/>
    <w:rsid w:val="00A36557"/>
    <w:pPr>
      <w:numPr>
        <w:numId w:val="8"/>
      </w:numPr>
    </w:pPr>
  </w:style>
  <w:style w:type="paragraph" w:styleId="List2">
    <w:name w:val="List 2"/>
    <w:basedOn w:val="BodyText"/>
    <w:rsid w:val="00A36557"/>
    <w:pPr>
      <w:tabs>
        <w:tab w:val="left" w:pos="680"/>
      </w:tabs>
      <w:spacing w:before="60" w:after="60"/>
      <w:ind w:left="680" w:hanging="340"/>
    </w:pPr>
  </w:style>
  <w:style w:type="paragraph" w:styleId="List3">
    <w:name w:val="List 3"/>
    <w:basedOn w:val="BodyText"/>
    <w:rsid w:val="00A36557"/>
    <w:pPr>
      <w:tabs>
        <w:tab w:val="left" w:pos="1021"/>
      </w:tabs>
      <w:spacing w:before="60" w:after="60"/>
      <w:ind w:left="1020" w:hanging="340"/>
    </w:pPr>
  </w:style>
  <w:style w:type="paragraph" w:styleId="List4">
    <w:name w:val="List 4"/>
    <w:basedOn w:val="BodyText"/>
    <w:rsid w:val="00A36557"/>
    <w:pPr>
      <w:tabs>
        <w:tab w:val="left" w:pos="1361"/>
      </w:tabs>
      <w:spacing w:before="60" w:after="60"/>
      <w:ind w:left="1361" w:hanging="340"/>
    </w:pPr>
  </w:style>
  <w:style w:type="paragraph" w:styleId="List5">
    <w:name w:val="List 5"/>
    <w:basedOn w:val="BodyText"/>
    <w:rsid w:val="00A36557"/>
    <w:pPr>
      <w:tabs>
        <w:tab w:val="left" w:pos="1701"/>
      </w:tabs>
      <w:spacing w:before="60" w:after="60"/>
      <w:ind w:left="1701" w:hanging="340"/>
    </w:pPr>
  </w:style>
  <w:style w:type="paragraph" w:styleId="ListBullet3">
    <w:name w:val="List Bullet 3"/>
    <w:basedOn w:val="List3"/>
    <w:rsid w:val="00A36557"/>
    <w:pPr>
      <w:numPr>
        <w:numId w:val="14"/>
      </w:numPr>
      <w:tabs>
        <w:tab w:val="clear" w:pos="1021"/>
      </w:tabs>
      <w:ind w:left="1037" w:hanging="357"/>
    </w:pPr>
  </w:style>
  <w:style w:type="paragraph" w:styleId="ListBullet4">
    <w:name w:val="List Bullet 4"/>
    <w:basedOn w:val="List4"/>
    <w:rsid w:val="00A36557"/>
    <w:pPr>
      <w:numPr>
        <w:numId w:val="3"/>
      </w:numPr>
      <w:tabs>
        <w:tab w:val="clear" w:pos="1361"/>
      </w:tabs>
    </w:pPr>
  </w:style>
  <w:style w:type="paragraph" w:styleId="ListBullet5">
    <w:name w:val="List Bullet 5"/>
    <w:basedOn w:val="List5"/>
    <w:rsid w:val="00A36557"/>
    <w:pPr>
      <w:numPr>
        <w:numId w:val="4"/>
      </w:numPr>
    </w:pPr>
  </w:style>
  <w:style w:type="paragraph" w:styleId="ListContinue2">
    <w:name w:val="List Continue 2"/>
    <w:basedOn w:val="List2"/>
    <w:rsid w:val="00A36557"/>
    <w:pPr>
      <w:ind w:firstLine="0"/>
    </w:pPr>
  </w:style>
  <w:style w:type="paragraph" w:styleId="ListContinue3">
    <w:name w:val="List Continue 3"/>
    <w:basedOn w:val="List3"/>
    <w:rsid w:val="00A36557"/>
    <w:pPr>
      <w:ind w:left="1021" w:firstLine="0"/>
    </w:pPr>
  </w:style>
  <w:style w:type="paragraph" w:styleId="ListContinue4">
    <w:name w:val="List Continue 4"/>
    <w:basedOn w:val="List4"/>
    <w:rsid w:val="00A36557"/>
    <w:pPr>
      <w:ind w:firstLine="0"/>
    </w:pPr>
  </w:style>
  <w:style w:type="paragraph" w:styleId="ListContinue5">
    <w:name w:val="List Continue 5"/>
    <w:basedOn w:val="List5"/>
    <w:rsid w:val="00A36557"/>
    <w:pPr>
      <w:ind w:firstLine="0"/>
    </w:pPr>
  </w:style>
  <w:style w:type="paragraph" w:styleId="ListNumber3">
    <w:name w:val="List Number 3"/>
    <w:basedOn w:val="List3"/>
    <w:rsid w:val="00A36557"/>
    <w:pPr>
      <w:numPr>
        <w:numId w:val="5"/>
      </w:numPr>
    </w:pPr>
  </w:style>
  <w:style w:type="paragraph" w:styleId="ListNumber4">
    <w:name w:val="List Number 4"/>
    <w:basedOn w:val="List4"/>
    <w:rsid w:val="00A36557"/>
    <w:pPr>
      <w:numPr>
        <w:numId w:val="6"/>
      </w:numPr>
    </w:pPr>
  </w:style>
  <w:style w:type="paragraph" w:styleId="ListNumber5">
    <w:name w:val="List Number 5"/>
    <w:basedOn w:val="List5"/>
    <w:rsid w:val="00A36557"/>
    <w:pPr>
      <w:numPr>
        <w:numId w:val="7"/>
      </w:numPr>
    </w:pPr>
  </w:style>
  <w:style w:type="paragraph" w:styleId="BlockText">
    <w:name w:val="Block Text"/>
    <w:basedOn w:val="Normal"/>
    <w:rsid w:val="00A36557"/>
    <w:pPr>
      <w:spacing w:after="120"/>
      <w:ind w:left="1440" w:right="1440"/>
    </w:pPr>
  </w:style>
  <w:style w:type="character" w:customStyle="1" w:styleId="Subscript">
    <w:name w:val="Subscript"/>
    <w:basedOn w:val="DefaultParagraphFont"/>
    <w:rsid w:val="00A36557"/>
    <w:rPr>
      <w:sz w:val="16"/>
      <w:vertAlign w:val="subscript"/>
    </w:rPr>
  </w:style>
  <w:style w:type="character" w:customStyle="1" w:styleId="Superscript">
    <w:name w:val="Superscript"/>
    <w:basedOn w:val="DefaultParagraphFont"/>
    <w:rsid w:val="00A36557"/>
    <w:rPr>
      <w:sz w:val="16"/>
      <w:vertAlign w:val="superscript"/>
    </w:rPr>
  </w:style>
  <w:style w:type="character" w:customStyle="1" w:styleId="Symbols">
    <w:name w:val="Symbols"/>
    <w:basedOn w:val="DefaultParagraphFont"/>
    <w:rsid w:val="00A36557"/>
    <w:rPr>
      <w:rFonts w:ascii="Symbol" w:hAnsi="Symbol"/>
    </w:rPr>
  </w:style>
  <w:style w:type="character" w:customStyle="1" w:styleId="MenuOptions">
    <w:name w:val="Menu Options"/>
    <w:basedOn w:val="DefaultParagraphFont"/>
    <w:rsid w:val="00A36557"/>
    <w:rPr>
      <w:rFonts w:ascii="Arial Narrow" w:hAnsi="Arial Narrow"/>
      <w:smallCaps/>
    </w:rPr>
  </w:style>
  <w:style w:type="character" w:customStyle="1" w:styleId="Buttons">
    <w:name w:val="Buttons"/>
    <w:basedOn w:val="DefaultParagraphFont"/>
    <w:rsid w:val="00A36557"/>
    <w:rPr>
      <w:b/>
    </w:rPr>
  </w:style>
  <w:style w:type="character" w:customStyle="1" w:styleId="Underlined">
    <w:name w:val="Underlined"/>
    <w:basedOn w:val="DefaultParagraphFont"/>
    <w:rsid w:val="00A36557"/>
    <w:rPr>
      <w:u w:val="single"/>
    </w:rPr>
  </w:style>
  <w:style w:type="paragraph" w:customStyle="1" w:styleId="TableBodyTextRight">
    <w:name w:val="Table Body Text Right"/>
    <w:basedOn w:val="TableBodyText"/>
    <w:rsid w:val="00A36557"/>
    <w:pPr>
      <w:widowControl w:val="0"/>
      <w:autoSpaceDE w:val="0"/>
      <w:autoSpaceDN w:val="0"/>
      <w:adjustRightInd w:val="0"/>
      <w:jc w:val="right"/>
    </w:pPr>
    <w:rPr>
      <w:rFonts w:cs="Arial"/>
      <w:szCs w:val="18"/>
    </w:rPr>
  </w:style>
  <w:style w:type="paragraph" w:customStyle="1" w:styleId="CopyrightText">
    <w:name w:val="Copyright Text"/>
    <w:basedOn w:val="BodyText"/>
    <w:rsid w:val="00A36557"/>
    <w:rPr>
      <w:sz w:val="18"/>
    </w:rPr>
  </w:style>
  <w:style w:type="paragraph" w:customStyle="1" w:styleId="BodySmallRight">
    <w:name w:val="Body Small Right"/>
    <w:basedOn w:val="BodyTextRight"/>
    <w:rsid w:val="00A36557"/>
    <w:rPr>
      <w:sz w:val="18"/>
      <w:szCs w:val="18"/>
    </w:rPr>
  </w:style>
  <w:style w:type="paragraph" w:customStyle="1" w:styleId="MarginEdition">
    <w:name w:val="Margin Edition"/>
    <w:basedOn w:val="MarginNote"/>
    <w:rsid w:val="00A36557"/>
    <w:pPr>
      <w:spacing w:before="0" w:after="0"/>
    </w:pPr>
    <w:rPr>
      <w:rFonts w:ascii="Times New Roman" w:hAnsi="Times New Roman"/>
      <w:color w:val="999999"/>
    </w:rPr>
  </w:style>
  <w:style w:type="paragraph" w:customStyle="1" w:styleId="Spacer">
    <w:name w:val="Spacer"/>
    <w:basedOn w:val="Normal"/>
    <w:rsid w:val="00A36557"/>
    <w:rPr>
      <w:sz w:val="2"/>
      <w:szCs w:val="2"/>
    </w:rPr>
  </w:style>
  <w:style w:type="character" w:customStyle="1" w:styleId="Small">
    <w:name w:val="Small"/>
    <w:basedOn w:val="DefaultParagraphFont"/>
    <w:rsid w:val="00A36557"/>
    <w:rPr>
      <w:sz w:val="16"/>
    </w:rPr>
  </w:style>
  <w:style w:type="paragraph" w:customStyle="1" w:styleId="WideTable">
    <w:name w:val="Wide Table"/>
    <w:basedOn w:val="Normal"/>
    <w:rsid w:val="00A36557"/>
    <w:pPr>
      <w:ind w:left="-1418"/>
    </w:pPr>
    <w:rPr>
      <w:sz w:val="2"/>
      <w:szCs w:val="2"/>
    </w:rPr>
  </w:style>
  <w:style w:type="character" w:styleId="PageNumber">
    <w:name w:val="page number"/>
    <w:basedOn w:val="DefaultParagraphFont"/>
    <w:rsid w:val="00A36557"/>
  </w:style>
  <w:style w:type="paragraph" w:styleId="Quote">
    <w:name w:val="Quote"/>
    <w:basedOn w:val="Heading1"/>
    <w:link w:val="QuoteChar"/>
    <w:qFormat/>
    <w:rsid w:val="00A36557"/>
    <w:rPr>
      <w:b w:val="0"/>
      <w:sz w:val="72"/>
      <w:szCs w:val="72"/>
      <w:lang w:val="en-NZ"/>
    </w:rPr>
  </w:style>
  <w:style w:type="character" w:customStyle="1" w:styleId="QuoteChar">
    <w:name w:val="Quote Char"/>
    <w:basedOn w:val="DefaultParagraphFont"/>
    <w:link w:val="Quote"/>
    <w:rsid w:val="00A36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557"/>
    <w:pPr>
      <w:pageBreakBefore/>
    </w:pPr>
  </w:style>
  <w:style w:type="paragraph" w:customStyle="1" w:styleId="Border">
    <w:name w:val="Border"/>
    <w:basedOn w:val="Normal"/>
    <w:qFormat/>
    <w:rsid w:val="00A36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557"/>
    <w:rPr>
      <w:b/>
      <w:bCs/>
      <w:i/>
      <w:iCs/>
      <w:color w:val="auto"/>
    </w:rPr>
  </w:style>
  <w:style w:type="paragraph" w:styleId="IntenseQuote">
    <w:name w:val="Intense Quote"/>
    <w:basedOn w:val="Normal"/>
    <w:next w:val="Normal"/>
    <w:link w:val="IntenseQuoteChar"/>
    <w:uiPriority w:val="30"/>
    <w:qFormat/>
    <w:rsid w:val="00A36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557"/>
    <w:rPr>
      <w:smallCaps/>
      <w:color w:val="auto"/>
      <w:u w:val="single"/>
    </w:rPr>
  </w:style>
  <w:style w:type="character" w:styleId="IntenseReference">
    <w:name w:val="Intense Reference"/>
    <w:basedOn w:val="DefaultParagraphFont"/>
    <w:uiPriority w:val="32"/>
    <w:qFormat/>
    <w:rsid w:val="00A36557"/>
    <w:rPr>
      <w:b/>
      <w:bCs/>
      <w:smallCaps/>
      <w:color w:val="auto"/>
      <w:spacing w:val="5"/>
      <w:u w:val="single"/>
    </w:rPr>
  </w:style>
  <w:style w:type="paragraph" w:customStyle="1" w:styleId="2ColumnHeading">
    <w:name w:val="2Column Heading"/>
    <w:basedOn w:val="BodyText"/>
    <w:qFormat/>
    <w:rsid w:val="00A36557"/>
    <w:pPr>
      <w:spacing w:after="60"/>
      <w:ind w:left="-2268"/>
    </w:pPr>
    <w:rPr>
      <w:b/>
    </w:rPr>
  </w:style>
  <w:style w:type="paragraph" w:customStyle="1" w:styleId="Heading1TOC">
    <w:name w:val="Heading1 TOC"/>
    <w:basedOn w:val="Normal"/>
    <w:qFormat/>
    <w:rsid w:val="00A36557"/>
    <w:pPr>
      <w:spacing w:before="240" w:after="120"/>
    </w:pPr>
    <w:rPr>
      <w:rFonts w:ascii="Times New Roman" w:hAnsi="Times New Roman"/>
      <w:b/>
      <w:sz w:val="32"/>
    </w:rPr>
  </w:style>
  <w:style w:type="paragraph" w:customStyle="1" w:styleId="Heading2TOC">
    <w:name w:val="Heading2 TOC"/>
    <w:basedOn w:val="Normal"/>
    <w:qFormat/>
    <w:rsid w:val="00A36557"/>
    <w:pPr>
      <w:spacing w:before="240" w:after="60"/>
    </w:pPr>
    <w:rPr>
      <w:rFonts w:ascii="Times New Roman" w:hAnsi="Times New Roman"/>
      <w:b/>
      <w:sz w:val="28"/>
    </w:rPr>
  </w:style>
  <w:style w:type="character" w:customStyle="1" w:styleId="Underline">
    <w:name w:val="Underline"/>
    <w:basedOn w:val="DefaultParagraphFont"/>
    <w:qFormat/>
    <w:rsid w:val="00A36557"/>
    <w:rPr>
      <w:u w:val="single"/>
    </w:rPr>
  </w:style>
  <w:style w:type="character" w:customStyle="1" w:styleId="BoldandItalics">
    <w:name w:val="Bold and Italics"/>
    <w:qFormat/>
    <w:rsid w:val="00A36557"/>
    <w:rPr>
      <w:b/>
      <w:i/>
      <w:u w:val="none"/>
    </w:rPr>
  </w:style>
  <w:style w:type="paragraph" w:styleId="BalloonText">
    <w:name w:val="Balloon Text"/>
    <w:basedOn w:val="Normal"/>
    <w:link w:val="BalloonTextChar"/>
    <w:rsid w:val="00A36557"/>
    <w:rPr>
      <w:rFonts w:ascii="Tahoma" w:hAnsi="Tahoma" w:cs="Tahoma"/>
      <w:sz w:val="16"/>
      <w:szCs w:val="16"/>
    </w:rPr>
  </w:style>
  <w:style w:type="character" w:customStyle="1" w:styleId="BalloonTextChar">
    <w:name w:val="Balloon Text Char"/>
    <w:basedOn w:val="DefaultParagraphFont"/>
    <w:link w:val="BalloonText"/>
    <w:rsid w:val="00A36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5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557"/>
    <w:rPr>
      <w:b/>
      <w:color w:val="660033"/>
      <w:spacing w:val="0"/>
    </w:rPr>
  </w:style>
  <w:style w:type="paragraph" w:customStyle="1" w:styleId="Nameditemlist">
    <w:name w:val="Named item list"/>
    <w:basedOn w:val="BodyText"/>
    <w:qFormat/>
    <w:rsid w:val="00A36557"/>
    <w:pPr>
      <w:tabs>
        <w:tab w:val="left" w:pos="2835"/>
      </w:tabs>
      <w:ind w:left="2835" w:hanging="2835"/>
    </w:pPr>
  </w:style>
  <w:style w:type="paragraph" w:customStyle="1" w:styleId="BodyTextnopadding">
    <w:name w:val="Body Text no padding"/>
    <w:basedOn w:val="BodyText"/>
    <w:qFormat/>
    <w:rsid w:val="00A36557"/>
    <w:pPr>
      <w:spacing w:before="0" w:after="0"/>
    </w:pPr>
  </w:style>
  <w:style w:type="paragraph" w:customStyle="1" w:styleId="BodyTextBold">
    <w:name w:val="Body Text Bold"/>
    <w:basedOn w:val="BodyText"/>
    <w:qFormat/>
    <w:rsid w:val="00A36557"/>
    <w:rPr>
      <w:b/>
    </w:rPr>
  </w:style>
  <w:style w:type="character" w:styleId="Hyperlink">
    <w:name w:val="Hyperlink"/>
    <w:basedOn w:val="DefaultParagraphFont"/>
    <w:uiPriority w:val="99"/>
    <w:unhideWhenUsed/>
    <w:rsid w:val="00B31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1790</Words>
  <Characters>11030</Characters>
  <Application>Microsoft Office Word</Application>
  <DocSecurity>0</DocSecurity>
  <Lines>408</Lines>
  <Paragraphs>267</Paragraphs>
  <ScaleCrop>false</ScaleCrop>
  <Company>Author-it Software Corporation Ltd.</Company>
  <LinksUpToDate>false</LinksUpToDate>
  <CharactersWithSpaces>12553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PMAOPS226 Monitor and operate flare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