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3027" w:rsidP="00AE3027">
      <w:pPr>
        <w:pStyle w:val="Title"/>
      </w:pPr>
      <w:r>
        <w:fldChar w:fldCharType="begin"/>
      </w:r>
      <w:r>
        <w:instrText xml:space="preserve"> TITLE   \* MERGEFORMAT </w:instrText>
      </w:r>
      <w:r>
        <w:fldChar w:fldCharType="separate"/>
      </w:r>
      <w:r>
        <w:t>PMAOMIR622 Build partnerships to improve incident response capacity</w:t>
      </w:r>
      <w:r>
        <w:fldChar w:fldCharType="end"/>
      </w:r>
    </w:p>
    <w:p w:rsidR="00AE3027" w:rsidP="00AE3027">
      <w:pPr>
        <w:pStyle w:val="Version"/>
        <w:sectPr w:rsidSect="003503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03EF" w:rsidP="003503EF">
      <w:pPr>
        <w:pStyle w:val="SuperHeading"/>
      </w:pPr>
      <w:r w:rsidRPr="003503EF">
        <w:t>PMAOMIR622 Build partnerships to improve incident response capacity</w:t>
      </w:r>
    </w:p>
    <w:p w:rsidR="00000000" w:rsidRPr="003503EF" w:rsidP="003503EF">
      <w:pPr>
        <w:pStyle w:val="Heading1"/>
      </w:pPr>
      <w:bookmarkStart w:id="1" w:name="O_909019"/>
      <w:bookmarkEnd w:id="1"/>
      <w:r w:rsidRPr="003503EF">
        <w:t>Modification History</w:t>
      </w:r>
    </w:p>
    <w:p w:rsidR="00000000" w:rsidRPr="003503EF" w:rsidP="00AE3027">
      <w:pPr>
        <w:pStyle w:val="BodyText"/>
      </w:pPr>
      <w:r w:rsidRPr="003503EF">
        <w:t>Release 1. Supersedes and is equivalent to PMAOMIR622B Build partnerships to improve incident response capacity</w:t>
      </w:r>
    </w:p>
    <w:p w:rsidR="00000000" w:rsidRPr="003503EF" w:rsidP="003503EF">
      <w:pPr>
        <w:pStyle w:val="Heading1"/>
      </w:pPr>
      <w:bookmarkStart w:id="2" w:name="O_909027"/>
      <w:bookmarkEnd w:id="2"/>
      <w:r w:rsidRPr="003503EF">
        <w:t>Application</w:t>
      </w:r>
    </w:p>
    <w:p w:rsidR="00000000" w:rsidRPr="003503EF" w:rsidP="00AE3027">
      <w:pPr>
        <w:pStyle w:val="BodyText"/>
      </w:pPr>
      <w:r w:rsidRPr="003503EF">
        <w:t>This unit of competency covers the skills and knowledge required to leverage partnerships to improve the organisation</w:t>
      </w:r>
      <w:r>
        <w:t>’</w:t>
      </w:r>
      <w:r w:rsidRPr="003503EF">
        <w:t>s capabilities to respond to incidents.</w:t>
      </w:r>
    </w:p>
    <w:p w:rsidR="00000000" w:rsidRPr="003503EF" w:rsidP="00AE3027">
      <w:pPr>
        <w:pStyle w:val="BodyText"/>
      </w:pPr>
      <w:r w:rsidRPr="003503EF">
        <w:t>An incident is an event which causes, or could have caused, injury or illness; damage to plant, m</w:t>
      </w:r>
      <w:r w:rsidRPr="003503EF">
        <w:t>aterial or the environment; disruption to production or public alarm.</w:t>
      </w:r>
    </w:p>
    <w:p w:rsidR="00000000" w:rsidRPr="003503EF" w:rsidP="00AE3027">
      <w:pPr>
        <w:pStyle w:val="BodyText"/>
      </w:pPr>
      <w:r w:rsidRPr="003503EF">
        <w:t xml:space="preserve">An incident is an unintended event, or an unintended consequence of an intended event, such as: </w:t>
      </w:r>
    </w:p>
    <w:p w:rsidR="00000000" w:rsidRPr="003503EF" w:rsidP="003503EF">
      <w:pPr>
        <w:pStyle w:val="ListBullet"/>
      </w:pPr>
      <w:r w:rsidRPr="003503EF">
        <w:t>fire and explosion</w:t>
      </w:r>
    </w:p>
    <w:p w:rsidR="00000000" w:rsidRPr="003503EF" w:rsidP="003503EF">
      <w:pPr>
        <w:pStyle w:val="ListBullet"/>
      </w:pPr>
      <w:r w:rsidRPr="003503EF">
        <w:t>loss of containment</w:t>
      </w:r>
    </w:p>
    <w:p w:rsidR="00000000" w:rsidRPr="003503EF" w:rsidP="003503EF">
      <w:pPr>
        <w:pStyle w:val="ListBullet"/>
      </w:pPr>
      <w:r w:rsidRPr="003503EF">
        <w:t>excursions above/below acceptable limits for emi</w:t>
      </w:r>
      <w:r w:rsidRPr="003503EF">
        <w:t>ssions or plant conditions</w:t>
      </w:r>
    </w:p>
    <w:p w:rsidR="00000000" w:rsidRPr="003503EF" w:rsidP="003503EF">
      <w:pPr>
        <w:pStyle w:val="ListBullet"/>
      </w:pPr>
      <w:r w:rsidRPr="003503EF">
        <w:t>excursions above occupational hygiene or biological exposure limits</w:t>
      </w:r>
    </w:p>
    <w:p w:rsidR="00000000" w:rsidRPr="003503EF" w:rsidP="003503EF">
      <w:pPr>
        <w:pStyle w:val="ListBullet"/>
      </w:pPr>
      <w:r w:rsidRPr="003503EF">
        <w:t>non-compliance with regulatory requirements</w:t>
      </w:r>
    </w:p>
    <w:p w:rsidR="00000000" w:rsidRPr="003503EF" w:rsidP="003503EF">
      <w:pPr>
        <w:pStyle w:val="ListBullet"/>
      </w:pPr>
      <w:r w:rsidRPr="003503EF">
        <w:t>security breaches</w:t>
      </w:r>
    </w:p>
    <w:p w:rsidR="00000000" w:rsidRPr="003503EF" w:rsidP="003503EF">
      <w:pPr>
        <w:pStyle w:val="ListBullet"/>
      </w:pPr>
      <w:r w:rsidRPr="003503EF">
        <w:t>failure to follow procedures</w:t>
      </w:r>
    </w:p>
    <w:p w:rsidR="00000000" w:rsidRPr="003503EF" w:rsidP="003503EF">
      <w:pPr>
        <w:pStyle w:val="ListBullet"/>
      </w:pPr>
      <w:r w:rsidRPr="003503EF">
        <w:t>complaints</w:t>
      </w:r>
    </w:p>
    <w:p w:rsidR="00000000" w:rsidRPr="003503EF" w:rsidP="003503EF">
      <w:pPr>
        <w:pStyle w:val="ListBullet"/>
      </w:pPr>
      <w:r w:rsidRPr="003503EF">
        <w:t>vehicle incidents</w:t>
      </w:r>
    </w:p>
    <w:p w:rsidR="00000000" w:rsidRPr="003503EF" w:rsidP="003503EF">
      <w:pPr>
        <w:pStyle w:val="ListBullet"/>
      </w:pPr>
      <w:r w:rsidRPr="003503EF">
        <w:t>on/off-site incidents.</w:t>
      </w:r>
    </w:p>
    <w:p w:rsidR="00000000" w:rsidRPr="003503EF" w:rsidP="003503EF">
      <w:pPr>
        <w:pStyle w:val="BodyText"/>
      </w:pPr>
    </w:p>
    <w:p w:rsidR="00000000" w:rsidRPr="003503EF" w:rsidP="00AE3027">
      <w:pPr>
        <w:pStyle w:val="BodyText"/>
      </w:pPr>
      <w:r w:rsidRPr="003503EF">
        <w:t>This unit of competency applies to senior managers, crisis team managers or those in similar roles who are required to initiate and manage external relationships for joint/cooperative efforts towards incident response and plan, coordinate and evaluate acti</w:t>
      </w:r>
      <w:r w:rsidRPr="003503EF">
        <w:t>vities with the partners.</w:t>
      </w:r>
    </w:p>
    <w:p w:rsidR="00000000" w:rsidRPr="003503EF" w:rsidP="00AE3027">
      <w:pPr>
        <w:pStyle w:val="BodyText"/>
      </w:pPr>
      <w:r w:rsidRPr="003503EF">
        <w:t>Generally, the person would be a member of senior management and a member of the crisis management team. Although independent action may be required, he/she will be expected to coordinate, liaise and consult with other members of</w:t>
      </w:r>
      <w:r w:rsidRPr="003503EF">
        <w:t xml:space="preserve"> the team and other appropriate personnel.</w:t>
      </w:r>
    </w:p>
    <w:p w:rsidR="00000000" w:rsidRPr="003503EF" w:rsidP="00AE3027">
      <w:pPr>
        <w:pStyle w:val="BodyText"/>
      </w:pPr>
      <w:r w:rsidRPr="003503EF">
        <w:t>No licensing, legislative or certification requirements apply to this unit at the time of publication.</w:t>
      </w:r>
    </w:p>
    <w:p w:rsidR="00000000" w:rsidRPr="003503EF" w:rsidP="003503EF">
      <w:pPr>
        <w:pStyle w:val="Heading1"/>
      </w:pPr>
      <w:bookmarkStart w:id="3" w:name="O_909026"/>
      <w:bookmarkEnd w:id="3"/>
      <w:r w:rsidRPr="003503EF">
        <w:t>Pre-requisite Unit</w:t>
      </w:r>
    </w:p>
    <w:p w:rsidR="00000000" w:rsidRPr="003503EF" w:rsidP="00AE3027">
      <w:pPr>
        <w:pStyle w:val="BodyText"/>
      </w:pPr>
      <w:r w:rsidRPr="003503EF">
        <w:t>Nil</w:t>
      </w:r>
    </w:p>
    <w:p w:rsidR="00000000" w:rsidRPr="003503EF" w:rsidP="003503EF">
      <w:pPr>
        <w:pStyle w:val="Heading1"/>
      </w:pPr>
      <w:bookmarkStart w:id="4" w:name="O_909025"/>
      <w:bookmarkEnd w:id="4"/>
      <w:r w:rsidRPr="003503EF">
        <w:t>Competency Field</w:t>
      </w:r>
    </w:p>
    <w:p w:rsidR="00000000" w:rsidRPr="003503EF" w:rsidP="00AE3027">
      <w:pPr>
        <w:pStyle w:val="BodyText"/>
      </w:pPr>
      <w:r w:rsidRPr="003503EF">
        <w:t>Incident readiness and response</w:t>
      </w:r>
    </w:p>
    <w:p w:rsidR="00000000" w:rsidRPr="003503EF" w:rsidP="003503EF">
      <w:pPr>
        <w:pStyle w:val="Heading1"/>
      </w:pPr>
      <w:bookmarkStart w:id="5" w:name="O_909024"/>
      <w:bookmarkEnd w:id="5"/>
      <w:r w:rsidRPr="003503EF">
        <w:t>Unit Sector</w:t>
      </w:r>
    </w:p>
    <w:p w:rsidR="00000000" w:rsidRPr="003503EF" w:rsidP="003503EF">
      <w:pPr>
        <w:pStyle w:val="Heading1"/>
      </w:pPr>
      <w:bookmarkStart w:id="6" w:name="O_909023"/>
      <w:bookmarkEnd w:id="6"/>
      <w:r w:rsidRPr="003503E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503E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503EF">
            <w:pPr>
              <w:pStyle w:val="BodyText"/>
              <w:rPr>
                <w:lang w:val="en-NZ"/>
              </w:rPr>
            </w:pPr>
            <w:r w:rsidRPr="003503E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503EF">
            <w:pPr>
              <w:pStyle w:val="BodyText"/>
              <w:rPr>
                <w:lang w:val="en-NZ"/>
              </w:rPr>
            </w:pPr>
            <w:r w:rsidRPr="003503EF">
              <w:t>Performance criteria describe the performance needed to demonstrate achievement of the element.</w:t>
            </w:r>
          </w:p>
        </w:tc>
      </w:tr>
      <w:tr w:rsidTr="003503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503EF" w:rsidP="003503EF">
            <w:pPr>
              <w:pStyle w:val="BodyText"/>
            </w:pPr>
            <w:r w:rsidRPr="003503EF">
              <w:t>1</w:t>
            </w:r>
          </w:p>
        </w:tc>
        <w:tc>
          <w:tcPr>
            <w:tcW w:w="1962" w:type="dxa"/>
            <w:vMerge w:val="restart"/>
            <w:tcBorders>
              <w:top w:val="nil"/>
              <w:left w:val="nil"/>
              <w:bottom w:val="nil"/>
              <w:right w:val="nil"/>
            </w:tcBorders>
            <w:tcMar>
              <w:top w:w="0" w:type="dxa"/>
              <w:left w:w="62" w:type="dxa"/>
              <w:bottom w:w="0" w:type="dxa"/>
              <w:right w:w="62" w:type="dxa"/>
            </w:tcMar>
          </w:tcPr>
          <w:p w:rsidR="00000000" w:rsidP="003503EF">
            <w:pPr>
              <w:pStyle w:val="BodyText"/>
              <w:rPr>
                <w:lang w:val="en-NZ"/>
              </w:rPr>
            </w:pPr>
            <w:r w:rsidRPr="003503EF">
              <w:rPr>
                <w:rStyle w:val="SpecialBold"/>
              </w:rPr>
              <w:t>Identify opportunities for specific partnerships</w:t>
            </w:r>
          </w:p>
        </w:tc>
        <w:tc>
          <w:tcPr>
            <w:tcW w:w="770" w:type="dxa"/>
            <w:tcBorders>
              <w:top w:val="nil"/>
              <w:left w:val="nil"/>
              <w:bottom w:val="nil"/>
              <w:right w:val="nil"/>
            </w:tcBorders>
            <w:tcMar>
              <w:top w:w="0" w:type="dxa"/>
              <w:left w:w="62" w:type="dxa"/>
              <w:bottom w:w="0" w:type="dxa"/>
              <w:right w:w="62" w:type="dxa"/>
            </w:tcMar>
          </w:tcPr>
          <w:p w:rsidR="00000000" w:rsidP="003503EF">
            <w:pPr>
              <w:pStyle w:val="BodyText"/>
              <w:rPr>
                <w:lang w:val="en-NZ"/>
              </w:rPr>
            </w:pPr>
            <w:r w:rsidRPr="003503EF">
              <w:t>1.1</w:t>
            </w:r>
          </w:p>
        </w:tc>
        <w:tc>
          <w:tcPr>
            <w:tcW w:w="5610" w:type="dxa"/>
            <w:tcBorders>
              <w:top w:val="nil"/>
              <w:left w:val="nil"/>
              <w:bottom w:val="nil"/>
              <w:right w:val="nil"/>
            </w:tcBorders>
            <w:tcMar>
              <w:top w:w="0" w:type="dxa"/>
              <w:left w:w="62" w:type="dxa"/>
              <w:bottom w:w="0" w:type="dxa"/>
              <w:right w:w="62" w:type="dxa"/>
            </w:tcMar>
          </w:tcPr>
          <w:p w:rsidR="00000000" w:rsidP="003503EF">
            <w:pPr>
              <w:pStyle w:val="BodyText"/>
              <w:rPr>
                <w:lang w:val="en-NZ"/>
              </w:rPr>
            </w:pPr>
            <w:r w:rsidRPr="003503EF">
              <w:t>Identify opportunities for joint/cooperative efforts towards incident response</w:t>
            </w:r>
          </w:p>
        </w:tc>
      </w:tr>
      <w:tr w:rsidTr="003503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03EF">
            <w:pPr>
              <w:pStyle w:val="BodyText"/>
              <w:rPr>
                <w:lang w:val="en-NZ"/>
              </w:rPr>
            </w:pPr>
            <w:r w:rsidRPr="003503EF">
              <w:t>1.2</w:t>
            </w:r>
          </w:p>
        </w:tc>
        <w:tc>
          <w:tcPr>
            <w:tcW w:w="5610" w:type="dxa"/>
            <w:tcBorders>
              <w:top w:val="nil"/>
              <w:left w:val="nil"/>
              <w:bottom w:val="nil"/>
              <w:right w:val="nil"/>
            </w:tcBorders>
            <w:tcMar>
              <w:top w:w="0" w:type="dxa"/>
              <w:left w:w="62" w:type="dxa"/>
              <w:bottom w:w="0" w:type="dxa"/>
              <w:right w:w="62" w:type="dxa"/>
            </w:tcMar>
          </w:tcPr>
          <w:p w:rsidR="00000000" w:rsidP="003503EF">
            <w:pPr>
              <w:pStyle w:val="BodyText"/>
              <w:rPr>
                <w:lang w:val="en-NZ"/>
              </w:rPr>
            </w:pPr>
            <w:r w:rsidRPr="003503EF">
              <w:t>Undertake consultation within the organisation to identify the types of partnerships and mutual interest to meet orga</w:t>
            </w:r>
            <w:r w:rsidRPr="003503EF">
              <w:t>nisational needs</w:t>
            </w:r>
          </w:p>
        </w:tc>
      </w:tr>
      <w:tr w:rsidTr="003503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03EF">
            <w:pPr>
              <w:pStyle w:val="BodyText"/>
              <w:rPr>
                <w:lang w:val="en-NZ"/>
              </w:rPr>
            </w:pPr>
            <w:r w:rsidRPr="003503EF">
              <w:t>1.3</w:t>
            </w:r>
          </w:p>
        </w:tc>
        <w:tc>
          <w:tcPr>
            <w:tcW w:w="5610" w:type="dxa"/>
            <w:tcBorders>
              <w:top w:val="nil"/>
              <w:left w:val="nil"/>
              <w:bottom w:val="nil"/>
              <w:right w:val="nil"/>
            </w:tcBorders>
            <w:tcMar>
              <w:top w:w="0" w:type="dxa"/>
              <w:left w:w="62" w:type="dxa"/>
              <w:bottom w:w="0" w:type="dxa"/>
              <w:right w:w="62" w:type="dxa"/>
            </w:tcMar>
          </w:tcPr>
          <w:p w:rsidR="00000000" w:rsidP="003503EF">
            <w:pPr>
              <w:pStyle w:val="BodyText"/>
              <w:rPr>
                <w:lang w:val="en-NZ"/>
              </w:rPr>
            </w:pPr>
            <w:r w:rsidRPr="003503EF">
              <w:t>Develop a strategy on the types of partnership organisations and partnership opportunities</w:t>
            </w:r>
          </w:p>
        </w:tc>
      </w:tr>
      <w:tr w:rsidTr="003503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03EF">
            <w:pPr>
              <w:pStyle w:val="BodyText"/>
              <w:rPr>
                <w:lang w:val="en-NZ"/>
              </w:rPr>
            </w:pPr>
            <w:r w:rsidRPr="003503EF">
              <w:t>1.4</w:t>
            </w:r>
          </w:p>
        </w:tc>
        <w:tc>
          <w:tcPr>
            <w:tcW w:w="5610" w:type="dxa"/>
            <w:tcBorders>
              <w:top w:val="nil"/>
              <w:left w:val="nil"/>
              <w:bottom w:val="nil"/>
              <w:right w:val="nil"/>
            </w:tcBorders>
            <w:tcMar>
              <w:top w:w="0" w:type="dxa"/>
              <w:left w:w="62" w:type="dxa"/>
              <w:bottom w:w="0" w:type="dxa"/>
              <w:right w:w="62" w:type="dxa"/>
            </w:tcMar>
          </w:tcPr>
          <w:p w:rsidR="00000000" w:rsidP="003503EF">
            <w:pPr>
              <w:pStyle w:val="BodyText"/>
              <w:rPr>
                <w:lang w:val="en-NZ"/>
              </w:rPr>
            </w:pPr>
            <w:r w:rsidRPr="003503EF">
              <w:t>Approach specific targeted organisations, discuss expectations, ability to meet those expectations and areas of mutual interest</w:t>
            </w:r>
          </w:p>
        </w:tc>
      </w:tr>
      <w:tr w:rsidTr="003503E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503EF">
            <w:pPr>
              <w:pStyle w:val="BodyText"/>
              <w:rPr>
                <w:lang w:val="en-NZ"/>
              </w:rPr>
            </w:pPr>
          </w:p>
        </w:tc>
      </w:tr>
      <w:tr w:rsidTr="003503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503EF" w:rsidP="003503EF">
            <w:pPr>
              <w:pStyle w:val="BodyText"/>
            </w:pPr>
            <w:r w:rsidRPr="003503EF">
              <w:t>2</w:t>
            </w:r>
          </w:p>
        </w:tc>
        <w:tc>
          <w:tcPr>
            <w:tcW w:w="1962" w:type="dxa"/>
            <w:vMerge w:val="restart"/>
            <w:tcBorders>
              <w:top w:val="nil"/>
              <w:left w:val="nil"/>
              <w:bottom w:val="nil"/>
              <w:right w:val="nil"/>
            </w:tcBorders>
            <w:tcMar>
              <w:top w:w="0" w:type="dxa"/>
              <w:left w:w="62" w:type="dxa"/>
              <w:bottom w:w="0" w:type="dxa"/>
              <w:right w:w="62" w:type="dxa"/>
            </w:tcMar>
          </w:tcPr>
          <w:p w:rsidR="00000000" w:rsidP="003503EF">
            <w:pPr>
              <w:pStyle w:val="BodyText"/>
              <w:rPr>
                <w:lang w:val="en-NZ"/>
              </w:rPr>
            </w:pPr>
            <w:r w:rsidRPr="003503EF">
              <w:rPr>
                <w:rStyle w:val="SpecialBold"/>
              </w:rPr>
              <w:t>Develop a framework for the partnership</w:t>
            </w:r>
          </w:p>
        </w:tc>
        <w:tc>
          <w:tcPr>
            <w:tcW w:w="770" w:type="dxa"/>
            <w:tcBorders>
              <w:top w:val="nil"/>
              <w:left w:val="nil"/>
              <w:bottom w:val="nil"/>
              <w:right w:val="nil"/>
            </w:tcBorders>
            <w:tcMar>
              <w:top w:w="0" w:type="dxa"/>
              <w:left w:w="62" w:type="dxa"/>
              <w:bottom w:w="0" w:type="dxa"/>
              <w:right w:w="62" w:type="dxa"/>
            </w:tcMar>
          </w:tcPr>
          <w:p w:rsidR="00000000" w:rsidP="003503EF">
            <w:pPr>
              <w:pStyle w:val="BodyText"/>
              <w:rPr>
                <w:lang w:val="en-NZ"/>
              </w:rPr>
            </w:pPr>
            <w:r w:rsidRPr="003503EF">
              <w:t>2.1</w:t>
            </w:r>
          </w:p>
        </w:tc>
        <w:tc>
          <w:tcPr>
            <w:tcW w:w="5610" w:type="dxa"/>
            <w:tcBorders>
              <w:top w:val="nil"/>
              <w:left w:val="nil"/>
              <w:bottom w:val="nil"/>
              <w:right w:val="nil"/>
            </w:tcBorders>
            <w:tcMar>
              <w:top w:w="0" w:type="dxa"/>
              <w:left w:w="62" w:type="dxa"/>
              <w:bottom w:w="0" w:type="dxa"/>
              <w:right w:w="62" w:type="dxa"/>
            </w:tcMar>
          </w:tcPr>
          <w:p w:rsidR="00000000" w:rsidP="003503EF">
            <w:pPr>
              <w:pStyle w:val="BodyText"/>
              <w:rPr>
                <w:lang w:val="en-NZ"/>
              </w:rPr>
            </w:pPr>
            <w:r w:rsidRPr="003503EF">
              <w:t>Consult potential partners to develop frameworks that will meet the needs of all partners</w:t>
            </w:r>
          </w:p>
        </w:tc>
      </w:tr>
      <w:tr w:rsidTr="003503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03EF">
            <w:pPr>
              <w:pStyle w:val="BodyText"/>
              <w:rPr>
                <w:lang w:val="en-NZ"/>
              </w:rPr>
            </w:pPr>
            <w:r w:rsidRPr="003503EF">
              <w:t>2.2</w:t>
            </w:r>
          </w:p>
        </w:tc>
        <w:tc>
          <w:tcPr>
            <w:tcW w:w="5610" w:type="dxa"/>
            <w:tcBorders>
              <w:top w:val="nil"/>
              <w:left w:val="nil"/>
              <w:bottom w:val="nil"/>
              <w:right w:val="nil"/>
            </w:tcBorders>
            <w:tcMar>
              <w:top w:w="0" w:type="dxa"/>
              <w:left w:w="62" w:type="dxa"/>
              <w:bottom w:w="0" w:type="dxa"/>
              <w:right w:w="62" w:type="dxa"/>
            </w:tcMar>
          </w:tcPr>
          <w:p w:rsidR="00000000" w:rsidP="003503EF">
            <w:pPr>
              <w:pStyle w:val="BodyText"/>
              <w:rPr>
                <w:lang w:val="en-NZ"/>
              </w:rPr>
            </w:pPr>
            <w:r w:rsidRPr="003503EF">
              <w:t>Establish the characteristics of the partnership with selected partners</w:t>
            </w:r>
          </w:p>
        </w:tc>
      </w:tr>
      <w:tr w:rsidTr="003503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03EF">
            <w:pPr>
              <w:pStyle w:val="BodyText"/>
              <w:rPr>
                <w:lang w:val="en-NZ"/>
              </w:rPr>
            </w:pPr>
            <w:r w:rsidRPr="003503EF">
              <w:t>2.3</w:t>
            </w:r>
          </w:p>
        </w:tc>
        <w:tc>
          <w:tcPr>
            <w:tcW w:w="5610" w:type="dxa"/>
            <w:tcBorders>
              <w:top w:val="nil"/>
              <w:left w:val="nil"/>
              <w:bottom w:val="nil"/>
              <w:right w:val="nil"/>
            </w:tcBorders>
            <w:tcMar>
              <w:top w:w="0" w:type="dxa"/>
              <w:left w:w="62" w:type="dxa"/>
              <w:bottom w:w="0" w:type="dxa"/>
              <w:right w:w="62" w:type="dxa"/>
            </w:tcMar>
          </w:tcPr>
          <w:p w:rsidR="00000000" w:rsidP="003503EF">
            <w:pPr>
              <w:pStyle w:val="BodyText"/>
              <w:rPr>
                <w:lang w:val="en-NZ"/>
              </w:rPr>
            </w:pPr>
            <w:r w:rsidRPr="003503EF">
              <w:t>Confirm partnership characteristics, including structure, scale, roles, goals and timeframes with the partners</w:t>
            </w:r>
          </w:p>
        </w:tc>
      </w:tr>
      <w:tr w:rsidTr="003503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03EF">
            <w:pPr>
              <w:pStyle w:val="BodyText"/>
              <w:rPr>
                <w:lang w:val="en-NZ"/>
              </w:rPr>
            </w:pPr>
            <w:r w:rsidRPr="003503EF">
              <w:t>2.4</w:t>
            </w:r>
          </w:p>
        </w:tc>
        <w:tc>
          <w:tcPr>
            <w:tcW w:w="5610" w:type="dxa"/>
            <w:tcBorders>
              <w:top w:val="nil"/>
              <w:left w:val="nil"/>
              <w:bottom w:val="nil"/>
              <w:right w:val="nil"/>
            </w:tcBorders>
            <w:tcMar>
              <w:top w:w="0" w:type="dxa"/>
              <w:left w:w="62" w:type="dxa"/>
              <w:bottom w:w="0" w:type="dxa"/>
              <w:right w:w="62" w:type="dxa"/>
            </w:tcMar>
          </w:tcPr>
          <w:p w:rsidR="00000000" w:rsidP="003503EF">
            <w:pPr>
              <w:pStyle w:val="BodyText"/>
              <w:rPr>
                <w:lang w:val="en-NZ"/>
              </w:rPr>
            </w:pPr>
            <w:r w:rsidRPr="003503EF">
              <w:t>Develop systems to enhance mutual benefit and value contributions from the partnership</w:t>
            </w:r>
          </w:p>
        </w:tc>
      </w:tr>
      <w:tr w:rsidTr="003503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03EF">
            <w:pPr>
              <w:pStyle w:val="BodyText"/>
              <w:rPr>
                <w:lang w:val="en-NZ"/>
              </w:rPr>
            </w:pPr>
            <w:r w:rsidRPr="003503EF">
              <w:t>2.5</w:t>
            </w:r>
          </w:p>
        </w:tc>
        <w:tc>
          <w:tcPr>
            <w:tcW w:w="5610" w:type="dxa"/>
            <w:tcBorders>
              <w:top w:val="nil"/>
              <w:left w:val="nil"/>
              <w:bottom w:val="nil"/>
              <w:right w:val="nil"/>
            </w:tcBorders>
            <w:tcMar>
              <w:top w:w="0" w:type="dxa"/>
              <w:left w:w="62" w:type="dxa"/>
              <w:bottom w:w="0" w:type="dxa"/>
              <w:right w:w="62" w:type="dxa"/>
            </w:tcMar>
          </w:tcPr>
          <w:p w:rsidR="00000000" w:rsidP="003503EF">
            <w:pPr>
              <w:pStyle w:val="BodyText"/>
              <w:rPr>
                <w:lang w:val="en-NZ"/>
              </w:rPr>
            </w:pPr>
            <w:r w:rsidRPr="003503EF">
              <w:t>Develop and communicate measures for success to stakeholders</w:t>
            </w:r>
          </w:p>
        </w:tc>
      </w:tr>
      <w:tr w:rsidTr="003503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03EF">
            <w:pPr>
              <w:pStyle w:val="BodyText"/>
              <w:rPr>
                <w:lang w:val="en-NZ"/>
              </w:rPr>
            </w:pPr>
            <w:r w:rsidRPr="003503EF">
              <w:t>2.6</w:t>
            </w:r>
          </w:p>
        </w:tc>
        <w:tc>
          <w:tcPr>
            <w:tcW w:w="5610" w:type="dxa"/>
            <w:tcBorders>
              <w:top w:val="nil"/>
              <w:left w:val="nil"/>
              <w:bottom w:val="nil"/>
              <w:right w:val="nil"/>
            </w:tcBorders>
            <w:tcMar>
              <w:top w:w="0" w:type="dxa"/>
              <w:left w:w="62" w:type="dxa"/>
              <w:bottom w:w="0" w:type="dxa"/>
              <w:right w:w="62" w:type="dxa"/>
            </w:tcMar>
          </w:tcPr>
          <w:p w:rsidR="00000000" w:rsidP="003503EF">
            <w:pPr>
              <w:pStyle w:val="BodyText"/>
              <w:rPr>
                <w:lang w:val="en-NZ"/>
              </w:rPr>
            </w:pPr>
            <w:r w:rsidRPr="003503EF">
              <w:t>Define an agreed exit strategy</w:t>
            </w:r>
          </w:p>
        </w:tc>
      </w:tr>
      <w:tr w:rsidTr="003503E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503EF">
            <w:pPr>
              <w:pStyle w:val="BodyText"/>
              <w:rPr>
                <w:lang w:val="en-NZ"/>
              </w:rPr>
            </w:pPr>
          </w:p>
        </w:tc>
      </w:tr>
      <w:tr w:rsidTr="003503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503EF" w:rsidP="003503EF">
            <w:pPr>
              <w:pStyle w:val="BodyText"/>
            </w:pPr>
            <w:r w:rsidRPr="003503EF">
              <w:t>3</w:t>
            </w:r>
          </w:p>
        </w:tc>
        <w:tc>
          <w:tcPr>
            <w:tcW w:w="1962" w:type="dxa"/>
            <w:vMerge w:val="restart"/>
            <w:tcBorders>
              <w:top w:val="nil"/>
              <w:left w:val="nil"/>
              <w:bottom w:val="nil"/>
              <w:right w:val="nil"/>
            </w:tcBorders>
            <w:tcMar>
              <w:top w:w="0" w:type="dxa"/>
              <w:left w:w="62" w:type="dxa"/>
              <w:bottom w:w="0" w:type="dxa"/>
              <w:right w:w="62" w:type="dxa"/>
            </w:tcMar>
          </w:tcPr>
          <w:p w:rsidR="00000000" w:rsidP="003503EF">
            <w:pPr>
              <w:pStyle w:val="BodyText"/>
              <w:rPr>
                <w:lang w:val="en-NZ"/>
              </w:rPr>
            </w:pPr>
            <w:r w:rsidRPr="003503EF">
              <w:rPr>
                <w:rStyle w:val="SpecialBold"/>
              </w:rPr>
              <w:t>Manage the relationship in order to enhance incident response</w:t>
            </w:r>
          </w:p>
        </w:tc>
        <w:tc>
          <w:tcPr>
            <w:tcW w:w="770" w:type="dxa"/>
            <w:tcBorders>
              <w:top w:val="nil"/>
              <w:left w:val="nil"/>
              <w:bottom w:val="nil"/>
              <w:right w:val="nil"/>
            </w:tcBorders>
            <w:tcMar>
              <w:top w:w="0" w:type="dxa"/>
              <w:left w:w="62" w:type="dxa"/>
              <w:bottom w:w="0" w:type="dxa"/>
              <w:right w:w="62" w:type="dxa"/>
            </w:tcMar>
          </w:tcPr>
          <w:p w:rsidR="00000000" w:rsidP="003503EF">
            <w:pPr>
              <w:pStyle w:val="BodyText"/>
              <w:rPr>
                <w:lang w:val="en-NZ"/>
              </w:rPr>
            </w:pPr>
            <w:r w:rsidRPr="003503EF">
              <w:t>3.1</w:t>
            </w:r>
          </w:p>
        </w:tc>
        <w:tc>
          <w:tcPr>
            <w:tcW w:w="5610" w:type="dxa"/>
            <w:tcBorders>
              <w:top w:val="nil"/>
              <w:left w:val="nil"/>
              <w:bottom w:val="nil"/>
              <w:right w:val="nil"/>
            </w:tcBorders>
            <w:tcMar>
              <w:top w:w="0" w:type="dxa"/>
              <w:left w:w="62" w:type="dxa"/>
              <w:bottom w:w="0" w:type="dxa"/>
              <w:right w:w="62" w:type="dxa"/>
            </w:tcMar>
          </w:tcPr>
          <w:p w:rsidR="00000000" w:rsidP="003503EF">
            <w:pPr>
              <w:pStyle w:val="BodyText"/>
              <w:rPr>
                <w:lang w:val="en-NZ"/>
              </w:rPr>
            </w:pPr>
            <w:r w:rsidRPr="003503EF">
              <w:t>Undertake regular consultation, communication and mutual information sharing with all partners</w:t>
            </w:r>
          </w:p>
        </w:tc>
      </w:tr>
      <w:tr w:rsidTr="003503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03EF">
            <w:pPr>
              <w:pStyle w:val="BodyText"/>
              <w:rPr>
                <w:lang w:val="en-NZ"/>
              </w:rPr>
            </w:pPr>
            <w:r w:rsidRPr="003503EF">
              <w:t>3.2</w:t>
            </w:r>
          </w:p>
        </w:tc>
        <w:tc>
          <w:tcPr>
            <w:tcW w:w="5610" w:type="dxa"/>
            <w:tcBorders>
              <w:top w:val="nil"/>
              <w:left w:val="nil"/>
              <w:bottom w:val="nil"/>
              <w:right w:val="nil"/>
            </w:tcBorders>
            <w:tcMar>
              <w:top w:w="0" w:type="dxa"/>
              <w:left w:w="62" w:type="dxa"/>
              <w:bottom w:w="0" w:type="dxa"/>
              <w:right w:w="62" w:type="dxa"/>
            </w:tcMar>
          </w:tcPr>
          <w:p w:rsidR="00000000" w:rsidP="003503EF">
            <w:pPr>
              <w:pStyle w:val="BodyText"/>
              <w:rPr>
                <w:lang w:val="en-NZ"/>
              </w:rPr>
            </w:pPr>
            <w:r w:rsidRPr="003503EF">
              <w:t>Identify, monitor and review challenges facing the partnership and action issues</w:t>
            </w:r>
          </w:p>
        </w:tc>
      </w:tr>
      <w:tr w:rsidTr="003503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03EF">
            <w:pPr>
              <w:pStyle w:val="BodyText"/>
              <w:rPr>
                <w:lang w:val="en-NZ"/>
              </w:rPr>
            </w:pPr>
            <w:r w:rsidRPr="003503EF">
              <w:t>3.3</w:t>
            </w:r>
          </w:p>
        </w:tc>
        <w:tc>
          <w:tcPr>
            <w:tcW w:w="5610" w:type="dxa"/>
            <w:tcBorders>
              <w:top w:val="nil"/>
              <w:left w:val="nil"/>
              <w:bottom w:val="nil"/>
              <w:right w:val="nil"/>
            </w:tcBorders>
            <w:tcMar>
              <w:top w:w="0" w:type="dxa"/>
              <w:left w:w="62" w:type="dxa"/>
              <w:bottom w:w="0" w:type="dxa"/>
              <w:right w:w="62" w:type="dxa"/>
            </w:tcMar>
          </w:tcPr>
          <w:p w:rsidR="00000000" w:rsidP="003503EF">
            <w:pPr>
              <w:pStyle w:val="BodyText"/>
              <w:rPr>
                <w:lang w:val="en-NZ"/>
              </w:rPr>
            </w:pPr>
            <w:r w:rsidRPr="003503EF">
              <w:t>Seek, communicate, document and review opportunities for learning from the partnership</w:t>
            </w:r>
          </w:p>
        </w:tc>
      </w:tr>
      <w:tr w:rsidTr="003503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03EF">
            <w:pPr>
              <w:pStyle w:val="BodyText"/>
              <w:rPr>
                <w:lang w:val="en-NZ"/>
              </w:rPr>
            </w:pPr>
            <w:r w:rsidRPr="003503EF">
              <w:t>3.4</w:t>
            </w:r>
          </w:p>
        </w:tc>
        <w:tc>
          <w:tcPr>
            <w:tcW w:w="5610" w:type="dxa"/>
            <w:tcBorders>
              <w:top w:val="nil"/>
              <w:left w:val="nil"/>
              <w:bottom w:val="nil"/>
              <w:right w:val="nil"/>
            </w:tcBorders>
            <w:tcMar>
              <w:top w:w="0" w:type="dxa"/>
              <w:left w:w="62" w:type="dxa"/>
              <w:bottom w:w="0" w:type="dxa"/>
              <w:right w:w="62" w:type="dxa"/>
            </w:tcMar>
          </w:tcPr>
          <w:p w:rsidR="00000000" w:rsidP="003503EF">
            <w:pPr>
              <w:pStyle w:val="BodyText"/>
              <w:rPr>
                <w:lang w:val="en-NZ"/>
              </w:rPr>
            </w:pPr>
            <w:r w:rsidRPr="003503EF">
              <w:t>Undertake joint venture exercises to improve incident response capacity where appropriate</w:t>
            </w:r>
          </w:p>
        </w:tc>
      </w:tr>
      <w:tr w:rsidTr="003503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03EF">
            <w:pPr>
              <w:pStyle w:val="BodyText"/>
              <w:rPr>
                <w:lang w:val="en-NZ"/>
              </w:rPr>
            </w:pPr>
            <w:r w:rsidRPr="003503EF">
              <w:t>3.5</w:t>
            </w:r>
          </w:p>
        </w:tc>
        <w:tc>
          <w:tcPr>
            <w:tcW w:w="5610" w:type="dxa"/>
            <w:tcBorders>
              <w:top w:val="nil"/>
              <w:left w:val="nil"/>
              <w:bottom w:val="nil"/>
              <w:right w:val="nil"/>
            </w:tcBorders>
            <w:tcMar>
              <w:top w:w="0" w:type="dxa"/>
              <w:left w:w="62" w:type="dxa"/>
              <w:bottom w:w="0" w:type="dxa"/>
              <w:right w:w="62" w:type="dxa"/>
            </w:tcMar>
          </w:tcPr>
          <w:p w:rsidR="00000000" w:rsidP="003503EF">
            <w:pPr>
              <w:pStyle w:val="BodyText"/>
              <w:rPr>
                <w:lang w:val="en-NZ"/>
              </w:rPr>
            </w:pPr>
            <w:r w:rsidRPr="003503EF">
              <w:t>Provide mutual assistance in ensuring compliance to changes in le</w:t>
            </w:r>
            <w:r w:rsidRPr="003503EF">
              <w:t>gislative or regulative requirements</w:t>
            </w:r>
          </w:p>
        </w:tc>
      </w:tr>
      <w:tr w:rsidTr="003503E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503EF">
            <w:pPr>
              <w:pStyle w:val="BodyText"/>
              <w:rPr>
                <w:lang w:val="en-NZ"/>
              </w:rPr>
            </w:pPr>
          </w:p>
        </w:tc>
      </w:tr>
      <w:tr w:rsidTr="003503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503EF" w:rsidP="003503EF">
            <w:pPr>
              <w:pStyle w:val="BodyText"/>
            </w:pPr>
            <w:r w:rsidRPr="003503EF">
              <w:t>4</w:t>
            </w:r>
          </w:p>
        </w:tc>
        <w:tc>
          <w:tcPr>
            <w:tcW w:w="1962" w:type="dxa"/>
            <w:vMerge w:val="restart"/>
            <w:tcBorders>
              <w:top w:val="nil"/>
              <w:left w:val="nil"/>
              <w:bottom w:val="nil"/>
              <w:right w:val="nil"/>
            </w:tcBorders>
            <w:tcMar>
              <w:top w:w="0" w:type="dxa"/>
              <w:left w:w="62" w:type="dxa"/>
              <w:bottom w:w="0" w:type="dxa"/>
              <w:right w:w="62" w:type="dxa"/>
            </w:tcMar>
          </w:tcPr>
          <w:p w:rsidR="00000000" w:rsidP="003503EF">
            <w:pPr>
              <w:pStyle w:val="BodyText"/>
              <w:rPr>
                <w:lang w:val="en-NZ"/>
              </w:rPr>
            </w:pPr>
            <w:r w:rsidRPr="003503EF">
              <w:rPr>
                <w:rStyle w:val="SpecialBold"/>
              </w:rPr>
              <w:t>Rebuild partnerships after an incident/exercise</w:t>
            </w:r>
          </w:p>
        </w:tc>
        <w:tc>
          <w:tcPr>
            <w:tcW w:w="770" w:type="dxa"/>
            <w:tcBorders>
              <w:top w:val="nil"/>
              <w:left w:val="nil"/>
              <w:bottom w:val="nil"/>
              <w:right w:val="nil"/>
            </w:tcBorders>
            <w:tcMar>
              <w:top w:w="0" w:type="dxa"/>
              <w:left w:w="62" w:type="dxa"/>
              <w:bottom w:w="0" w:type="dxa"/>
              <w:right w:w="62" w:type="dxa"/>
            </w:tcMar>
          </w:tcPr>
          <w:p w:rsidR="00000000" w:rsidP="003503EF">
            <w:pPr>
              <w:pStyle w:val="BodyText"/>
              <w:rPr>
                <w:lang w:val="en-NZ"/>
              </w:rPr>
            </w:pPr>
            <w:r w:rsidRPr="003503EF">
              <w:t>4.1</w:t>
            </w:r>
          </w:p>
        </w:tc>
        <w:tc>
          <w:tcPr>
            <w:tcW w:w="5610" w:type="dxa"/>
            <w:tcBorders>
              <w:top w:val="nil"/>
              <w:left w:val="nil"/>
              <w:bottom w:val="nil"/>
              <w:right w:val="nil"/>
            </w:tcBorders>
            <w:tcMar>
              <w:top w:w="0" w:type="dxa"/>
              <w:left w:w="62" w:type="dxa"/>
              <w:bottom w:w="0" w:type="dxa"/>
              <w:right w:w="62" w:type="dxa"/>
            </w:tcMar>
          </w:tcPr>
          <w:p w:rsidR="00000000" w:rsidP="003503EF">
            <w:pPr>
              <w:pStyle w:val="BodyText"/>
              <w:rPr>
                <w:lang w:val="en-NZ"/>
              </w:rPr>
            </w:pPr>
            <w:r w:rsidRPr="003503EF">
              <w:t>Examine incident with partners</w:t>
            </w:r>
          </w:p>
        </w:tc>
      </w:tr>
      <w:tr w:rsidTr="003503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03EF">
            <w:pPr>
              <w:pStyle w:val="BodyText"/>
              <w:rPr>
                <w:lang w:val="en-NZ"/>
              </w:rPr>
            </w:pPr>
            <w:r w:rsidRPr="003503EF">
              <w:t>4.2</w:t>
            </w:r>
          </w:p>
        </w:tc>
        <w:tc>
          <w:tcPr>
            <w:tcW w:w="5610" w:type="dxa"/>
            <w:tcBorders>
              <w:top w:val="nil"/>
              <w:left w:val="nil"/>
              <w:bottom w:val="nil"/>
              <w:right w:val="nil"/>
            </w:tcBorders>
            <w:tcMar>
              <w:top w:w="0" w:type="dxa"/>
              <w:left w:w="62" w:type="dxa"/>
              <w:bottom w:w="0" w:type="dxa"/>
              <w:right w:w="62" w:type="dxa"/>
            </w:tcMar>
          </w:tcPr>
          <w:p w:rsidR="00000000" w:rsidP="003503EF">
            <w:pPr>
              <w:pStyle w:val="BodyText"/>
              <w:rPr>
                <w:lang w:val="en-NZ"/>
              </w:rPr>
            </w:pPr>
            <w:r w:rsidRPr="003503EF">
              <w:t xml:space="preserve">Explore issues arising from the incident </w:t>
            </w:r>
          </w:p>
        </w:tc>
      </w:tr>
      <w:tr w:rsidTr="003503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03EF">
            <w:pPr>
              <w:pStyle w:val="BodyText"/>
              <w:rPr>
                <w:lang w:val="en-NZ"/>
              </w:rPr>
            </w:pPr>
            <w:r w:rsidRPr="003503EF">
              <w:t>4.3</w:t>
            </w:r>
          </w:p>
        </w:tc>
        <w:tc>
          <w:tcPr>
            <w:tcW w:w="5610" w:type="dxa"/>
            <w:tcBorders>
              <w:top w:val="nil"/>
              <w:left w:val="nil"/>
              <w:bottom w:val="nil"/>
              <w:right w:val="nil"/>
            </w:tcBorders>
            <w:tcMar>
              <w:top w:w="0" w:type="dxa"/>
              <w:left w:w="62" w:type="dxa"/>
              <w:bottom w:w="0" w:type="dxa"/>
              <w:right w:w="62" w:type="dxa"/>
            </w:tcMar>
          </w:tcPr>
          <w:p w:rsidR="00000000" w:rsidP="003503EF">
            <w:pPr>
              <w:pStyle w:val="BodyText"/>
              <w:rPr>
                <w:lang w:val="en-NZ"/>
              </w:rPr>
            </w:pPr>
            <w:r w:rsidRPr="003503EF">
              <w:t xml:space="preserve">Follow through and address issues </w:t>
            </w:r>
          </w:p>
        </w:tc>
      </w:tr>
      <w:tr w:rsidTr="003503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03EF">
            <w:pPr>
              <w:pStyle w:val="BodyText"/>
              <w:rPr>
                <w:lang w:val="en-NZ"/>
              </w:rPr>
            </w:pPr>
            <w:r w:rsidRPr="003503EF">
              <w:t>4.4</w:t>
            </w:r>
          </w:p>
        </w:tc>
        <w:tc>
          <w:tcPr>
            <w:tcW w:w="5610" w:type="dxa"/>
            <w:tcBorders>
              <w:top w:val="nil"/>
              <w:left w:val="nil"/>
              <w:bottom w:val="nil"/>
              <w:right w:val="nil"/>
            </w:tcBorders>
            <w:tcMar>
              <w:top w:w="0" w:type="dxa"/>
              <w:left w:w="62" w:type="dxa"/>
              <w:bottom w:w="0" w:type="dxa"/>
              <w:right w:w="62" w:type="dxa"/>
            </w:tcMar>
          </w:tcPr>
          <w:p w:rsidR="00000000" w:rsidP="003503EF">
            <w:pPr>
              <w:pStyle w:val="BodyText"/>
              <w:rPr>
                <w:lang w:val="en-NZ"/>
              </w:rPr>
            </w:pPr>
            <w:r w:rsidRPr="003503EF">
              <w:t>Develop resolutions to prevent re-occurrence</w:t>
            </w:r>
          </w:p>
        </w:tc>
      </w:tr>
      <w:tr w:rsidTr="003503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03EF">
            <w:pPr>
              <w:pStyle w:val="BodyText"/>
              <w:rPr>
                <w:lang w:val="en-NZ"/>
              </w:rPr>
            </w:pPr>
            <w:r w:rsidRPr="003503EF">
              <w:t>4.5</w:t>
            </w:r>
          </w:p>
        </w:tc>
        <w:tc>
          <w:tcPr>
            <w:tcW w:w="5610" w:type="dxa"/>
            <w:tcBorders>
              <w:top w:val="nil"/>
              <w:left w:val="nil"/>
              <w:bottom w:val="nil"/>
              <w:right w:val="nil"/>
            </w:tcBorders>
            <w:tcMar>
              <w:top w:w="0" w:type="dxa"/>
              <w:left w:w="62" w:type="dxa"/>
              <w:bottom w:w="0" w:type="dxa"/>
              <w:right w:w="62" w:type="dxa"/>
            </w:tcMar>
          </w:tcPr>
          <w:p w:rsidR="00000000" w:rsidP="003503EF">
            <w:pPr>
              <w:pStyle w:val="BodyText"/>
              <w:rPr>
                <w:lang w:val="en-NZ"/>
              </w:rPr>
            </w:pPr>
            <w:r w:rsidRPr="003503EF">
              <w:t>Disseminate information and resolutions resulting from discussions appropriately</w:t>
            </w:r>
          </w:p>
        </w:tc>
      </w:tr>
      <w:tr w:rsidTr="003503E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503EF">
            <w:pPr>
              <w:pStyle w:val="BodyText"/>
              <w:rPr>
                <w:lang w:val="en-NZ"/>
              </w:rPr>
            </w:pPr>
          </w:p>
        </w:tc>
      </w:tr>
      <w:tr w:rsidTr="003503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503EF" w:rsidP="003503EF">
            <w:pPr>
              <w:pStyle w:val="BodyText"/>
            </w:pPr>
            <w:r w:rsidRPr="003503EF">
              <w:t>5</w:t>
            </w:r>
          </w:p>
        </w:tc>
        <w:tc>
          <w:tcPr>
            <w:tcW w:w="1962" w:type="dxa"/>
            <w:vMerge w:val="restart"/>
            <w:tcBorders>
              <w:top w:val="nil"/>
              <w:left w:val="nil"/>
              <w:bottom w:val="nil"/>
              <w:right w:val="nil"/>
            </w:tcBorders>
            <w:tcMar>
              <w:top w:w="0" w:type="dxa"/>
              <w:left w:w="62" w:type="dxa"/>
              <w:bottom w:w="0" w:type="dxa"/>
              <w:right w:w="62" w:type="dxa"/>
            </w:tcMar>
          </w:tcPr>
          <w:p w:rsidR="00000000" w:rsidP="003503EF">
            <w:pPr>
              <w:pStyle w:val="BodyText"/>
              <w:rPr>
                <w:lang w:val="en-NZ"/>
              </w:rPr>
            </w:pPr>
            <w:r w:rsidRPr="003503EF">
              <w:rPr>
                <w:rStyle w:val="SpecialBold"/>
              </w:rPr>
              <w:t>Evaluate the effectiveness of the partnership</w:t>
            </w:r>
          </w:p>
        </w:tc>
        <w:tc>
          <w:tcPr>
            <w:tcW w:w="770" w:type="dxa"/>
            <w:tcBorders>
              <w:top w:val="nil"/>
              <w:left w:val="nil"/>
              <w:bottom w:val="nil"/>
              <w:right w:val="nil"/>
            </w:tcBorders>
            <w:tcMar>
              <w:top w:w="0" w:type="dxa"/>
              <w:left w:w="62" w:type="dxa"/>
              <w:bottom w:w="0" w:type="dxa"/>
              <w:right w:w="62" w:type="dxa"/>
            </w:tcMar>
          </w:tcPr>
          <w:p w:rsidR="00000000" w:rsidP="003503EF">
            <w:pPr>
              <w:pStyle w:val="BodyText"/>
              <w:rPr>
                <w:lang w:val="en-NZ"/>
              </w:rPr>
            </w:pPr>
            <w:r w:rsidRPr="003503EF">
              <w:t>5.1</w:t>
            </w:r>
          </w:p>
        </w:tc>
        <w:tc>
          <w:tcPr>
            <w:tcW w:w="5610" w:type="dxa"/>
            <w:tcBorders>
              <w:top w:val="nil"/>
              <w:left w:val="nil"/>
              <w:bottom w:val="nil"/>
              <w:right w:val="nil"/>
            </w:tcBorders>
            <w:tcMar>
              <w:top w:w="0" w:type="dxa"/>
              <w:left w:w="62" w:type="dxa"/>
              <w:bottom w:w="0" w:type="dxa"/>
              <w:right w:w="62" w:type="dxa"/>
            </w:tcMar>
          </w:tcPr>
          <w:p w:rsidR="00000000" w:rsidP="003503EF">
            <w:pPr>
              <w:pStyle w:val="BodyText"/>
              <w:rPr>
                <w:lang w:val="en-NZ"/>
              </w:rPr>
            </w:pPr>
            <w:r w:rsidRPr="003503EF">
              <w:t>Evaluate flexibility and appropriateness of responses to issues/challenges facing the partnership</w:t>
            </w:r>
          </w:p>
        </w:tc>
      </w:tr>
      <w:tr w:rsidTr="003503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03EF">
            <w:pPr>
              <w:pStyle w:val="BodyText"/>
              <w:rPr>
                <w:lang w:val="en-NZ"/>
              </w:rPr>
            </w:pPr>
            <w:r w:rsidRPr="003503EF">
              <w:t>5.2</w:t>
            </w:r>
          </w:p>
        </w:tc>
        <w:tc>
          <w:tcPr>
            <w:tcW w:w="5610" w:type="dxa"/>
            <w:tcBorders>
              <w:top w:val="nil"/>
              <w:left w:val="nil"/>
              <w:bottom w:val="nil"/>
              <w:right w:val="nil"/>
            </w:tcBorders>
            <w:tcMar>
              <w:top w:w="0" w:type="dxa"/>
              <w:left w:w="62" w:type="dxa"/>
              <w:bottom w:w="0" w:type="dxa"/>
              <w:right w:w="62" w:type="dxa"/>
            </w:tcMar>
          </w:tcPr>
          <w:p w:rsidR="00000000" w:rsidP="003503EF">
            <w:pPr>
              <w:pStyle w:val="BodyText"/>
              <w:rPr>
                <w:lang w:val="en-NZ"/>
              </w:rPr>
            </w:pPr>
            <w:r w:rsidRPr="003503EF">
              <w:t>Evaluate performance against agreed measures</w:t>
            </w:r>
          </w:p>
        </w:tc>
      </w:tr>
      <w:tr w:rsidTr="003503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03EF">
            <w:pPr>
              <w:pStyle w:val="BodyText"/>
              <w:rPr>
                <w:lang w:val="en-NZ"/>
              </w:rPr>
            </w:pPr>
            <w:r w:rsidRPr="003503EF">
              <w:t>5.3</w:t>
            </w:r>
          </w:p>
        </w:tc>
        <w:tc>
          <w:tcPr>
            <w:tcW w:w="5610" w:type="dxa"/>
            <w:tcBorders>
              <w:top w:val="nil"/>
              <w:left w:val="nil"/>
              <w:bottom w:val="nil"/>
              <w:right w:val="nil"/>
            </w:tcBorders>
            <w:tcMar>
              <w:top w:w="0" w:type="dxa"/>
              <w:left w:w="62" w:type="dxa"/>
              <w:bottom w:w="0" w:type="dxa"/>
              <w:right w:w="62" w:type="dxa"/>
            </w:tcMar>
          </w:tcPr>
          <w:p w:rsidR="00000000" w:rsidRPr="003503EF" w:rsidP="003503EF">
            <w:pPr>
              <w:pStyle w:val="BodyText"/>
            </w:pPr>
            <w:r w:rsidRPr="003503EF">
              <w:t>Communicate capability to implement the exit strategy to stakeholders</w:t>
            </w:r>
          </w:p>
        </w:tc>
      </w:tr>
    </w:tbl>
    <w:p w:rsidR="00000000" w:rsidRPr="003503EF" w:rsidP="003503EF">
      <w:pPr>
        <w:pStyle w:val="BodyText"/>
      </w:pPr>
    </w:p>
    <w:p w:rsidR="00000000" w:rsidRPr="003503EF" w:rsidP="003503EF">
      <w:pPr>
        <w:pStyle w:val="AllowPageBreak"/>
      </w:pPr>
    </w:p>
    <w:p w:rsidR="00000000" w:rsidRPr="003503EF" w:rsidP="003503EF">
      <w:pPr>
        <w:pStyle w:val="Heading1"/>
      </w:pPr>
      <w:bookmarkStart w:id="7" w:name="O_909022"/>
      <w:bookmarkEnd w:id="7"/>
      <w:r w:rsidRPr="003503EF">
        <w:t>Foundation Skills</w:t>
      </w:r>
    </w:p>
    <w:p w:rsidR="00000000" w:rsidRPr="003503EF" w:rsidP="00AE3027">
      <w:pPr>
        <w:pStyle w:val="BodyText"/>
      </w:pPr>
      <w:r w:rsidRPr="003503EF">
        <w:t>This section describes those language, literacy, numeracy and employment skills that are essential to performance.</w:t>
      </w:r>
    </w:p>
    <w:p w:rsidR="00000000" w:rsidRPr="003503EF" w:rsidP="00AE3027">
      <w:pPr>
        <w:pStyle w:val="BodyText"/>
      </w:pPr>
      <w:r w:rsidRPr="003503EF">
        <w:t>Foundation skills essential to performance are explicit in the performance criteria of this unit of competency.</w:t>
      </w:r>
    </w:p>
    <w:p w:rsidR="00000000" w:rsidRPr="003503EF" w:rsidP="003503EF">
      <w:pPr>
        <w:pStyle w:val="Heading1"/>
      </w:pPr>
      <w:bookmarkStart w:id="8" w:name="O_909021"/>
      <w:bookmarkEnd w:id="8"/>
      <w:r w:rsidRPr="003503EF">
        <w:t>Range of Conditions</w:t>
      </w:r>
    </w:p>
    <w:tbl>
      <w:tblPr>
        <w:tblW w:w="0" w:type="auto"/>
        <w:tblCellMar>
          <w:left w:w="62" w:type="dxa"/>
          <w:right w:w="62" w:type="dxa"/>
        </w:tblCellMar>
        <w:tblLook w:val="0000"/>
      </w:tblPr>
      <w:tblGrid>
        <w:gridCol w:w="2163"/>
        <w:gridCol w:w="7033"/>
      </w:tblGrid>
      <w:tr w:rsidTr="00AE302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503EF">
            <w:pPr>
              <w:pStyle w:val="BodyText"/>
              <w:rPr>
                <w:lang w:val="en-NZ"/>
              </w:rPr>
            </w:pPr>
            <w:r w:rsidRPr="003503EF">
              <w:t>This field allows for different work environments and conditions that may affect performance. Essential operating conditions that may be present (depending on the work situation, needs of the candidate, accessibility of the item,</w:t>
            </w:r>
            <w:r w:rsidRPr="003503EF">
              <w:t xml:space="preserve"> and local industry and regional contexts) are included.</w:t>
            </w:r>
          </w:p>
        </w:tc>
      </w:tr>
      <w:tr w:rsidTr="00AE30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503EF" w:rsidP="003503EF">
            <w:pPr>
              <w:pStyle w:val="BodyText"/>
            </w:pPr>
            <w:r w:rsidRPr="003503EF">
              <w:rPr>
                <w:rStyle w:val="SpecialBold"/>
              </w:rPr>
              <w:t>Regulatory framework</w:t>
            </w:r>
            <w:r w:rsidRPr="003503EF">
              <w:t xml:space="preserve">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3503EF" w:rsidP="003503EF">
            <w:pPr>
              <w:pStyle w:val="BodyText"/>
            </w:pPr>
            <w:r w:rsidRPr="003503EF">
              <w:t xml:space="preserve">The latest version of all legislation, regulations, industry codes of practice and Australian/international standards, or the version specified by the local </w:t>
            </w:r>
            <w:r w:rsidRPr="003503EF">
              <w:t>regulatory authority, must be used, and include one or more of the following:</w:t>
            </w:r>
          </w:p>
          <w:p w:rsidR="00000000" w:rsidRPr="003503EF" w:rsidP="003503EF">
            <w:pPr>
              <w:pStyle w:val="ListBullet"/>
            </w:pPr>
            <w:r w:rsidRPr="003503EF">
              <w:t>legislative requirements, including work health and safety (WHS)</w:t>
            </w:r>
          </w:p>
          <w:p w:rsidR="00000000" w:rsidRPr="003503EF" w:rsidP="003503EF">
            <w:pPr>
              <w:pStyle w:val="ListBullet"/>
            </w:pPr>
            <w:r w:rsidRPr="003503EF">
              <w:t>industry codes of practice and guidelines</w:t>
            </w:r>
          </w:p>
          <w:p w:rsidR="00000000" w:rsidRPr="003503EF" w:rsidP="003503EF">
            <w:pPr>
              <w:pStyle w:val="ListBullet"/>
            </w:pPr>
            <w:r w:rsidRPr="003503EF">
              <w:t xml:space="preserve">environmental regulations and guidelines </w:t>
            </w:r>
          </w:p>
          <w:p w:rsidR="00000000" w:rsidRPr="003503EF" w:rsidP="003503EF">
            <w:pPr>
              <w:pStyle w:val="ListBullet"/>
            </w:pPr>
            <w:r w:rsidRPr="003503EF">
              <w:t>Australian and other standar</w:t>
            </w:r>
            <w:r w:rsidRPr="003503EF">
              <w:t>ds</w:t>
            </w:r>
          </w:p>
          <w:p w:rsidR="00000000" w:rsidRPr="003503EF" w:rsidP="003503EF">
            <w:pPr>
              <w:pStyle w:val="ListBullet"/>
            </w:pPr>
            <w:r w:rsidRPr="003503EF">
              <w:t>licence and certification requirements</w:t>
            </w:r>
          </w:p>
          <w:p w:rsidR="00000000" w:rsidRPr="003503EF" w:rsidP="003503EF">
            <w:pPr>
              <w:pStyle w:val="BodyText"/>
            </w:pPr>
          </w:p>
          <w:p w:rsidR="00000000" w:rsidRPr="003503EF" w:rsidP="003503EF">
            <w:pPr>
              <w:pStyle w:val="BodyText"/>
            </w:pPr>
            <w:r w:rsidRPr="003503EF">
              <w:t>All operations to which this unit applies are subject to stringent health, safety and environment (HSE) requirements, which may be imposed through state/territory or federal legislation, and these must not be comp</w:t>
            </w:r>
            <w:r w:rsidRPr="003503EF">
              <w:t>romised at any time. Where there is an apparent conflict between performance criteria and HSE requirements, the HSE requirements take precedence.</w:t>
            </w:r>
          </w:p>
          <w:p w:rsidR="00000000" w:rsidRPr="003503EF" w:rsidP="003503EF">
            <w:pPr>
              <w:pStyle w:val="BodyText"/>
            </w:pPr>
          </w:p>
          <w:p w:rsidR="00000000" w:rsidRPr="003503EF" w:rsidP="003503EF">
            <w:pPr>
              <w:pStyle w:val="BodyText"/>
            </w:pPr>
            <w:r w:rsidRPr="003503EF">
              <w:t>Duty of care responsibilities under general work health and safety (WHS) Acts and regulations and state/terri</w:t>
            </w:r>
            <w:r w:rsidRPr="003503EF">
              <w:t>tory and national standards applying to hazardous substances, dangerous goods and major hazards must be met.</w:t>
            </w:r>
          </w:p>
          <w:p w:rsidR="00000000" w:rsidP="003503EF">
            <w:pPr>
              <w:pStyle w:val="BodyText"/>
              <w:rPr>
                <w:lang w:val="en-NZ"/>
              </w:rPr>
            </w:pPr>
          </w:p>
        </w:tc>
      </w:tr>
      <w:tr w:rsidTr="00AE30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03EF">
            <w:pPr>
              <w:pStyle w:val="BodyText"/>
              <w:rPr>
                <w:lang w:val="en-NZ"/>
              </w:rPr>
            </w:pPr>
            <w:r w:rsidRPr="003503EF">
              <w:rPr>
                <w:rStyle w:val="SpecialBold"/>
              </w:rPr>
              <w:t>Partnerships</w:t>
            </w:r>
          </w:p>
        </w:tc>
        <w:tc>
          <w:tcPr>
            <w:tcW w:w="0" w:type="auto"/>
            <w:tcBorders>
              <w:top w:val="nil"/>
              <w:left w:val="nil"/>
              <w:bottom w:val="nil"/>
              <w:right w:val="nil"/>
            </w:tcBorders>
            <w:tcMar>
              <w:top w:w="0" w:type="dxa"/>
              <w:left w:w="62" w:type="dxa"/>
              <w:bottom w:w="0" w:type="dxa"/>
              <w:right w:w="62" w:type="dxa"/>
            </w:tcMar>
          </w:tcPr>
          <w:p w:rsidR="00000000" w:rsidRPr="003503EF" w:rsidP="003503EF">
            <w:pPr>
              <w:pStyle w:val="BodyText"/>
            </w:pPr>
            <w:r w:rsidRPr="003503EF">
              <w:t>Partnerships must relate to a strategic goal or opportunity, including one or more of the following:</w:t>
            </w:r>
          </w:p>
          <w:p w:rsidR="00000000" w:rsidRPr="003503EF" w:rsidP="003503EF">
            <w:pPr>
              <w:pStyle w:val="ListBullet"/>
            </w:pPr>
            <w:r w:rsidRPr="003503EF">
              <w:t xml:space="preserve">service that covers a gap in internal capacity/capability </w:t>
            </w:r>
          </w:p>
          <w:p w:rsidR="00000000" w:rsidRPr="003503EF" w:rsidP="003503EF">
            <w:pPr>
              <w:pStyle w:val="ListBullet"/>
            </w:pPr>
            <w:r w:rsidRPr="003503EF">
              <w:t>opportunity to learn specific skills and/or current practices</w:t>
            </w:r>
          </w:p>
          <w:p w:rsidR="00000000" w:rsidRPr="003503EF" w:rsidP="003503EF">
            <w:pPr>
              <w:pStyle w:val="ListBullet"/>
            </w:pPr>
            <w:r w:rsidRPr="003503EF">
              <w:t>share industry knowledge (e.g. compliance requirements and approaches to incident planning)</w:t>
            </w:r>
          </w:p>
          <w:p w:rsidR="00000000" w:rsidRPr="003503EF" w:rsidP="003503EF">
            <w:pPr>
              <w:pStyle w:val="BodyText"/>
            </w:pPr>
          </w:p>
          <w:p w:rsidR="00000000" w:rsidRPr="003503EF" w:rsidP="003503EF">
            <w:pPr>
              <w:pStyle w:val="BodyText"/>
            </w:pPr>
            <w:r w:rsidRPr="003503EF">
              <w:t xml:space="preserve">Partner organisations include one or more </w:t>
            </w:r>
            <w:r w:rsidRPr="003503EF">
              <w:t>of the following:</w:t>
            </w:r>
          </w:p>
          <w:p w:rsidR="00000000" w:rsidRPr="003503EF" w:rsidP="003503EF">
            <w:pPr>
              <w:pStyle w:val="ListBullet"/>
            </w:pPr>
            <w:r w:rsidRPr="003503EF">
              <w:t>parent company</w:t>
            </w:r>
          </w:p>
          <w:p w:rsidR="00000000" w:rsidRPr="003503EF" w:rsidP="003503EF">
            <w:pPr>
              <w:pStyle w:val="ListBullet"/>
            </w:pPr>
            <w:r w:rsidRPr="003503EF">
              <w:t>joint venture partners</w:t>
            </w:r>
          </w:p>
          <w:p w:rsidR="00000000" w:rsidRPr="003503EF" w:rsidP="003503EF">
            <w:pPr>
              <w:pStyle w:val="ListBullet"/>
            </w:pPr>
            <w:r w:rsidRPr="003503EF">
              <w:t>organisations within a given geographical radius</w:t>
            </w:r>
          </w:p>
          <w:p w:rsidR="00000000" w:rsidRPr="003503EF" w:rsidP="003503EF">
            <w:pPr>
              <w:pStyle w:val="ListBullet"/>
            </w:pPr>
            <w:r w:rsidRPr="003503EF">
              <w:t>external agencies</w:t>
            </w:r>
          </w:p>
          <w:p w:rsidR="00000000" w:rsidP="003503EF">
            <w:pPr>
              <w:pStyle w:val="BodyText"/>
              <w:rPr>
                <w:lang w:val="en-NZ"/>
              </w:rPr>
            </w:pPr>
          </w:p>
        </w:tc>
      </w:tr>
      <w:tr w:rsidTr="00AE30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03EF">
            <w:pPr>
              <w:pStyle w:val="BodyText"/>
              <w:rPr>
                <w:lang w:val="en-NZ"/>
              </w:rPr>
            </w:pPr>
            <w:r w:rsidRPr="003503EF">
              <w:rPr>
                <w:rStyle w:val="SpecialBold"/>
              </w:rPr>
              <w:t>Framework</w:t>
            </w:r>
          </w:p>
        </w:tc>
        <w:tc>
          <w:tcPr>
            <w:tcW w:w="0" w:type="auto"/>
            <w:tcBorders>
              <w:top w:val="nil"/>
              <w:left w:val="nil"/>
              <w:bottom w:val="nil"/>
              <w:right w:val="nil"/>
            </w:tcBorders>
            <w:tcMar>
              <w:top w:w="0" w:type="dxa"/>
              <w:left w:w="62" w:type="dxa"/>
              <w:bottom w:w="0" w:type="dxa"/>
              <w:right w:w="62" w:type="dxa"/>
            </w:tcMar>
          </w:tcPr>
          <w:p w:rsidR="00000000" w:rsidRPr="003503EF" w:rsidP="003503EF">
            <w:pPr>
              <w:pStyle w:val="BodyText"/>
            </w:pPr>
            <w:r w:rsidRPr="003503EF">
              <w:t>The framework for the partnership includes:</w:t>
            </w:r>
          </w:p>
          <w:p w:rsidR="00000000" w:rsidRPr="003503EF" w:rsidP="003503EF">
            <w:pPr>
              <w:pStyle w:val="ListBullet"/>
            </w:pPr>
            <w:r w:rsidRPr="003503EF">
              <w:t xml:space="preserve">size and structure </w:t>
            </w:r>
          </w:p>
          <w:p w:rsidR="00000000" w:rsidRPr="003503EF" w:rsidP="003503EF">
            <w:pPr>
              <w:pStyle w:val="ListBullet"/>
            </w:pPr>
            <w:r w:rsidRPr="003503EF">
              <w:t>roles and responsibilities</w:t>
            </w:r>
          </w:p>
          <w:p w:rsidR="00000000" w:rsidRPr="003503EF" w:rsidP="003503EF">
            <w:pPr>
              <w:pStyle w:val="ListBullet"/>
            </w:pPr>
            <w:r w:rsidRPr="003503EF">
              <w:t xml:space="preserve">goals </w:t>
            </w:r>
          </w:p>
          <w:p w:rsidR="00000000" w:rsidRPr="003503EF" w:rsidP="003503EF">
            <w:pPr>
              <w:pStyle w:val="ListBullet"/>
            </w:pPr>
            <w:r w:rsidRPr="003503EF">
              <w:t>duration and exit strategy</w:t>
            </w:r>
          </w:p>
          <w:p w:rsidR="00000000" w:rsidRPr="003503EF" w:rsidP="003503EF">
            <w:pPr>
              <w:pStyle w:val="ListBullet"/>
            </w:pPr>
            <w:r w:rsidRPr="003503EF">
              <w:t>systems and/or processes for communications, planning</w:t>
            </w:r>
          </w:p>
          <w:p w:rsidR="00000000" w:rsidRPr="003503EF" w:rsidP="003503EF">
            <w:pPr>
              <w:pStyle w:val="ListBullet"/>
            </w:pPr>
            <w:r w:rsidRPr="003503EF">
              <w:t>measures of performance (qualitative and quantitative)</w:t>
            </w:r>
          </w:p>
          <w:p w:rsidR="00000000" w:rsidP="003503EF">
            <w:pPr>
              <w:pStyle w:val="BodyText"/>
              <w:rPr>
                <w:lang w:val="en-NZ"/>
              </w:rPr>
            </w:pPr>
          </w:p>
        </w:tc>
      </w:tr>
      <w:tr w:rsidTr="00AE30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03EF">
            <w:pPr>
              <w:pStyle w:val="BodyText"/>
              <w:rPr>
                <w:lang w:val="en-NZ"/>
              </w:rPr>
            </w:pPr>
            <w:r w:rsidRPr="003503EF">
              <w:rPr>
                <w:rStyle w:val="SpecialBold"/>
              </w:rPr>
              <w:t>Challenges</w:t>
            </w:r>
          </w:p>
        </w:tc>
        <w:tc>
          <w:tcPr>
            <w:tcW w:w="0" w:type="auto"/>
            <w:tcBorders>
              <w:top w:val="nil"/>
              <w:left w:val="nil"/>
              <w:bottom w:val="nil"/>
              <w:right w:val="nil"/>
            </w:tcBorders>
            <w:tcMar>
              <w:top w:w="0" w:type="dxa"/>
              <w:left w:w="62" w:type="dxa"/>
              <w:bottom w:w="0" w:type="dxa"/>
              <w:right w:w="62" w:type="dxa"/>
            </w:tcMar>
          </w:tcPr>
          <w:p w:rsidR="00000000" w:rsidRPr="003503EF" w:rsidP="003503EF">
            <w:pPr>
              <w:pStyle w:val="BodyText"/>
            </w:pPr>
            <w:r w:rsidRPr="003503EF">
              <w:t>Challenges facing a partnership include one or more of the following:</w:t>
            </w:r>
          </w:p>
          <w:p w:rsidR="00000000" w:rsidRPr="003503EF" w:rsidP="003503EF">
            <w:pPr>
              <w:pStyle w:val="ListBullet"/>
            </w:pPr>
            <w:r w:rsidRPr="003503EF">
              <w:t xml:space="preserve">establishing a cohesive network for </w:t>
            </w:r>
            <w:r w:rsidRPr="003503EF">
              <w:t>effective incident response</w:t>
            </w:r>
          </w:p>
          <w:p w:rsidR="00000000" w:rsidRPr="003503EF" w:rsidP="003503EF">
            <w:pPr>
              <w:pStyle w:val="ListBullet"/>
            </w:pPr>
            <w:r w:rsidRPr="003503EF">
              <w:t xml:space="preserve">rebuilding the partnership in the event of an incident with partners </w:t>
            </w:r>
          </w:p>
          <w:p w:rsidR="00000000" w:rsidRPr="003503EF" w:rsidP="003503EF">
            <w:pPr>
              <w:pStyle w:val="ListBullet"/>
            </w:pPr>
            <w:r w:rsidRPr="003503EF">
              <w:t>promoting a positive image of the organisation.</w:t>
            </w:r>
          </w:p>
          <w:p w:rsidR="00000000" w:rsidP="003503EF">
            <w:pPr>
              <w:pStyle w:val="BodyText"/>
              <w:rPr>
                <w:lang w:val="en-NZ"/>
              </w:rPr>
            </w:pPr>
          </w:p>
        </w:tc>
      </w:tr>
      <w:tr w:rsidTr="00AE30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03EF">
            <w:pPr>
              <w:pStyle w:val="BodyText"/>
              <w:rPr>
                <w:lang w:val="en-NZ"/>
              </w:rPr>
            </w:pPr>
            <w:r w:rsidRPr="003503EF">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3503EF" w:rsidP="003503EF">
            <w:pPr>
              <w:pStyle w:val="BodyText"/>
            </w:pPr>
            <w:r w:rsidRPr="003503EF">
              <w:t>All operations must be performed in accordance with relevant procedures.</w:t>
            </w:r>
          </w:p>
          <w:p w:rsidR="00000000" w:rsidRPr="003503EF" w:rsidP="003503EF">
            <w:pPr>
              <w:pStyle w:val="BodyText"/>
            </w:pPr>
          </w:p>
          <w:p w:rsidR="00000000" w:rsidRPr="003503EF" w:rsidP="003503EF">
            <w:pPr>
              <w:pStyle w:val="BodyText"/>
            </w:pPr>
            <w:r w:rsidRPr="003503EF">
              <w:t>Procedures are written, verbal, visual, computer-based or in some other form, and include one or more of the following:</w:t>
            </w:r>
          </w:p>
          <w:p w:rsidR="00000000" w:rsidRPr="003503EF" w:rsidP="003503EF">
            <w:pPr>
              <w:pStyle w:val="ListBullet"/>
            </w:pPr>
            <w:r w:rsidRPr="003503EF">
              <w:t>emergency procedures</w:t>
            </w:r>
          </w:p>
          <w:p w:rsidR="00000000" w:rsidRPr="003503EF" w:rsidP="003503EF">
            <w:pPr>
              <w:pStyle w:val="ListBullet"/>
            </w:pPr>
            <w:r w:rsidRPr="003503EF">
              <w:t>work instructions</w:t>
            </w:r>
          </w:p>
          <w:p w:rsidR="00000000" w:rsidRPr="003503EF" w:rsidP="003503EF">
            <w:pPr>
              <w:pStyle w:val="ListBullet"/>
            </w:pPr>
            <w:r w:rsidRPr="003503EF">
              <w:t>standard operating procedures (SOPs)</w:t>
            </w:r>
          </w:p>
          <w:p w:rsidR="00000000" w:rsidRPr="003503EF" w:rsidP="003503EF">
            <w:pPr>
              <w:pStyle w:val="ListBullet"/>
            </w:pPr>
            <w:r w:rsidRPr="003503EF">
              <w:t>safe work method statements (SWMS)</w:t>
            </w:r>
          </w:p>
          <w:p w:rsidR="00000000" w:rsidRPr="003503EF" w:rsidP="003503EF">
            <w:pPr>
              <w:pStyle w:val="ListBullet"/>
            </w:pPr>
            <w:r w:rsidRPr="003503EF">
              <w:t>formulas/recipes</w:t>
            </w:r>
          </w:p>
          <w:p w:rsidR="00000000" w:rsidRPr="003503EF" w:rsidP="003503EF">
            <w:pPr>
              <w:pStyle w:val="ListBullet"/>
            </w:pPr>
            <w:r w:rsidRPr="003503EF">
              <w:t>batch s</w:t>
            </w:r>
            <w:r w:rsidRPr="003503EF">
              <w:t>heets</w:t>
            </w:r>
          </w:p>
          <w:p w:rsidR="00000000" w:rsidRPr="003503EF" w:rsidP="003503EF">
            <w:pPr>
              <w:pStyle w:val="ListBullet"/>
            </w:pPr>
            <w:r w:rsidRPr="003503EF">
              <w:t>temporary instructions</w:t>
            </w:r>
          </w:p>
          <w:p w:rsidR="00000000" w:rsidRPr="003503EF" w:rsidP="003503EF">
            <w:pPr>
              <w:pStyle w:val="ListBullet"/>
            </w:pPr>
            <w:r w:rsidRPr="003503EF">
              <w:t xml:space="preserve">any similar instructions provided for the smooth running of the plant </w:t>
            </w:r>
          </w:p>
          <w:p w:rsidR="00000000" w:rsidP="003503EF">
            <w:pPr>
              <w:pStyle w:val="BodyText"/>
              <w:rPr>
                <w:lang w:val="en-NZ"/>
              </w:rPr>
            </w:pPr>
          </w:p>
        </w:tc>
      </w:tr>
      <w:tr w:rsidTr="00AE30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03EF">
            <w:pPr>
              <w:pStyle w:val="BodyText"/>
              <w:rPr>
                <w:lang w:val="en-NZ"/>
              </w:rPr>
            </w:pPr>
            <w:r w:rsidRPr="003503EF">
              <w:rPr>
                <w:rStyle w:val="SpecialBold"/>
              </w:rPr>
              <w:t>Incident response</w:t>
            </w:r>
          </w:p>
        </w:tc>
        <w:tc>
          <w:tcPr>
            <w:tcW w:w="0" w:type="auto"/>
            <w:tcBorders>
              <w:top w:val="nil"/>
              <w:left w:val="nil"/>
              <w:bottom w:val="nil"/>
              <w:right w:val="nil"/>
            </w:tcBorders>
            <w:tcMar>
              <w:top w:w="0" w:type="dxa"/>
              <w:left w:w="62" w:type="dxa"/>
              <w:bottom w:w="0" w:type="dxa"/>
              <w:right w:w="62" w:type="dxa"/>
            </w:tcMar>
          </w:tcPr>
          <w:p w:rsidR="00000000" w:rsidRPr="003503EF" w:rsidP="003503EF">
            <w:pPr>
              <w:pStyle w:val="BodyText"/>
            </w:pPr>
            <w:r w:rsidRPr="003503EF">
              <w:t>Incident response includes one or more of the following:</w:t>
            </w:r>
          </w:p>
          <w:p w:rsidR="00000000" w:rsidRPr="003503EF" w:rsidP="003503EF">
            <w:pPr>
              <w:pStyle w:val="ListBullet"/>
            </w:pPr>
            <w:r w:rsidRPr="003503EF">
              <w:t>deployment of site incident response personnel</w:t>
            </w:r>
          </w:p>
          <w:p w:rsidR="00000000" w:rsidRPr="003503EF" w:rsidP="003503EF">
            <w:pPr>
              <w:pStyle w:val="ListBullet"/>
            </w:pPr>
            <w:r w:rsidRPr="003503EF">
              <w:t>containing/controlling the incident at source and/or its spread</w:t>
            </w:r>
          </w:p>
          <w:p w:rsidR="00000000" w:rsidRPr="003503EF" w:rsidP="003503EF">
            <w:pPr>
              <w:pStyle w:val="ListBullet"/>
            </w:pPr>
            <w:r w:rsidRPr="003503EF">
              <w:t>search and rescue operations</w:t>
            </w:r>
          </w:p>
          <w:p w:rsidR="00000000" w:rsidRPr="003503EF" w:rsidP="003503EF">
            <w:pPr>
              <w:pStyle w:val="ListBullet"/>
            </w:pPr>
            <w:r w:rsidRPr="003503EF">
              <w:t>engagement of external emergency services (such as fire, ambulance, rescue and military)</w:t>
            </w:r>
          </w:p>
          <w:p w:rsidR="00000000" w:rsidRPr="003503EF" w:rsidP="003503EF">
            <w:pPr>
              <w:pStyle w:val="ListBullet"/>
            </w:pPr>
            <w:r w:rsidRPr="003503EF">
              <w:t>liaison with other agencies (such as environmental, clean-up and specialis</w:t>
            </w:r>
            <w:r w:rsidRPr="003503EF">
              <w:t xml:space="preserve">ed troubleshooters) </w:t>
            </w:r>
          </w:p>
          <w:p w:rsidR="00000000" w:rsidRPr="003503EF" w:rsidP="003503EF">
            <w:pPr>
              <w:pStyle w:val="ListBullet"/>
            </w:pPr>
            <w:r w:rsidRPr="003503EF">
              <w:t>evacuation</w:t>
            </w:r>
          </w:p>
          <w:p w:rsidR="00000000" w:rsidRPr="003503EF" w:rsidP="003503EF">
            <w:pPr>
              <w:pStyle w:val="ListBullet"/>
            </w:pPr>
            <w:r w:rsidRPr="003503EF">
              <w:t>hazard control</w:t>
            </w:r>
          </w:p>
          <w:p w:rsidR="00000000" w:rsidRPr="003503EF" w:rsidP="003503EF">
            <w:pPr>
              <w:pStyle w:val="BodyText"/>
            </w:pPr>
          </w:p>
          <w:p w:rsidR="00000000" w:rsidRPr="003503EF" w:rsidP="003503EF">
            <w:pPr>
              <w:pStyle w:val="BodyText"/>
            </w:pPr>
            <w:r w:rsidRPr="003503EF">
              <w:t xml:space="preserve">Incident response actions must: </w:t>
            </w:r>
          </w:p>
          <w:p w:rsidR="00000000" w:rsidRPr="003503EF" w:rsidP="003503EF">
            <w:pPr>
              <w:pStyle w:val="ListBullet"/>
            </w:pPr>
            <w:r w:rsidRPr="003503EF">
              <w:t>be in accordance with and relevant organisation procedures</w:t>
            </w:r>
          </w:p>
          <w:p w:rsidR="00000000" w:rsidRPr="003503EF" w:rsidP="003503EF">
            <w:pPr>
              <w:pStyle w:val="ListBullet"/>
            </w:pPr>
            <w:r w:rsidRPr="003503EF">
              <w:t>use appropriate response equipment, where required</w:t>
            </w:r>
          </w:p>
          <w:p w:rsidR="00000000" w:rsidRPr="003503EF" w:rsidP="003503EF">
            <w:pPr>
              <w:pStyle w:val="ListBullet"/>
            </w:pPr>
            <w:r w:rsidRPr="003503EF">
              <w:t xml:space="preserve">prioritise the safety and/or successful recovery of personnel and others affected by the incident response </w:t>
            </w:r>
          </w:p>
          <w:p w:rsidR="00000000" w:rsidRPr="003503EF" w:rsidP="003503EF">
            <w:pPr>
              <w:pStyle w:val="ListBullet"/>
            </w:pPr>
            <w:r w:rsidRPr="003503EF">
              <w:rPr>
                <w:rStyle w:val="SpecialBold"/>
              </w:rPr>
              <w:t>not</w:t>
            </w:r>
            <w:r w:rsidRPr="003503EF">
              <w:t xml:space="preserve"> inhibit effectiveness of the incident response or further contribute to the incident</w:t>
            </w:r>
          </w:p>
          <w:p w:rsidR="00000000" w:rsidP="003503EF">
            <w:pPr>
              <w:pStyle w:val="BodyText"/>
              <w:rPr>
                <w:lang w:val="en-NZ"/>
              </w:rPr>
            </w:pPr>
          </w:p>
        </w:tc>
      </w:tr>
      <w:tr w:rsidTr="00AE30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03EF">
            <w:pPr>
              <w:pStyle w:val="BodyText"/>
              <w:rPr>
                <w:lang w:val="en-NZ"/>
              </w:rPr>
            </w:pPr>
            <w:r w:rsidRPr="003503EF">
              <w:rPr>
                <w:rStyle w:val="SpecialBold"/>
              </w:rPr>
              <w:t>Issues</w:t>
            </w:r>
          </w:p>
        </w:tc>
        <w:tc>
          <w:tcPr>
            <w:tcW w:w="0" w:type="auto"/>
            <w:tcBorders>
              <w:top w:val="nil"/>
              <w:left w:val="nil"/>
              <w:bottom w:val="nil"/>
              <w:right w:val="nil"/>
            </w:tcBorders>
            <w:tcMar>
              <w:top w:w="0" w:type="dxa"/>
              <w:left w:w="62" w:type="dxa"/>
              <w:bottom w:w="0" w:type="dxa"/>
              <w:right w:w="62" w:type="dxa"/>
            </w:tcMar>
          </w:tcPr>
          <w:p w:rsidR="00000000" w:rsidRPr="003503EF" w:rsidP="003503EF">
            <w:pPr>
              <w:pStyle w:val="BodyText"/>
            </w:pPr>
            <w:r w:rsidRPr="003503EF">
              <w:t>Issues arising from an incident include one or mor</w:t>
            </w:r>
            <w:r w:rsidRPr="003503EF">
              <w:t>e of the following:</w:t>
            </w:r>
          </w:p>
          <w:p w:rsidR="00000000" w:rsidRPr="003503EF" w:rsidP="003503EF">
            <w:pPr>
              <w:pStyle w:val="ListBullet"/>
            </w:pPr>
            <w:r w:rsidRPr="003503EF">
              <w:t>inability to contact key partners in the event of a crisis</w:t>
            </w:r>
          </w:p>
          <w:p w:rsidR="00000000" w:rsidRPr="003503EF" w:rsidP="003503EF">
            <w:pPr>
              <w:pStyle w:val="ListBullet"/>
            </w:pPr>
            <w:r w:rsidRPr="003503EF">
              <w:t>response times or objectives confused or outside agreed parameters</w:t>
            </w:r>
          </w:p>
          <w:p w:rsidR="00000000" w:rsidRPr="003503EF" w:rsidP="003503EF">
            <w:pPr>
              <w:pStyle w:val="ListBullet"/>
            </w:pPr>
            <w:r w:rsidRPr="003503EF">
              <w:t>gaps or overlaps in response, which reduce effectiveness of the response</w:t>
            </w:r>
          </w:p>
          <w:p w:rsidR="00000000" w:rsidRPr="003503EF" w:rsidP="003503EF">
            <w:pPr>
              <w:pStyle w:val="ListBullet"/>
            </w:pPr>
            <w:r w:rsidRPr="003503EF">
              <w:t>lack of ability to communicate effec</w:t>
            </w:r>
            <w:r w:rsidRPr="003503EF">
              <w:t>tively within the organisation</w:t>
            </w:r>
          </w:p>
          <w:p w:rsidR="00000000" w:rsidRPr="003503EF" w:rsidP="003503EF">
            <w:pPr>
              <w:pStyle w:val="BodyText"/>
            </w:pPr>
          </w:p>
        </w:tc>
      </w:tr>
    </w:tbl>
    <w:p w:rsidR="00000000" w:rsidRPr="003503EF" w:rsidP="003503EF">
      <w:pPr>
        <w:pStyle w:val="BodyText"/>
      </w:pPr>
    </w:p>
    <w:p w:rsidR="00000000" w:rsidRPr="003503EF" w:rsidP="003503EF">
      <w:pPr>
        <w:pStyle w:val="AllowPageBreak"/>
      </w:pPr>
    </w:p>
    <w:p w:rsidR="00000000" w:rsidRPr="003503EF" w:rsidP="003503EF">
      <w:pPr>
        <w:pStyle w:val="Heading1"/>
      </w:pPr>
      <w:bookmarkStart w:id="9" w:name="O_909020"/>
      <w:bookmarkEnd w:id="9"/>
      <w:r w:rsidRPr="003503EF">
        <w:t>Unit Mapping Information</w:t>
      </w:r>
    </w:p>
    <w:p w:rsidR="00000000" w:rsidRPr="003503EF" w:rsidP="00AE3027">
      <w:pPr>
        <w:pStyle w:val="BodyText"/>
      </w:pPr>
      <w:r w:rsidRPr="003503EF">
        <w:t>Release 1. Supersedes and is equivalent to PMAOMIR622B Build partnerships to improve incident response capacity</w:t>
      </w:r>
    </w:p>
    <w:p w:rsidR="00000000" w:rsidRPr="003503EF" w:rsidP="003503EF">
      <w:pPr>
        <w:pStyle w:val="Heading1"/>
      </w:pPr>
      <w:bookmarkStart w:id="10" w:name="O_909013"/>
      <w:bookmarkEnd w:id="10"/>
      <w:r w:rsidRPr="003503EF">
        <w:t>Links</w:t>
      </w:r>
    </w:p>
    <w:p w:rsidR="00000000" w:rsidRPr="003503EF" w:rsidP="00AE3027">
      <w:pPr>
        <w:pStyle w:val="BodyText"/>
      </w:pPr>
      <w:r w:rsidRPr="003503EF">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B771EC">
        <w:rPr>
          <w:rStyle w:val="Hyperlink"/>
        </w:rPr>
        <w:t>https://vetnet.gov.au/Pages/TrainingDocs.aspx?q=9fc2cf53-e570-4e9f-ad6a-b228ffdb6875</w:t>
      </w:r>
      <w:r>
        <w:fldChar w:fldCharType="end"/>
      </w:r>
    </w:p>
    <w:p w:rsidR="00000000" w:rsidRPr="003503EF" w:rsidP="00AE3027">
      <w:pPr>
        <w:pStyle w:val="BodyText"/>
        <w:sectPr w:rsidSect="003503EF">
          <w:headerReference w:type="default" r:id="rId10"/>
          <w:footerReference w:type="default" r:id="rId11"/>
          <w:pgSz w:w="11908" w:h="16833"/>
          <w:pgMar w:top="1702" w:right="1418" w:bottom="1702" w:left="1418" w:header="992" w:footer="992" w:gutter="0"/>
          <w:cols w:space="720"/>
          <w:noEndnote/>
          <w:docGrid w:linePitch="299"/>
        </w:sectPr>
      </w:pPr>
    </w:p>
    <w:p w:rsidR="00000000" w:rsidRPr="003503EF" w:rsidP="003503EF">
      <w:pPr>
        <w:pStyle w:val="SuperHeading"/>
      </w:pPr>
      <w:r w:rsidRPr="003503EF">
        <w:t xml:space="preserve">Assessment </w:t>
      </w:r>
      <w:r w:rsidRPr="003503EF">
        <w:t>Requirements for PMAOMIR622 Build partnerships to improve incident response capacity</w:t>
      </w:r>
    </w:p>
    <w:p w:rsidR="00000000" w:rsidRPr="003503EF" w:rsidP="003503EF">
      <w:pPr>
        <w:pStyle w:val="Heading1"/>
      </w:pPr>
      <w:bookmarkStart w:id="11" w:name="O_909015"/>
      <w:bookmarkEnd w:id="11"/>
      <w:r w:rsidRPr="003503EF">
        <w:t>Modification History</w:t>
      </w:r>
    </w:p>
    <w:p w:rsidR="00000000" w:rsidRPr="003503EF" w:rsidP="00AE3027">
      <w:pPr>
        <w:pStyle w:val="BodyText"/>
      </w:pPr>
      <w:r w:rsidRPr="003503EF">
        <w:t>Release 1. Supersedes and is equivalent to PMAOMIR622B Build partnerships to improve incident response capacity</w:t>
      </w:r>
    </w:p>
    <w:p w:rsidR="00000000" w:rsidRPr="003503EF" w:rsidP="003503EF">
      <w:pPr>
        <w:pStyle w:val="Heading1"/>
      </w:pPr>
      <w:bookmarkStart w:id="12" w:name="O_909018"/>
      <w:bookmarkEnd w:id="12"/>
      <w:r w:rsidRPr="003503EF">
        <w:t>Perfo</w:t>
      </w:r>
      <w:r w:rsidRPr="003503EF">
        <w:t>rmance Evidence</w:t>
      </w:r>
    </w:p>
    <w:p w:rsidR="00000000" w:rsidRPr="003503EF" w:rsidP="00AE3027">
      <w:pPr>
        <w:pStyle w:val="BodyText"/>
      </w:pPr>
      <w:r w:rsidRPr="003503EF">
        <w:t>Evidence required to demonstrate competence in this unit must be relevant to and satisfy the requirements of the elements and performance criteria, and include the ability to:</w:t>
      </w:r>
    </w:p>
    <w:p w:rsidR="00000000" w:rsidRPr="003503EF" w:rsidP="003503EF">
      <w:pPr>
        <w:pStyle w:val="ListBullet"/>
      </w:pPr>
      <w:r w:rsidRPr="003503EF">
        <w:t>identify strategic partnerships for mutual cooperation and assi</w:t>
      </w:r>
      <w:r w:rsidRPr="003503EF">
        <w:t xml:space="preserve">stance in incident response </w:t>
      </w:r>
    </w:p>
    <w:p w:rsidR="00000000" w:rsidRPr="003503EF" w:rsidP="003503EF">
      <w:pPr>
        <w:pStyle w:val="ListBullet"/>
      </w:pPr>
      <w:r w:rsidRPr="003503EF">
        <w:t xml:space="preserve">communicate, consult and negotiate effectively with internal and external stakeholders </w:t>
      </w:r>
    </w:p>
    <w:p w:rsidR="00000000" w:rsidRPr="003503EF" w:rsidP="003503EF">
      <w:pPr>
        <w:pStyle w:val="ListBullet"/>
      </w:pPr>
      <w:r w:rsidRPr="003503EF">
        <w:t>plan, coordinate and manage partnership activities to meet goals</w:t>
      </w:r>
    </w:p>
    <w:p w:rsidR="00000000" w:rsidRPr="003503EF" w:rsidP="003503EF">
      <w:pPr>
        <w:pStyle w:val="ListBullet"/>
      </w:pPr>
      <w:r w:rsidRPr="003503EF">
        <w:t>monitor and evaluate partnerships and activities to resolve issues, measur</w:t>
      </w:r>
      <w:r w:rsidRPr="003503EF">
        <w:t>e performance and identify improvements</w:t>
      </w:r>
    </w:p>
    <w:p w:rsidR="00000000" w:rsidRPr="003503EF" w:rsidP="003503EF">
      <w:pPr>
        <w:pStyle w:val="ListBullet"/>
      </w:pPr>
      <w:r w:rsidRPr="003503EF">
        <w:t>document strategies, reviews and outcomes.</w:t>
      </w:r>
    </w:p>
    <w:p w:rsidR="00000000" w:rsidRPr="003503EF" w:rsidP="003503EF">
      <w:pPr>
        <w:pStyle w:val="AllowPageBreak"/>
      </w:pPr>
    </w:p>
    <w:p w:rsidR="00000000" w:rsidRPr="003503EF" w:rsidP="003503EF">
      <w:pPr>
        <w:pStyle w:val="Heading1"/>
      </w:pPr>
      <w:bookmarkStart w:id="13" w:name="O_909017"/>
      <w:bookmarkEnd w:id="13"/>
      <w:r w:rsidRPr="003503EF">
        <w:t>Knowledge Evidence</w:t>
      </w:r>
    </w:p>
    <w:p w:rsidR="00000000" w:rsidRPr="003503EF" w:rsidP="00AE3027">
      <w:pPr>
        <w:pStyle w:val="BodyText"/>
      </w:pPr>
      <w:r w:rsidRPr="003503EF">
        <w:t>Evidence must be provided that demonstrates knowledge of:</w:t>
      </w:r>
    </w:p>
    <w:p w:rsidR="00000000" w:rsidRPr="003503EF" w:rsidP="003503EF">
      <w:pPr>
        <w:pStyle w:val="ListBullet"/>
      </w:pPr>
      <w:r w:rsidRPr="003503EF">
        <w:t>organisational procedures, including those covering:</w:t>
      </w:r>
    </w:p>
    <w:p w:rsidR="00000000" w:rsidRPr="003503EF" w:rsidP="003503EF">
      <w:pPr>
        <w:pStyle w:val="ListBullet2"/>
      </w:pPr>
      <w:r w:rsidRPr="003503EF">
        <w:t>safety, hazards and hazard control</w:t>
      </w:r>
    </w:p>
    <w:p w:rsidR="00000000" w:rsidRPr="003503EF" w:rsidP="003503EF">
      <w:pPr>
        <w:pStyle w:val="ListBullet2"/>
      </w:pPr>
      <w:r w:rsidRPr="003503EF">
        <w:t xml:space="preserve">incident, fire and accident </w:t>
      </w:r>
    </w:p>
    <w:p w:rsidR="00000000" w:rsidRPr="003503EF" w:rsidP="003503EF">
      <w:pPr>
        <w:pStyle w:val="ListBullet2"/>
      </w:pPr>
      <w:r w:rsidRPr="003503EF">
        <w:t>environmental protection</w:t>
      </w:r>
    </w:p>
    <w:p w:rsidR="00000000" w:rsidRPr="003503EF" w:rsidP="003503EF">
      <w:pPr>
        <w:pStyle w:val="ListBullet2"/>
      </w:pPr>
      <w:r w:rsidRPr="003503EF">
        <w:t>risk assessment/risk management</w:t>
      </w:r>
    </w:p>
    <w:p w:rsidR="00000000" w:rsidRPr="003503EF" w:rsidP="003503EF">
      <w:pPr>
        <w:pStyle w:val="ListBullet2"/>
      </w:pPr>
      <w:r w:rsidRPr="003503EF">
        <w:t>relevant facility fire management and safety systems</w:t>
      </w:r>
    </w:p>
    <w:p w:rsidR="00000000" w:rsidRPr="003503EF" w:rsidP="003503EF">
      <w:pPr>
        <w:pStyle w:val="ListBullet2"/>
      </w:pPr>
      <w:r w:rsidRPr="003503EF">
        <w:t>communication systems</w:t>
      </w:r>
    </w:p>
    <w:p w:rsidR="00000000" w:rsidRPr="003503EF" w:rsidP="003503EF">
      <w:pPr>
        <w:pStyle w:val="ListBullet2"/>
      </w:pPr>
      <w:r w:rsidRPr="003503EF">
        <w:t>emergency response plans</w:t>
      </w:r>
    </w:p>
    <w:p w:rsidR="00000000" w:rsidRPr="003503EF" w:rsidP="003503EF">
      <w:pPr>
        <w:pStyle w:val="ListBullet2"/>
      </w:pPr>
      <w:r w:rsidRPr="003503EF">
        <w:t xml:space="preserve">release of information to external bodies </w:t>
      </w:r>
    </w:p>
    <w:p w:rsidR="00000000" w:rsidRPr="003503EF" w:rsidP="003503EF">
      <w:pPr>
        <w:pStyle w:val="ListBullet2"/>
      </w:pPr>
      <w:r w:rsidRPr="003503EF">
        <w:t xml:space="preserve">security and confidentiality </w:t>
      </w:r>
    </w:p>
    <w:p w:rsidR="00000000" w:rsidRPr="003503EF" w:rsidP="003503EF">
      <w:pPr>
        <w:pStyle w:val="ListBullet"/>
      </w:pPr>
      <w:r w:rsidRPr="003503EF">
        <w:t>types of incidents that can arise in the work environment and related risks, responses and equipment</w:t>
      </w:r>
    </w:p>
    <w:p w:rsidR="00000000" w:rsidRPr="003503EF" w:rsidP="003503EF">
      <w:pPr>
        <w:pStyle w:val="ListBullet"/>
      </w:pPr>
      <w:r w:rsidRPr="003503EF">
        <w:t>incident response and disaster planning processes and techniques</w:t>
      </w:r>
    </w:p>
    <w:p w:rsidR="00000000" w:rsidRPr="003503EF" w:rsidP="003503EF">
      <w:pPr>
        <w:pStyle w:val="ListBullet"/>
      </w:pPr>
      <w:r w:rsidRPr="003503EF">
        <w:t>company incident</w:t>
      </w:r>
      <w:r w:rsidRPr="003503EF">
        <w:t xml:space="preserve"> response structures and operations</w:t>
      </w:r>
    </w:p>
    <w:p w:rsidR="00000000" w:rsidRPr="003503EF" w:rsidP="003503EF">
      <w:pPr>
        <w:pStyle w:val="ListBullet"/>
      </w:pPr>
      <w:r w:rsidRPr="003503EF">
        <w:t>the individual</w:t>
      </w:r>
      <w:r>
        <w:t>’</w:t>
      </w:r>
      <w:r w:rsidRPr="003503EF">
        <w:t>s own role within the incident response structure, including its parameters, boundaries and/or limitations</w:t>
      </w:r>
    </w:p>
    <w:p w:rsidR="00000000" w:rsidRPr="003503EF" w:rsidP="003503EF">
      <w:pPr>
        <w:pStyle w:val="ListBullet"/>
      </w:pPr>
      <w:r w:rsidRPr="003503EF">
        <w:t>roles, responsibilities and needs of the individual</w:t>
      </w:r>
      <w:r>
        <w:t>’</w:t>
      </w:r>
      <w:r w:rsidRPr="003503EF">
        <w:t xml:space="preserve">s own organisation </w:t>
      </w:r>
    </w:p>
    <w:p w:rsidR="00000000" w:rsidRPr="003503EF" w:rsidP="003503EF">
      <w:pPr>
        <w:pStyle w:val="ListBullet"/>
      </w:pPr>
      <w:r w:rsidRPr="003503EF">
        <w:t>roles, responsibilities an</w:t>
      </w:r>
      <w:r w:rsidRPr="003503EF">
        <w:t>d needs of other organisations</w:t>
      </w:r>
    </w:p>
    <w:p w:rsidR="00000000" w:rsidRPr="003503EF" w:rsidP="003503EF">
      <w:pPr>
        <w:pStyle w:val="ListBullet"/>
      </w:pPr>
      <w:r w:rsidRPr="003503EF">
        <w:t>the mission, values and culture of the organisations targeted for and within the partnership</w:t>
      </w:r>
    </w:p>
    <w:p w:rsidR="00000000" w:rsidRPr="003503EF" w:rsidP="003503EF">
      <w:pPr>
        <w:pStyle w:val="ListBullet"/>
      </w:pPr>
      <w:r>
        <w:t>‘</w:t>
      </w:r>
      <w:r w:rsidRPr="003503EF">
        <w:t>chain of command</w:t>
      </w:r>
      <w:r>
        <w:t>’</w:t>
      </w:r>
      <w:r w:rsidRPr="003503EF">
        <w:t xml:space="preserve"> (who will drive the partnership and how it relates to decision making in the organisations)</w:t>
      </w:r>
    </w:p>
    <w:p w:rsidR="00000000" w:rsidRPr="003503EF" w:rsidP="003503EF">
      <w:pPr>
        <w:pStyle w:val="AllowPageBreak"/>
      </w:pPr>
    </w:p>
    <w:p w:rsidR="00000000" w:rsidRPr="003503EF" w:rsidP="003503EF">
      <w:pPr>
        <w:pStyle w:val="Heading1"/>
      </w:pPr>
      <w:bookmarkStart w:id="14" w:name="O_909016"/>
      <w:bookmarkEnd w:id="14"/>
      <w:r w:rsidRPr="003503EF">
        <w:t>Asse</w:t>
      </w:r>
      <w:r w:rsidRPr="003503EF">
        <w:t>ssment Conditions</w:t>
      </w:r>
    </w:p>
    <w:p w:rsidR="00000000" w:rsidRPr="003503EF" w:rsidP="003503EF">
      <w:pPr>
        <w:pStyle w:val="ListBullet"/>
      </w:pPr>
      <w:r w:rsidRPr="003503EF">
        <w:t xml:space="preserve">The unit should be assessed holistically and the judgement of competence based on a holistic assessment </w:t>
      </w:r>
      <w:r w:rsidRPr="003503EF">
        <w:t xml:space="preserve">of the evidence. </w:t>
      </w:r>
    </w:p>
    <w:p w:rsidR="00000000" w:rsidRPr="003503EF" w:rsidP="003503EF">
      <w:pPr>
        <w:pStyle w:val="ListBullet"/>
      </w:pPr>
      <w:r w:rsidRPr="003503EF">
        <w:t>The collection of performance evidence is best done from a report and/or folio of evidence drawn from:</w:t>
      </w:r>
    </w:p>
    <w:p w:rsidR="00000000" w:rsidRPr="003503EF" w:rsidP="003503EF">
      <w:pPr>
        <w:pStyle w:val="ListBullet2"/>
      </w:pPr>
      <w:r w:rsidRPr="003503EF">
        <w:t>a single project/case study which provides sufficient evidence of the requirements of all the elements and performance criteria</w:t>
      </w:r>
    </w:p>
    <w:p w:rsidR="00000000" w:rsidRPr="003503EF" w:rsidP="003503EF">
      <w:pPr>
        <w:pStyle w:val="ListBullet2"/>
      </w:pPr>
      <w:r w:rsidRPr="003503EF">
        <w:t>multiple smaller projects/case studies which together provide sufficient evidence of the requirements of all the elements and pe</w:t>
      </w:r>
      <w:r w:rsidRPr="003503EF">
        <w:t>rformance criteria.</w:t>
      </w:r>
    </w:p>
    <w:p w:rsidR="00000000" w:rsidRPr="003503EF" w:rsidP="003503EF">
      <w:pPr>
        <w:pStyle w:val="ListBullet"/>
      </w:pPr>
      <w:r w:rsidRPr="003503EF">
        <w:t>A third-party report, or similar, may be needed to testify to the work done by the individual, particularly when the project has been done as part of a project team.</w:t>
      </w:r>
    </w:p>
    <w:p w:rsidR="00000000" w:rsidRPr="003503EF" w:rsidP="003503EF">
      <w:pPr>
        <w:pStyle w:val="ListBullet"/>
      </w:pPr>
      <w:r w:rsidRPr="003503EF">
        <w:t>Assessment should use a real project/case study in an operational wor</w:t>
      </w:r>
      <w:r w:rsidRPr="003503EF">
        <w:t>kplace. Where this is not possible or practical, assessment must occur using a sufficiently rigorous simulated environment reflecting realistic operational workplace conditions. This must cover all aspects of workplace performance, including environment, t</w:t>
      </w:r>
      <w:r w:rsidRPr="003503EF">
        <w:t>ask skills, task management skills, contingency management skills and job role environment skills</w:t>
      </w:r>
    </w:p>
    <w:p w:rsidR="00000000" w:rsidRPr="003503EF" w:rsidP="003503EF">
      <w:pPr>
        <w:pStyle w:val="ListBullet"/>
      </w:pPr>
      <w:r w:rsidRPr="003503EF">
        <w:t>Knowledge evidence may be collected concurrently with performance evidence (provided a record is kept) or through an independent process, such as workbooks, w</w:t>
      </w:r>
      <w:r w:rsidRPr="003503EF">
        <w:t>ritten assessments or interviews (provided a record is kept).</w:t>
      </w:r>
    </w:p>
    <w:p w:rsidR="00000000" w:rsidRPr="003503EF" w:rsidP="003503EF">
      <w:pPr>
        <w:pStyle w:val="ListBullet"/>
      </w:pPr>
      <w:r w:rsidRPr="003503EF">
        <w:t>Assessment processes and techniques must be appropriate to the language, literacy and numeracy requirements of the work being performed and the needs of the candidate.</w:t>
      </w:r>
    </w:p>
    <w:p w:rsidR="00000000" w:rsidRPr="003503EF" w:rsidP="003503EF">
      <w:pPr>
        <w:pStyle w:val="ListBullet"/>
      </w:pPr>
      <w:r w:rsidRPr="003503EF">
        <w:t xml:space="preserve">Conditions for assessment </w:t>
      </w:r>
      <w:r w:rsidRPr="003503EF">
        <w:t>must include access to all tools, equipment, materials and documentation required, including relevant workplace procedures, product and manufacturing specifications associated with this unit.</w:t>
      </w:r>
    </w:p>
    <w:p w:rsidR="00000000" w:rsidRPr="003503EF" w:rsidP="003503EF">
      <w:pPr>
        <w:pStyle w:val="ListBullet"/>
      </w:pPr>
      <w:r w:rsidRPr="003503EF">
        <w:t>Foundation skills are integral to competent performance of the u</w:t>
      </w:r>
      <w:r w:rsidRPr="003503EF">
        <w:t>nit and should not be assessed separately.</w:t>
      </w:r>
    </w:p>
    <w:p w:rsidR="00000000" w:rsidRPr="003503EF" w:rsidP="003503EF">
      <w:pPr>
        <w:pStyle w:val="ListBullet"/>
      </w:pPr>
      <w:r w:rsidRPr="003503EF">
        <w:t>Assessors must satisfy the assessor competency requirements that are in place at the time of the assessment as set by the VET regulator.</w:t>
      </w:r>
    </w:p>
    <w:p w:rsidR="00000000" w:rsidRPr="003503EF" w:rsidP="003503EF">
      <w:pPr>
        <w:pStyle w:val="ListBullet"/>
      </w:pPr>
      <w:r w:rsidRPr="003503EF">
        <w:t xml:space="preserve">In addition, the assessor or anyone acting in subject matter expert role in </w:t>
      </w:r>
      <w:r w:rsidRPr="003503EF">
        <w:t xml:space="preserve">assessment must demonstrate both technical competency and currency. If the assessor cannot demonstrate technical competency and currency they must assess with a subject matter expert who does meet these requirements. </w:t>
      </w:r>
    </w:p>
    <w:p w:rsidR="00000000" w:rsidRPr="003503EF" w:rsidP="003503EF">
      <w:pPr>
        <w:pStyle w:val="ListBullet"/>
      </w:pPr>
      <w:r w:rsidRPr="003503EF">
        <w:t>Technical competence can be demonstrat</w:t>
      </w:r>
      <w:r w:rsidRPr="003503EF">
        <w:t>ed through one or more of:</w:t>
      </w:r>
    </w:p>
    <w:p w:rsidR="00000000" w:rsidRPr="003503EF" w:rsidP="003503EF">
      <w:pPr>
        <w:pStyle w:val="ListBullet2"/>
      </w:pPr>
      <w:r w:rsidRPr="003503EF">
        <w:t xml:space="preserve">relevant VET or other qualification/Statement of Attainment </w:t>
      </w:r>
    </w:p>
    <w:p w:rsidR="00000000" w:rsidRPr="003503EF" w:rsidP="003503EF">
      <w:pPr>
        <w:pStyle w:val="ListBullet2"/>
      </w:pPr>
      <w:r w:rsidRPr="003503EF">
        <w:t xml:space="preserve">appropriate workplace experience undertaking the type of work being assessed under routine and non-routine conditions </w:t>
      </w:r>
    </w:p>
    <w:p w:rsidR="00000000" w:rsidRPr="003503EF" w:rsidP="003503EF">
      <w:pPr>
        <w:pStyle w:val="ListBullet2"/>
      </w:pPr>
      <w:r w:rsidRPr="003503EF">
        <w:t>appropriate workplace experience supervising/evaluating the type of work being assessed under routine and non-routine conditions</w:t>
      </w:r>
    </w:p>
    <w:p w:rsidR="00000000" w:rsidRPr="003503EF" w:rsidP="003503EF">
      <w:pPr>
        <w:pStyle w:val="ListBullet"/>
      </w:pPr>
      <w:r w:rsidRPr="003503EF">
        <w:t>Currency can be demonstrated through one or more of:</w:t>
      </w:r>
    </w:p>
    <w:p w:rsidR="00000000" w:rsidRPr="003503EF" w:rsidP="003503EF">
      <w:pPr>
        <w:pStyle w:val="ListBullet2"/>
      </w:pPr>
      <w:r w:rsidRPr="003503EF">
        <w:t xml:space="preserve">being currently employed undertaking the type of work being assessed </w:t>
      </w:r>
    </w:p>
    <w:p w:rsidR="00000000" w:rsidRPr="003503EF" w:rsidP="003503EF">
      <w:pPr>
        <w:pStyle w:val="ListBullet2"/>
      </w:pPr>
      <w:r w:rsidRPr="003503EF">
        <w:t>be</w:t>
      </w:r>
      <w:r w:rsidRPr="003503EF">
        <w:t xml:space="preserve">ing employed by the organisation undertaking the type of work being assessed and having maintained currency in accordance with that organisation’s policies and procedures </w:t>
      </w:r>
    </w:p>
    <w:p w:rsidR="00000000" w:rsidRPr="003503EF" w:rsidP="003503EF">
      <w:pPr>
        <w:pStyle w:val="ListBullet2"/>
      </w:pPr>
      <w:r w:rsidRPr="003503EF">
        <w:t>having consulted/had contact with an organisation undertaking the type of work being</w:t>
      </w:r>
      <w:r w:rsidRPr="003503EF">
        <w:t xml:space="preserve"> assessed within the last twelve months, the consultation/contact being related to assessment </w:t>
      </w:r>
    </w:p>
    <w:p w:rsidR="00000000" w:rsidRPr="003503EF" w:rsidP="003503EF">
      <w:pPr>
        <w:pStyle w:val="ListBullet2"/>
      </w:pPr>
      <w:r w:rsidRPr="003503EF">
        <w:t xml:space="preserve">conducting on-the-job training/assessments of the type of work being assessed </w:t>
      </w:r>
    </w:p>
    <w:p w:rsidR="00000000" w:rsidRPr="003503EF" w:rsidP="003503EF">
      <w:pPr>
        <w:pStyle w:val="ListBullet2"/>
      </w:pPr>
      <w:r w:rsidRPr="003503EF">
        <w:t>being an active member of a relevant professional body and participating in activi</w:t>
      </w:r>
      <w:r w:rsidRPr="003503EF">
        <w:t>ties relevant to the assessment of this type of work</w:t>
      </w:r>
    </w:p>
    <w:p w:rsidR="00000000" w:rsidRPr="003503EF" w:rsidP="003503EF">
      <w:pPr>
        <w:pStyle w:val="AllowPageBreak"/>
      </w:pPr>
    </w:p>
    <w:p w:rsidR="00000000" w:rsidRPr="003503EF" w:rsidP="003503EF">
      <w:pPr>
        <w:pStyle w:val="Heading1"/>
      </w:pPr>
      <w:bookmarkStart w:id="15" w:name="O_909014"/>
      <w:bookmarkEnd w:id="15"/>
      <w:r w:rsidRPr="003503EF">
        <w:t>Links</w:t>
      </w:r>
    </w:p>
    <w:p w:rsidR="00000000" w:rsidRPr="003503EF" w:rsidP="00AE3027">
      <w:pPr>
        <w:pStyle w:val="BodyText"/>
      </w:pPr>
      <w:r w:rsidRPr="003503EF">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B771EC">
        <w:rPr>
          <w:rStyle w:val="Hyperlink"/>
        </w:rPr>
        <w:t>https://vetnet.gov.au/Pages/TrainingDocs.aspx?q=9fc2cf53-e570-4e9f-ad6a-b228ffdb6875</w:t>
      </w:r>
      <w:r>
        <w:fldChar w:fldCharType="end"/>
      </w:r>
    </w:p>
    <w:p w:rsidR="00000000" w:rsidRPr="003503EF" w:rsidP="003503EF"/>
    <w:sectPr w:rsidSect="003503E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3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3EF" w:rsidRPr="00AE3027" w:rsidP="00AE30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3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027" w:rsidP="003503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AE3027" w:rsidP="003503E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E3027" w:rsidP="003503E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3EF" w:rsidP="003503EF">
    <w:pPr>
      <w:pStyle w:val="Footer"/>
      <w:framePr w:wrap="around"/>
    </w:pPr>
    <w:r>
      <w:fldChar w:fldCharType="begin"/>
    </w:r>
    <w:r>
      <w:instrText xml:space="preserve"> DOCPROPERTY  Subject  \* MERGEFORMAT </w:instrText>
    </w:r>
    <w:r>
      <w:fldChar w:fldCharType="separate"/>
    </w:r>
    <w:r w:rsidR="00AE3027">
      <w:t>Approved</w:t>
    </w:r>
    <w:r w:rsidR="00AE3027">
      <w:fldChar w:fldCharType="end"/>
    </w:r>
    <w:r>
      <w:tab/>
      <w:t xml:space="preserve">Page </w:t>
    </w:r>
    <w:r>
      <w:fldChar w:fldCharType="begin"/>
    </w:r>
    <w:r>
      <w:instrText xml:space="preserve"> PAGE  \* Arabic  \* MERGEFORMAT </w:instrText>
    </w:r>
    <w:r>
      <w:fldChar w:fldCharType="separate"/>
    </w:r>
    <w:r w:rsidR="00AE3027">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E3027">
      <w:rPr>
        <w:noProof/>
      </w:rPr>
      <w:t>7</w:t>
    </w:r>
    <w:r>
      <w:rPr>
        <w:noProof/>
      </w:rPr>
      <w:fldChar w:fldCharType="end"/>
    </w:r>
  </w:p>
  <w:p w:rsidR="003503EF" w:rsidP="003503EF">
    <w:pPr>
      <w:pStyle w:val="Footer"/>
      <w:framePr w:wrap="around"/>
    </w:pPr>
    <w:r>
      <w:t xml:space="preserve">© Commonwealth of Australia, </w:t>
    </w:r>
    <w:r>
      <w:fldChar w:fldCharType="begin"/>
    </w:r>
    <w:r>
      <w:instrText xml:space="preserve"> DATE  \@ "yyyy"  \* MERGEFORMAT </w:instrText>
    </w:r>
    <w:r>
      <w:fldChar w:fldCharType="separate"/>
    </w:r>
    <w:r w:rsidR="00AE3027">
      <w:rPr>
        <w:noProof/>
      </w:rPr>
      <w:t>2025</w:t>
    </w:r>
    <w:r>
      <w:fldChar w:fldCharType="end"/>
    </w:r>
    <w:r>
      <w:tab/>
    </w:r>
    <w:r>
      <w:fldChar w:fldCharType="begin"/>
    </w:r>
    <w:r>
      <w:instrText xml:space="preserve"> DOCPROPERTY  Author  \* MERGEFORMAT </w:instrText>
    </w:r>
    <w:r>
      <w:fldChar w:fldCharType="separate"/>
    </w:r>
    <w:r w:rsidR="00AE3027">
      <w:t>Manufacturing Industry Skills Alliance</w:t>
    </w:r>
    <w:r w:rsidR="00AE3027">
      <w:fldChar w:fldCharType="end"/>
    </w:r>
  </w:p>
  <w:p w:rsidR="003503EF" w:rsidP="003503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3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0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03EF" w:rsidRPr="00AE3027" w:rsidP="00AE30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3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027" w:rsidRPr="002D2AF8" w:rsidP="003503EF">
    <w:pPr>
      <w:pStyle w:val="Header"/>
      <w:framePr w:wrap="around"/>
    </w:pPr>
    <w:r>
      <w:fldChar w:fldCharType="begin"/>
    </w:r>
    <w:r>
      <w:instrText xml:space="preserve"> TITLE   \* MERGEFORMAT </w:instrText>
    </w:r>
    <w:r>
      <w:fldChar w:fldCharType="separate"/>
    </w:r>
    <w:r>
      <w:t>PMAOMIR622 Build partnerships to improve incident response capacity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E3027" w:rsidP="003503E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3EF" w:rsidRPr="002D2AF8" w:rsidP="003503EF">
    <w:pPr>
      <w:pStyle w:val="Header"/>
      <w:framePr w:wrap="around"/>
    </w:pPr>
    <w:r>
      <w:fldChar w:fldCharType="begin"/>
    </w:r>
    <w:r>
      <w:instrText xml:space="preserve"> TITLE   \* MERGEFORMAT </w:instrText>
    </w:r>
    <w:r>
      <w:fldChar w:fldCharType="separate"/>
    </w:r>
    <w:r w:rsidR="00AE3027">
      <w:t>PMAOMIR622 Build partnerships to improve incident response capacity</w:t>
    </w:r>
    <w:r w:rsidR="00AE3027">
      <w:fldChar w:fldCharType="end"/>
    </w:r>
    <w:r>
      <w:tab/>
      <w:t xml:space="preserve">Date this document was generated: </w:t>
    </w:r>
    <w:r>
      <w:fldChar w:fldCharType="begin"/>
    </w:r>
    <w:r>
      <w:instrText xml:space="preserve"> CREATEDATE  \@ "d MMMM yyyy"  \* MERGEFORMAT </w:instrText>
    </w:r>
    <w:r>
      <w:fldChar w:fldCharType="separate"/>
    </w:r>
    <w:r w:rsidR="00AE3027">
      <w:rPr>
        <w:noProof/>
      </w:rPr>
      <w:t>2 March 2025</w:t>
    </w:r>
    <w:r>
      <w:fldChar w:fldCharType="end"/>
    </w:r>
  </w:p>
  <w:p w:rsidR="003503EF" w:rsidP="003503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2447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3E26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0A98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03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03EF"/>
    <w:pPr>
      <w:spacing w:before="360" w:after="60"/>
      <w:outlineLvl w:val="0"/>
    </w:pPr>
    <w:rPr>
      <w:sz w:val="32"/>
    </w:rPr>
  </w:style>
  <w:style w:type="paragraph" w:styleId="Heading2">
    <w:name w:val="heading 2"/>
    <w:basedOn w:val="HeadingBase"/>
    <w:next w:val="BodyText"/>
    <w:link w:val="Heading2Char"/>
    <w:qFormat/>
    <w:rsid w:val="003503EF"/>
    <w:pPr>
      <w:keepLines/>
      <w:spacing w:before="240" w:after="120"/>
      <w:outlineLvl w:val="1"/>
    </w:pPr>
    <w:rPr>
      <w:sz w:val="28"/>
      <w:szCs w:val="40"/>
    </w:rPr>
  </w:style>
  <w:style w:type="paragraph" w:styleId="Heading3">
    <w:name w:val="heading 3"/>
    <w:basedOn w:val="HeadingBase"/>
    <w:next w:val="BodyText"/>
    <w:link w:val="Heading3Char"/>
    <w:qFormat/>
    <w:rsid w:val="003503EF"/>
    <w:pPr>
      <w:spacing w:before="180" w:after="120"/>
      <w:outlineLvl w:val="2"/>
    </w:pPr>
    <w:rPr>
      <w:spacing w:val="-10"/>
      <w:kern w:val="32"/>
    </w:rPr>
  </w:style>
  <w:style w:type="paragraph" w:styleId="Heading4">
    <w:name w:val="heading 4"/>
    <w:basedOn w:val="HeadingBase"/>
    <w:next w:val="BodyText"/>
    <w:link w:val="Heading4Char"/>
    <w:qFormat/>
    <w:rsid w:val="003503EF"/>
    <w:pPr>
      <w:spacing w:before="160" w:after="120"/>
      <w:outlineLvl w:val="3"/>
    </w:pPr>
    <w:rPr>
      <w:sz w:val="22"/>
    </w:rPr>
  </w:style>
  <w:style w:type="paragraph" w:styleId="Heading5">
    <w:name w:val="heading 5"/>
    <w:basedOn w:val="HeadingBase"/>
    <w:next w:val="Normal"/>
    <w:link w:val="Heading5Char"/>
    <w:qFormat/>
    <w:rsid w:val="003503EF"/>
    <w:pPr>
      <w:spacing w:before="80"/>
      <w:outlineLvl w:val="4"/>
    </w:pPr>
    <w:rPr>
      <w:color w:val="918585"/>
      <w:sz w:val="20"/>
    </w:rPr>
  </w:style>
  <w:style w:type="paragraph" w:styleId="Heading6">
    <w:name w:val="heading 6"/>
    <w:basedOn w:val="HeadingBase"/>
    <w:next w:val="Normal"/>
    <w:link w:val="Heading6Char"/>
    <w:qFormat/>
    <w:rsid w:val="003503EF"/>
    <w:pPr>
      <w:spacing w:before="60"/>
      <w:outlineLvl w:val="5"/>
    </w:pPr>
    <w:rPr>
      <w:color w:val="918585"/>
      <w:sz w:val="20"/>
    </w:rPr>
  </w:style>
  <w:style w:type="paragraph" w:styleId="Heading7">
    <w:name w:val="heading 7"/>
    <w:basedOn w:val="Normal"/>
    <w:next w:val="Normal"/>
    <w:link w:val="Heading7Char"/>
    <w:qFormat/>
    <w:rsid w:val="003503EF"/>
    <w:pPr>
      <w:ind w:left="720"/>
      <w:outlineLvl w:val="6"/>
    </w:pPr>
    <w:rPr>
      <w:i/>
    </w:rPr>
  </w:style>
  <w:style w:type="paragraph" w:styleId="Heading8">
    <w:name w:val="heading 8"/>
    <w:basedOn w:val="Normal"/>
    <w:next w:val="Normal"/>
    <w:link w:val="Heading8Char"/>
    <w:qFormat/>
    <w:rsid w:val="003503EF"/>
    <w:pPr>
      <w:ind w:left="720"/>
      <w:outlineLvl w:val="7"/>
    </w:pPr>
    <w:rPr>
      <w:i/>
    </w:rPr>
  </w:style>
  <w:style w:type="paragraph" w:styleId="Heading9">
    <w:name w:val="heading 9"/>
    <w:basedOn w:val="Normal"/>
    <w:next w:val="Normal"/>
    <w:link w:val="Heading9Char"/>
    <w:qFormat/>
    <w:rsid w:val="003503EF"/>
    <w:pPr>
      <w:ind w:left="720"/>
      <w:outlineLvl w:val="8"/>
    </w:pPr>
    <w:rPr>
      <w:i/>
    </w:rPr>
  </w:style>
  <w:style w:type="character" w:default="1" w:styleId="DefaultParagraphFont">
    <w:name w:val="Default Paragraph Font"/>
    <w:uiPriority w:val="1"/>
    <w:unhideWhenUsed/>
    <w:rsid w:val="003503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03EF"/>
  </w:style>
  <w:style w:type="character" w:customStyle="1" w:styleId="Heading1Char">
    <w:name w:val="Heading 1 Char"/>
    <w:basedOn w:val="DefaultParagraphFont"/>
    <w:link w:val="Heading1"/>
    <w:rsid w:val="003503EF"/>
    <w:rPr>
      <w:rFonts w:ascii="Times New Roman" w:eastAsia="Times New Roman" w:hAnsi="Times New Roman" w:cs="Times New Roman"/>
      <w:b/>
      <w:sz w:val="32"/>
      <w:szCs w:val="20"/>
      <w:lang w:eastAsia="en-US"/>
    </w:rPr>
  </w:style>
  <w:style w:type="paragraph" w:styleId="BodyText">
    <w:name w:val="Body Text"/>
    <w:basedOn w:val="Normal"/>
    <w:link w:val="BodyTextChar"/>
    <w:rsid w:val="003503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03EF"/>
    <w:rPr>
      <w:rFonts w:ascii="Times New Roman" w:eastAsia="Times New Roman" w:hAnsi="Times New Roman" w:cs="Times New Roman"/>
      <w:sz w:val="24"/>
      <w:lang w:eastAsia="en-US"/>
    </w:rPr>
  </w:style>
  <w:style w:type="paragraph" w:styleId="ListBullet">
    <w:name w:val="List Bullet"/>
    <w:basedOn w:val="List"/>
    <w:rsid w:val="003503EF"/>
    <w:pPr>
      <w:numPr>
        <w:numId w:val="12"/>
      </w:numPr>
      <w:tabs>
        <w:tab w:val="clear" w:pos="340"/>
      </w:tabs>
      <w:spacing w:before="40" w:after="40"/>
    </w:pPr>
  </w:style>
  <w:style w:type="character" w:customStyle="1" w:styleId="SpecialBold">
    <w:name w:val="Special Bold"/>
    <w:basedOn w:val="DefaultParagraphFont"/>
    <w:rsid w:val="003503EF"/>
    <w:rPr>
      <w:b/>
      <w:spacing w:val="0"/>
    </w:rPr>
  </w:style>
  <w:style w:type="paragraph" w:styleId="ListBullet2">
    <w:name w:val="List Bullet 2"/>
    <w:basedOn w:val="List2"/>
    <w:rsid w:val="003503EF"/>
    <w:pPr>
      <w:numPr>
        <w:numId w:val="13"/>
      </w:numPr>
      <w:tabs>
        <w:tab w:val="clear" w:pos="680"/>
      </w:tabs>
    </w:pPr>
  </w:style>
  <w:style w:type="paragraph" w:customStyle="1" w:styleId="SuperHeading">
    <w:name w:val="SuperHeading"/>
    <w:basedOn w:val="Normal"/>
    <w:rsid w:val="003503EF"/>
    <w:pPr>
      <w:spacing w:before="240" w:after="120"/>
      <w:outlineLvl w:val="0"/>
    </w:pPr>
    <w:rPr>
      <w:rFonts w:ascii="Times New Roman" w:hAnsi="Times New Roman"/>
      <w:b/>
      <w:sz w:val="32"/>
    </w:rPr>
  </w:style>
  <w:style w:type="paragraph" w:customStyle="1" w:styleId="AllowPageBreak">
    <w:name w:val="AllowPageBreak"/>
    <w:rsid w:val="003503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03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03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03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03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03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03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03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03EF"/>
    <w:rPr>
      <w:rFonts w:ascii="Courier New" w:eastAsia="Times New Roman" w:hAnsi="Courier New" w:cs="Times New Roman"/>
      <w:i/>
      <w:szCs w:val="20"/>
      <w:lang w:eastAsia="en-US"/>
    </w:rPr>
  </w:style>
  <w:style w:type="paragraph" w:customStyle="1" w:styleId="HeadingBase">
    <w:name w:val="Heading Base"/>
    <w:rsid w:val="003503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03EF"/>
    <w:pPr>
      <w:tabs>
        <w:tab w:val="right" w:leader="dot" w:pos="9072"/>
      </w:tabs>
      <w:ind w:left="567"/>
    </w:pPr>
    <w:rPr>
      <w:szCs w:val="22"/>
    </w:rPr>
  </w:style>
  <w:style w:type="paragraph" w:customStyle="1" w:styleId="TOCBase">
    <w:name w:val="TOC Base"/>
    <w:rsid w:val="003503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03EF"/>
    <w:pPr>
      <w:tabs>
        <w:tab w:val="right" w:leader="dot" w:pos="9072"/>
      </w:tabs>
      <w:spacing w:before="40" w:after="40"/>
      <w:ind w:left="284"/>
    </w:pPr>
    <w:rPr>
      <w:rFonts w:ascii="Times New Roman" w:hAnsi="Times New Roman"/>
    </w:rPr>
  </w:style>
  <w:style w:type="paragraph" w:styleId="TOC1">
    <w:name w:val="toc 1"/>
    <w:basedOn w:val="TOCBase"/>
    <w:next w:val="Normal"/>
    <w:rsid w:val="003503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03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03EF"/>
    <w:rPr>
      <w:rFonts w:ascii="Times New Roman" w:eastAsia="Times New Roman" w:hAnsi="Times New Roman" w:cs="Times New Roman"/>
      <w:sz w:val="16"/>
      <w:lang w:eastAsia="en-US"/>
    </w:rPr>
  </w:style>
  <w:style w:type="paragraph" w:styleId="Title">
    <w:name w:val="Title"/>
    <w:basedOn w:val="HeadingBase"/>
    <w:link w:val="TitleChar"/>
    <w:qFormat/>
    <w:rsid w:val="003503EF"/>
    <w:pPr>
      <w:spacing w:before="5040"/>
      <w:jc w:val="center"/>
    </w:pPr>
    <w:rPr>
      <w:sz w:val="48"/>
      <w:szCs w:val="72"/>
      <w:lang w:val="en-US"/>
    </w:rPr>
  </w:style>
  <w:style w:type="character" w:customStyle="1" w:styleId="TitleChar">
    <w:name w:val="Title Char"/>
    <w:basedOn w:val="DefaultParagraphFont"/>
    <w:link w:val="Title"/>
    <w:rsid w:val="003503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03EF"/>
    <w:pPr>
      <w:tabs>
        <w:tab w:val="left" w:pos="3600"/>
        <w:tab w:val="left" w:pos="3958"/>
      </w:tabs>
    </w:pPr>
  </w:style>
  <w:style w:type="paragraph" w:styleId="List">
    <w:name w:val="List"/>
    <w:basedOn w:val="BodyText"/>
    <w:next w:val="BodyText"/>
    <w:rsid w:val="003503EF"/>
    <w:pPr>
      <w:tabs>
        <w:tab w:val="left" w:pos="340"/>
      </w:tabs>
      <w:spacing w:before="60" w:after="60"/>
      <w:ind w:left="340" w:hanging="340"/>
    </w:pPr>
  </w:style>
  <w:style w:type="paragraph" w:customStyle="1" w:styleId="Note">
    <w:name w:val="Note"/>
    <w:basedOn w:val="BodyText"/>
    <w:rsid w:val="003503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03EF"/>
    <w:pPr>
      <w:framePr w:wrap="auto" w:hAnchor="text" w:y="6049"/>
    </w:pPr>
    <w:rPr>
      <w:color w:val="000000"/>
      <w:sz w:val="40"/>
    </w:rPr>
  </w:style>
  <w:style w:type="paragraph" w:customStyle="1" w:styleId="TOCTitle">
    <w:name w:val="TOCTitle"/>
    <w:basedOn w:val="Heading1"/>
    <w:rsid w:val="003503EF"/>
    <w:pPr>
      <w:spacing w:after="240"/>
      <w:jc w:val="center"/>
      <w:outlineLvl w:val="9"/>
    </w:pPr>
    <w:rPr>
      <w:caps/>
    </w:rPr>
  </w:style>
  <w:style w:type="paragraph" w:customStyle="1" w:styleId="Version">
    <w:name w:val="Version"/>
    <w:rsid w:val="003503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03EF"/>
    <w:pPr>
      <w:keepNext w:val="0"/>
      <w:tabs>
        <w:tab w:val="right" w:pos="4176"/>
      </w:tabs>
      <w:ind w:left="198" w:hanging="198"/>
    </w:pPr>
    <w:rPr>
      <w:rFonts w:ascii="Garamond" w:hAnsi="Garamond"/>
    </w:rPr>
  </w:style>
  <w:style w:type="paragraph" w:styleId="IndexHeading">
    <w:name w:val="index heading"/>
    <w:basedOn w:val="Normal"/>
    <w:next w:val="Index1"/>
    <w:semiHidden/>
    <w:rsid w:val="003503EF"/>
    <w:pPr>
      <w:spacing w:before="120" w:after="120"/>
    </w:pPr>
    <w:rPr>
      <w:rFonts w:ascii="Arial" w:hAnsi="Arial"/>
      <w:b/>
      <w:color w:val="918585"/>
      <w:sz w:val="24"/>
    </w:rPr>
  </w:style>
  <w:style w:type="paragraph" w:styleId="Header">
    <w:name w:val="header"/>
    <w:basedOn w:val="Normal"/>
    <w:link w:val="HeaderChar"/>
    <w:rsid w:val="003503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03EF"/>
    <w:rPr>
      <w:rFonts w:ascii="Times New Roman" w:eastAsia="Times New Roman" w:hAnsi="Times New Roman" w:cs="Times New Roman"/>
      <w:sz w:val="16"/>
      <w:szCs w:val="20"/>
      <w:lang w:val="en-GB" w:eastAsia="en-US"/>
    </w:rPr>
  </w:style>
  <w:style w:type="paragraph" w:customStyle="1" w:styleId="Chapter">
    <w:name w:val="Chapter"/>
    <w:basedOn w:val="Normal"/>
    <w:rsid w:val="003503EF"/>
    <w:pPr>
      <w:spacing w:before="240"/>
    </w:pPr>
    <w:rPr>
      <w:rFonts w:ascii="Times New Roman" w:hAnsi="Times New Roman"/>
      <w:smallCaps/>
      <w:spacing w:val="80"/>
      <w:sz w:val="28"/>
    </w:rPr>
  </w:style>
  <w:style w:type="paragraph" w:customStyle="1" w:styleId="InChapter">
    <w:name w:val="InChapter"/>
    <w:basedOn w:val="Heading3"/>
    <w:rsid w:val="003503EF"/>
    <w:pPr>
      <w:spacing w:after="240"/>
      <w:outlineLvl w:val="9"/>
    </w:pPr>
    <w:rPr>
      <w:noProof/>
    </w:rPr>
  </w:style>
  <w:style w:type="paragraph" w:styleId="Index2">
    <w:name w:val="index 2"/>
    <w:basedOn w:val="Normal"/>
    <w:next w:val="Normal"/>
    <w:semiHidden/>
    <w:rsid w:val="003503EF"/>
    <w:pPr>
      <w:tabs>
        <w:tab w:val="right" w:pos="4176"/>
      </w:tabs>
      <w:ind w:left="568" w:hanging="284"/>
    </w:pPr>
    <w:rPr>
      <w:rFonts w:ascii="Garamond" w:hAnsi="Garamond"/>
    </w:rPr>
  </w:style>
  <w:style w:type="paragraph" w:customStyle="1" w:styleId="Byline">
    <w:name w:val="Byline"/>
    <w:rsid w:val="003503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03EF"/>
    <w:pPr>
      <w:tabs>
        <w:tab w:val="clear" w:pos="3600"/>
        <w:tab w:val="clear" w:pos="3958"/>
      </w:tabs>
      <w:jc w:val="right"/>
    </w:pPr>
  </w:style>
  <w:style w:type="character" w:styleId="Emphasis">
    <w:name w:val="Emphasis"/>
    <w:basedOn w:val="DefaultParagraphFont"/>
    <w:qFormat/>
    <w:rsid w:val="003503EF"/>
    <w:rPr>
      <w:i/>
    </w:rPr>
  </w:style>
  <w:style w:type="paragraph" w:styleId="Caption">
    <w:name w:val="caption"/>
    <w:basedOn w:val="BodyText"/>
    <w:next w:val="Normal"/>
    <w:qFormat/>
    <w:rsid w:val="003503EF"/>
    <w:pPr>
      <w:framePr w:w="2268" w:hSpace="181" w:vSpace="181" w:wrap="around" w:vAnchor="text" w:hAnchor="page" w:x="1135" w:y="285" w:anchorLock="1"/>
    </w:pPr>
    <w:rPr>
      <w:i/>
    </w:rPr>
  </w:style>
  <w:style w:type="paragraph" w:customStyle="1" w:styleId="MiniTOCTitle">
    <w:name w:val="MiniTOCTitle"/>
    <w:basedOn w:val="Heading4"/>
    <w:rsid w:val="003503EF"/>
    <w:pPr>
      <w:spacing w:before="240"/>
      <w:outlineLvl w:val="9"/>
    </w:pPr>
    <w:rPr>
      <w:noProof/>
      <w:sz w:val="24"/>
    </w:rPr>
  </w:style>
  <w:style w:type="paragraph" w:customStyle="1" w:styleId="MiniTOCItem">
    <w:name w:val="MiniTOCItem"/>
    <w:basedOn w:val="ListBullet"/>
    <w:rsid w:val="003503EF"/>
    <w:pPr>
      <w:numPr>
        <w:numId w:val="0"/>
      </w:numPr>
      <w:tabs>
        <w:tab w:val="right" w:leader="dot" w:pos="6521"/>
      </w:tabs>
      <w:spacing w:before="0" w:after="0"/>
    </w:pPr>
  </w:style>
  <w:style w:type="paragraph" w:customStyle="1" w:styleId="TOFTitle">
    <w:name w:val="TOFTitle"/>
    <w:basedOn w:val="TOCTitle"/>
    <w:rsid w:val="003503EF"/>
  </w:style>
  <w:style w:type="paragraph" w:styleId="TableofFigures">
    <w:name w:val="table of figures"/>
    <w:basedOn w:val="Normal"/>
    <w:next w:val="Normal"/>
    <w:semiHidden/>
    <w:rsid w:val="003503EF"/>
    <w:pPr>
      <w:tabs>
        <w:tab w:val="right" w:leader="dot" w:pos="9072"/>
      </w:tabs>
      <w:ind w:left="970" w:hanging="403"/>
    </w:pPr>
    <w:rPr>
      <w:rFonts w:ascii="Times New Roman" w:hAnsi="Times New Roman"/>
      <w:b/>
    </w:rPr>
  </w:style>
  <w:style w:type="paragraph" w:styleId="ListNumber">
    <w:name w:val="List Number"/>
    <w:basedOn w:val="List"/>
    <w:rsid w:val="003503EF"/>
    <w:pPr>
      <w:numPr>
        <w:numId w:val="15"/>
      </w:numPr>
      <w:tabs>
        <w:tab w:val="clear" w:pos="340"/>
      </w:tabs>
    </w:pPr>
  </w:style>
  <w:style w:type="character" w:customStyle="1" w:styleId="WingdingSymbols">
    <w:name w:val="Wingding Symbols"/>
    <w:rsid w:val="003503EF"/>
    <w:rPr>
      <w:rFonts w:ascii="Wingdings" w:hAnsi="Wingdings"/>
    </w:rPr>
  </w:style>
  <w:style w:type="paragraph" w:customStyle="1" w:styleId="TableHeading">
    <w:name w:val="Table Heading"/>
    <w:basedOn w:val="HeadingBase"/>
    <w:rsid w:val="003503EF"/>
    <w:pPr>
      <w:keepLines/>
      <w:pBdr>
        <w:bottom w:val="single" w:sz="6" w:space="1" w:color="918585"/>
      </w:pBdr>
      <w:spacing w:before="240"/>
    </w:pPr>
  </w:style>
  <w:style w:type="character" w:customStyle="1" w:styleId="HotSpot">
    <w:name w:val="HotSpot"/>
    <w:rsid w:val="003503EF"/>
    <w:rPr>
      <w:color w:val="0033CC"/>
      <w:u w:val="none"/>
    </w:rPr>
  </w:style>
  <w:style w:type="paragraph" w:customStyle="1" w:styleId="BodyTextRight">
    <w:name w:val="Body Text Right"/>
    <w:basedOn w:val="BodyText"/>
    <w:rsid w:val="003503EF"/>
    <w:pPr>
      <w:spacing w:before="0" w:after="0"/>
      <w:jc w:val="right"/>
    </w:pPr>
  </w:style>
  <w:style w:type="paragraph" w:styleId="Index3">
    <w:name w:val="index 3"/>
    <w:basedOn w:val="ListNumber2"/>
    <w:next w:val="Normal"/>
    <w:semiHidden/>
    <w:rsid w:val="003503EF"/>
    <w:pPr>
      <w:numPr>
        <w:numId w:val="0"/>
      </w:numPr>
      <w:tabs>
        <w:tab w:val="right" w:leader="dot" w:pos="4176"/>
      </w:tabs>
    </w:pPr>
  </w:style>
  <w:style w:type="paragraph" w:styleId="ListNumber2">
    <w:name w:val="List Number 2"/>
    <w:basedOn w:val="List2"/>
    <w:rsid w:val="003503EF"/>
    <w:pPr>
      <w:numPr>
        <w:numId w:val="10"/>
      </w:numPr>
      <w:tabs>
        <w:tab w:val="clear" w:pos="1060"/>
      </w:tabs>
    </w:pPr>
  </w:style>
  <w:style w:type="paragraph" w:customStyle="1" w:styleId="MarginNote">
    <w:name w:val="Margin Note"/>
    <w:basedOn w:val="BodyText"/>
    <w:rsid w:val="003503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03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03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03EF"/>
    <w:rPr>
      <w:sz w:val="32"/>
    </w:rPr>
  </w:style>
  <w:style w:type="paragraph" w:customStyle="1" w:styleId="HeadingProcedure">
    <w:name w:val="Heading Procedure"/>
    <w:basedOn w:val="HeadingBase"/>
    <w:next w:val="Normal"/>
    <w:rsid w:val="003503EF"/>
    <w:pPr>
      <w:tabs>
        <w:tab w:val="left" w:pos="0"/>
      </w:tabs>
      <w:spacing w:before="120" w:after="60"/>
    </w:pPr>
    <w:rPr>
      <w:i/>
      <w:color w:val="918585"/>
      <w:sz w:val="22"/>
    </w:rPr>
  </w:style>
  <w:style w:type="paragraph" w:customStyle="1" w:styleId="TableBodyText">
    <w:name w:val="Table Body Text"/>
    <w:basedOn w:val="BodyText"/>
    <w:rsid w:val="003503EF"/>
    <w:pPr>
      <w:spacing w:before="60" w:after="60"/>
    </w:pPr>
  </w:style>
  <w:style w:type="paragraph" w:styleId="ListContinue">
    <w:name w:val="List Continue"/>
    <w:basedOn w:val="List"/>
    <w:rsid w:val="003503EF"/>
    <w:pPr>
      <w:ind w:firstLine="0"/>
    </w:pPr>
  </w:style>
  <w:style w:type="paragraph" w:customStyle="1" w:styleId="ListNote">
    <w:name w:val="List Note"/>
    <w:basedOn w:val="List"/>
    <w:rsid w:val="003503EF"/>
    <w:pPr>
      <w:pBdr>
        <w:top w:val="single" w:sz="6" w:space="2" w:color="918585"/>
        <w:bottom w:val="single" w:sz="6" w:space="2" w:color="918585"/>
      </w:pBdr>
      <w:tabs>
        <w:tab w:val="left" w:pos="1021"/>
      </w:tabs>
      <w:ind w:firstLine="0"/>
    </w:pPr>
  </w:style>
  <w:style w:type="paragraph" w:customStyle="1" w:styleId="Warning">
    <w:name w:val="Warning"/>
    <w:basedOn w:val="BodyText"/>
    <w:rsid w:val="003503EF"/>
    <w:pPr>
      <w:shd w:val="clear" w:color="auto" w:fill="D9D9D9"/>
      <w:tabs>
        <w:tab w:val="left" w:pos="992"/>
      </w:tabs>
      <w:ind w:left="119" w:right="119"/>
    </w:pPr>
    <w:rPr>
      <w:sz w:val="20"/>
    </w:rPr>
  </w:style>
  <w:style w:type="paragraph" w:customStyle="1" w:styleId="MarginIcons">
    <w:name w:val="Margin Icons"/>
    <w:basedOn w:val="BodyText"/>
    <w:rsid w:val="003503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03EF"/>
    <w:rPr>
      <w:rFonts w:ascii="Courier New" w:hAnsi="Courier New"/>
    </w:rPr>
  </w:style>
  <w:style w:type="paragraph" w:customStyle="1" w:styleId="NoteBullet">
    <w:name w:val="Note Bullet"/>
    <w:basedOn w:val="Note"/>
    <w:rsid w:val="003503EF"/>
    <w:pPr>
      <w:tabs>
        <w:tab w:val="clear" w:pos="680"/>
      </w:tabs>
      <w:spacing w:before="60" w:after="60"/>
    </w:pPr>
  </w:style>
  <w:style w:type="paragraph" w:customStyle="1" w:styleId="SubHeading2">
    <w:name w:val="SubHeading2"/>
    <w:basedOn w:val="HeadingBase"/>
    <w:rsid w:val="003503EF"/>
    <w:pPr>
      <w:spacing w:before="240" w:after="60"/>
    </w:pPr>
    <w:rPr>
      <w:sz w:val="20"/>
    </w:rPr>
  </w:style>
  <w:style w:type="paragraph" w:customStyle="1" w:styleId="SubHeading1">
    <w:name w:val="SubHeading1"/>
    <w:basedOn w:val="HeadingBase"/>
    <w:rsid w:val="003503EF"/>
    <w:pPr>
      <w:spacing w:before="240" w:after="60"/>
    </w:pPr>
    <w:rPr>
      <w:color w:val="918585"/>
      <w:sz w:val="22"/>
    </w:rPr>
  </w:style>
  <w:style w:type="paragraph" w:customStyle="1" w:styleId="SideHeading">
    <w:name w:val="Side Heading"/>
    <w:basedOn w:val="HeadingBase"/>
    <w:rsid w:val="003503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03EF"/>
    <w:pPr>
      <w:tabs>
        <w:tab w:val="num" w:pos="360"/>
      </w:tabs>
    </w:pPr>
  </w:style>
  <w:style w:type="paragraph" w:styleId="PlainText">
    <w:name w:val="Plain Text"/>
    <w:basedOn w:val="Normal"/>
    <w:link w:val="PlainTextChar"/>
    <w:rsid w:val="003503EF"/>
    <w:rPr>
      <w:sz w:val="20"/>
    </w:rPr>
  </w:style>
  <w:style w:type="character" w:customStyle="1" w:styleId="PlainTextChar">
    <w:name w:val="Plain Text Char"/>
    <w:basedOn w:val="DefaultParagraphFont"/>
    <w:link w:val="PlainText"/>
    <w:rsid w:val="003503EF"/>
    <w:rPr>
      <w:rFonts w:ascii="Courier New" w:eastAsia="Times New Roman" w:hAnsi="Courier New" w:cs="Times New Roman"/>
      <w:sz w:val="20"/>
      <w:szCs w:val="20"/>
      <w:lang w:eastAsia="en-US"/>
    </w:rPr>
  </w:style>
  <w:style w:type="character" w:customStyle="1" w:styleId="MenuOption">
    <w:name w:val="Menu Option"/>
    <w:basedOn w:val="DefaultParagraphFont"/>
    <w:rsid w:val="003503EF"/>
    <w:rPr>
      <w:b/>
      <w:smallCaps/>
    </w:rPr>
  </w:style>
  <w:style w:type="paragraph" w:customStyle="1" w:styleId="TableListNumber">
    <w:name w:val="Table List Number"/>
    <w:basedOn w:val="ListNumber"/>
    <w:rsid w:val="003503EF"/>
    <w:pPr>
      <w:numPr>
        <w:numId w:val="0"/>
      </w:numPr>
    </w:pPr>
  </w:style>
  <w:style w:type="paragraph" w:styleId="TOC4">
    <w:name w:val="toc 4"/>
    <w:basedOn w:val="TOCBase"/>
    <w:next w:val="Normal"/>
    <w:semiHidden/>
    <w:rsid w:val="003503EF"/>
    <w:pPr>
      <w:tabs>
        <w:tab w:val="right" w:leader="dot" w:pos="9071"/>
      </w:tabs>
      <w:ind w:left="1701"/>
    </w:pPr>
  </w:style>
  <w:style w:type="paragraph" w:customStyle="1" w:styleId="ListAlpha">
    <w:name w:val="List Alpha"/>
    <w:basedOn w:val="List"/>
    <w:rsid w:val="003503EF"/>
    <w:pPr>
      <w:numPr>
        <w:numId w:val="9"/>
      </w:numPr>
    </w:pPr>
  </w:style>
  <w:style w:type="paragraph" w:customStyle="1" w:styleId="ListAlpha2">
    <w:name w:val="List Alpha 2"/>
    <w:basedOn w:val="List2"/>
    <w:rsid w:val="003503EF"/>
    <w:pPr>
      <w:numPr>
        <w:numId w:val="8"/>
      </w:numPr>
    </w:pPr>
  </w:style>
  <w:style w:type="paragraph" w:styleId="List2">
    <w:name w:val="List 2"/>
    <w:basedOn w:val="BodyText"/>
    <w:rsid w:val="003503EF"/>
    <w:pPr>
      <w:tabs>
        <w:tab w:val="left" w:pos="680"/>
      </w:tabs>
      <w:spacing w:before="60" w:after="60"/>
      <w:ind w:left="680" w:hanging="340"/>
    </w:pPr>
  </w:style>
  <w:style w:type="paragraph" w:styleId="List3">
    <w:name w:val="List 3"/>
    <w:basedOn w:val="BodyText"/>
    <w:rsid w:val="003503EF"/>
    <w:pPr>
      <w:tabs>
        <w:tab w:val="left" w:pos="1021"/>
      </w:tabs>
      <w:spacing w:before="60" w:after="60"/>
      <w:ind w:left="1020" w:hanging="340"/>
    </w:pPr>
  </w:style>
  <w:style w:type="paragraph" w:styleId="List4">
    <w:name w:val="List 4"/>
    <w:basedOn w:val="BodyText"/>
    <w:rsid w:val="003503EF"/>
    <w:pPr>
      <w:tabs>
        <w:tab w:val="left" w:pos="1361"/>
      </w:tabs>
      <w:spacing w:before="60" w:after="60"/>
      <w:ind w:left="1361" w:hanging="340"/>
    </w:pPr>
  </w:style>
  <w:style w:type="paragraph" w:styleId="List5">
    <w:name w:val="List 5"/>
    <w:basedOn w:val="BodyText"/>
    <w:rsid w:val="003503EF"/>
    <w:pPr>
      <w:tabs>
        <w:tab w:val="left" w:pos="1701"/>
      </w:tabs>
      <w:spacing w:before="60" w:after="60"/>
      <w:ind w:left="1701" w:hanging="340"/>
    </w:pPr>
  </w:style>
  <w:style w:type="paragraph" w:styleId="ListBullet3">
    <w:name w:val="List Bullet 3"/>
    <w:basedOn w:val="List3"/>
    <w:rsid w:val="003503EF"/>
    <w:pPr>
      <w:numPr>
        <w:numId w:val="14"/>
      </w:numPr>
      <w:tabs>
        <w:tab w:val="clear" w:pos="1021"/>
      </w:tabs>
      <w:ind w:left="1037" w:hanging="357"/>
    </w:pPr>
  </w:style>
  <w:style w:type="paragraph" w:styleId="ListBullet4">
    <w:name w:val="List Bullet 4"/>
    <w:basedOn w:val="List4"/>
    <w:rsid w:val="003503EF"/>
    <w:pPr>
      <w:numPr>
        <w:numId w:val="3"/>
      </w:numPr>
      <w:tabs>
        <w:tab w:val="clear" w:pos="1361"/>
      </w:tabs>
    </w:pPr>
  </w:style>
  <w:style w:type="paragraph" w:styleId="ListBullet5">
    <w:name w:val="List Bullet 5"/>
    <w:basedOn w:val="List5"/>
    <w:rsid w:val="003503EF"/>
    <w:pPr>
      <w:numPr>
        <w:numId w:val="4"/>
      </w:numPr>
    </w:pPr>
  </w:style>
  <w:style w:type="paragraph" w:styleId="ListContinue2">
    <w:name w:val="List Continue 2"/>
    <w:basedOn w:val="List2"/>
    <w:rsid w:val="003503EF"/>
    <w:pPr>
      <w:ind w:firstLine="0"/>
    </w:pPr>
  </w:style>
  <w:style w:type="paragraph" w:styleId="ListContinue3">
    <w:name w:val="List Continue 3"/>
    <w:basedOn w:val="List3"/>
    <w:rsid w:val="003503EF"/>
    <w:pPr>
      <w:ind w:left="1021" w:firstLine="0"/>
    </w:pPr>
  </w:style>
  <w:style w:type="paragraph" w:styleId="ListContinue4">
    <w:name w:val="List Continue 4"/>
    <w:basedOn w:val="List4"/>
    <w:rsid w:val="003503EF"/>
    <w:pPr>
      <w:ind w:firstLine="0"/>
    </w:pPr>
  </w:style>
  <w:style w:type="paragraph" w:styleId="ListContinue5">
    <w:name w:val="List Continue 5"/>
    <w:basedOn w:val="List5"/>
    <w:rsid w:val="003503EF"/>
    <w:pPr>
      <w:ind w:firstLine="0"/>
    </w:pPr>
  </w:style>
  <w:style w:type="paragraph" w:styleId="ListNumber3">
    <w:name w:val="List Number 3"/>
    <w:basedOn w:val="List3"/>
    <w:rsid w:val="003503EF"/>
    <w:pPr>
      <w:numPr>
        <w:numId w:val="5"/>
      </w:numPr>
    </w:pPr>
  </w:style>
  <w:style w:type="paragraph" w:styleId="ListNumber4">
    <w:name w:val="List Number 4"/>
    <w:basedOn w:val="List4"/>
    <w:rsid w:val="003503EF"/>
    <w:pPr>
      <w:numPr>
        <w:numId w:val="6"/>
      </w:numPr>
    </w:pPr>
  </w:style>
  <w:style w:type="paragraph" w:styleId="ListNumber5">
    <w:name w:val="List Number 5"/>
    <w:basedOn w:val="List5"/>
    <w:rsid w:val="003503EF"/>
    <w:pPr>
      <w:numPr>
        <w:numId w:val="7"/>
      </w:numPr>
    </w:pPr>
  </w:style>
  <w:style w:type="paragraph" w:styleId="BlockText">
    <w:name w:val="Block Text"/>
    <w:basedOn w:val="Normal"/>
    <w:rsid w:val="003503EF"/>
    <w:pPr>
      <w:spacing w:after="120"/>
      <w:ind w:left="1440" w:right="1440"/>
    </w:pPr>
  </w:style>
  <w:style w:type="character" w:customStyle="1" w:styleId="Subscript">
    <w:name w:val="Subscript"/>
    <w:basedOn w:val="DefaultParagraphFont"/>
    <w:rsid w:val="003503EF"/>
    <w:rPr>
      <w:sz w:val="16"/>
      <w:vertAlign w:val="subscript"/>
    </w:rPr>
  </w:style>
  <w:style w:type="character" w:customStyle="1" w:styleId="Superscript">
    <w:name w:val="Superscript"/>
    <w:basedOn w:val="DefaultParagraphFont"/>
    <w:rsid w:val="003503EF"/>
    <w:rPr>
      <w:sz w:val="16"/>
      <w:vertAlign w:val="superscript"/>
    </w:rPr>
  </w:style>
  <w:style w:type="character" w:customStyle="1" w:styleId="Symbols">
    <w:name w:val="Symbols"/>
    <w:basedOn w:val="DefaultParagraphFont"/>
    <w:rsid w:val="003503EF"/>
    <w:rPr>
      <w:rFonts w:ascii="Symbol" w:hAnsi="Symbol"/>
    </w:rPr>
  </w:style>
  <w:style w:type="character" w:customStyle="1" w:styleId="MenuOptions">
    <w:name w:val="Menu Options"/>
    <w:basedOn w:val="DefaultParagraphFont"/>
    <w:rsid w:val="003503EF"/>
    <w:rPr>
      <w:rFonts w:ascii="Arial Narrow" w:hAnsi="Arial Narrow"/>
      <w:smallCaps/>
    </w:rPr>
  </w:style>
  <w:style w:type="character" w:customStyle="1" w:styleId="Buttons">
    <w:name w:val="Buttons"/>
    <w:basedOn w:val="DefaultParagraphFont"/>
    <w:rsid w:val="003503EF"/>
    <w:rPr>
      <w:b/>
    </w:rPr>
  </w:style>
  <w:style w:type="character" w:customStyle="1" w:styleId="Underlined">
    <w:name w:val="Underlined"/>
    <w:basedOn w:val="DefaultParagraphFont"/>
    <w:rsid w:val="003503EF"/>
    <w:rPr>
      <w:u w:val="single"/>
    </w:rPr>
  </w:style>
  <w:style w:type="paragraph" w:customStyle="1" w:styleId="TableBodyTextRight">
    <w:name w:val="Table Body Text Right"/>
    <w:basedOn w:val="TableBodyText"/>
    <w:rsid w:val="003503EF"/>
    <w:pPr>
      <w:widowControl w:val="0"/>
      <w:autoSpaceDE w:val="0"/>
      <w:autoSpaceDN w:val="0"/>
      <w:adjustRightInd w:val="0"/>
      <w:jc w:val="right"/>
    </w:pPr>
    <w:rPr>
      <w:rFonts w:cs="Arial"/>
      <w:szCs w:val="18"/>
    </w:rPr>
  </w:style>
  <w:style w:type="paragraph" w:customStyle="1" w:styleId="CopyrightText">
    <w:name w:val="Copyright Text"/>
    <w:basedOn w:val="BodyText"/>
    <w:rsid w:val="003503EF"/>
    <w:rPr>
      <w:sz w:val="18"/>
    </w:rPr>
  </w:style>
  <w:style w:type="paragraph" w:customStyle="1" w:styleId="BodySmallRight">
    <w:name w:val="Body Small Right"/>
    <w:basedOn w:val="BodyTextRight"/>
    <w:rsid w:val="003503EF"/>
    <w:rPr>
      <w:sz w:val="18"/>
      <w:szCs w:val="18"/>
    </w:rPr>
  </w:style>
  <w:style w:type="paragraph" w:customStyle="1" w:styleId="MarginEdition">
    <w:name w:val="Margin Edition"/>
    <w:basedOn w:val="MarginNote"/>
    <w:rsid w:val="003503EF"/>
    <w:pPr>
      <w:spacing w:before="0" w:after="0"/>
    </w:pPr>
    <w:rPr>
      <w:rFonts w:ascii="Times New Roman" w:hAnsi="Times New Roman"/>
      <w:color w:val="999999"/>
    </w:rPr>
  </w:style>
  <w:style w:type="paragraph" w:customStyle="1" w:styleId="Spacer">
    <w:name w:val="Spacer"/>
    <w:basedOn w:val="Normal"/>
    <w:rsid w:val="003503EF"/>
    <w:rPr>
      <w:sz w:val="2"/>
      <w:szCs w:val="2"/>
    </w:rPr>
  </w:style>
  <w:style w:type="character" w:customStyle="1" w:styleId="Small">
    <w:name w:val="Small"/>
    <w:basedOn w:val="DefaultParagraphFont"/>
    <w:rsid w:val="003503EF"/>
    <w:rPr>
      <w:sz w:val="16"/>
    </w:rPr>
  </w:style>
  <w:style w:type="paragraph" w:customStyle="1" w:styleId="WideTable">
    <w:name w:val="Wide Table"/>
    <w:basedOn w:val="Normal"/>
    <w:rsid w:val="003503EF"/>
    <w:pPr>
      <w:ind w:left="-1418"/>
    </w:pPr>
    <w:rPr>
      <w:sz w:val="2"/>
      <w:szCs w:val="2"/>
    </w:rPr>
  </w:style>
  <w:style w:type="character" w:styleId="PageNumber">
    <w:name w:val="page number"/>
    <w:basedOn w:val="DefaultParagraphFont"/>
    <w:rsid w:val="003503EF"/>
  </w:style>
  <w:style w:type="paragraph" w:styleId="Quote">
    <w:name w:val="Quote"/>
    <w:basedOn w:val="Heading1"/>
    <w:link w:val="QuoteChar"/>
    <w:qFormat/>
    <w:rsid w:val="003503EF"/>
    <w:rPr>
      <w:b w:val="0"/>
      <w:sz w:val="72"/>
      <w:szCs w:val="72"/>
      <w:lang w:val="en-NZ"/>
    </w:rPr>
  </w:style>
  <w:style w:type="character" w:customStyle="1" w:styleId="QuoteChar">
    <w:name w:val="Quote Char"/>
    <w:basedOn w:val="DefaultParagraphFont"/>
    <w:link w:val="Quote"/>
    <w:rsid w:val="003503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03EF"/>
    <w:pPr>
      <w:pageBreakBefore/>
    </w:pPr>
  </w:style>
  <w:style w:type="paragraph" w:customStyle="1" w:styleId="Border">
    <w:name w:val="Border"/>
    <w:basedOn w:val="Normal"/>
    <w:qFormat/>
    <w:rsid w:val="003503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03EF"/>
    <w:rPr>
      <w:b/>
      <w:bCs/>
      <w:i/>
      <w:iCs/>
      <w:color w:val="auto"/>
    </w:rPr>
  </w:style>
  <w:style w:type="paragraph" w:styleId="IntenseQuote">
    <w:name w:val="Intense Quote"/>
    <w:basedOn w:val="Normal"/>
    <w:next w:val="Normal"/>
    <w:link w:val="IntenseQuoteChar"/>
    <w:uiPriority w:val="30"/>
    <w:qFormat/>
    <w:rsid w:val="003503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03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03EF"/>
    <w:rPr>
      <w:smallCaps/>
      <w:color w:val="auto"/>
      <w:u w:val="single"/>
    </w:rPr>
  </w:style>
  <w:style w:type="character" w:styleId="IntenseReference">
    <w:name w:val="Intense Reference"/>
    <w:basedOn w:val="DefaultParagraphFont"/>
    <w:uiPriority w:val="32"/>
    <w:qFormat/>
    <w:rsid w:val="003503EF"/>
    <w:rPr>
      <w:b/>
      <w:bCs/>
      <w:smallCaps/>
      <w:color w:val="auto"/>
      <w:spacing w:val="5"/>
      <w:u w:val="single"/>
    </w:rPr>
  </w:style>
  <w:style w:type="paragraph" w:customStyle="1" w:styleId="2ColumnHeading">
    <w:name w:val="2Column Heading"/>
    <w:basedOn w:val="BodyText"/>
    <w:qFormat/>
    <w:rsid w:val="003503EF"/>
    <w:pPr>
      <w:spacing w:after="60"/>
      <w:ind w:left="-2268"/>
    </w:pPr>
    <w:rPr>
      <w:b/>
    </w:rPr>
  </w:style>
  <w:style w:type="paragraph" w:customStyle="1" w:styleId="Heading1TOC">
    <w:name w:val="Heading1 TOC"/>
    <w:basedOn w:val="Normal"/>
    <w:qFormat/>
    <w:rsid w:val="003503EF"/>
    <w:pPr>
      <w:spacing w:before="240" w:after="120"/>
    </w:pPr>
    <w:rPr>
      <w:rFonts w:ascii="Times New Roman" w:hAnsi="Times New Roman"/>
      <w:b/>
      <w:sz w:val="32"/>
    </w:rPr>
  </w:style>
  <w:style w:type="paragraph" w:customStyle="1" w:styleId="Heading2TOC">
    <w:name w:val="Heading2 TOC"/>
    <w:basedOn w:val="Normal"/>
    <w:qFormat/>
    <w:rsid w:val="003503EF"/>
    <w:pPr>
      <w:spacing w:before="240" w:after="60"/>
    </w:pPr>
    <w:rPr>
      <w:rFonts w:ascii="Times New Roman" w:hAnsi="Times New Roman"/>
      <w:b/>
      <w:sz w:val="28"/>
    </w:rPr>
  </w:style>
  <w:style w:type="character" w:customStyle="1" w:styleId="Underline">
    <w:name w:val="Underline"/>
    <w:basedOn w:val="DefaultParagraphFont"/>
    <w:qFormat/>
    <w:rsid w:val="003503EF"/>
    <w:rPr>
      <w:u w:val="single"/>
    </w:rPr>
  </w:style>
  <w:style w:type="character" w:customStyle="1" w:styleId="BoldandItalics">
    <w:name w:val="Bold and Italics"/>
    <w:qFormat/>
    <w:rsid w:val="003503EF"/>
    <w:rPr>
      <w:b/>
      <w:i/>
      <w:u w:val="none"/>
    </w:rPr>
  </w:style>
  <w:style w:type="paragraph" w:styleId="BalloonText">
    <w:name w:val="Balloon Text"/>
    <w:basedOn w:val="Normal"/>
    <w:link w:val="BalloonTextChar"/>
    <w:rsid w:val="003503EF"/>
    <w:rPr>
      <w:rFonts w:ascii="Tahoma" w:hAnsi="Tahoma" w:cs="Tahoma"/>
      <w:sz w:val="16"/>
      <w:szCs w:val="16"/>
    </w:rPr>
  </w:style>
  <w:style w:type="character" w:customStyle="1" w:styleId="BalloonTextChar">
    <w:name w:val="Balloon Text Char"/>
    <w:basedOn w:val="DefaultParagraphFont"/>
    <w:link w:val="BalloonText"/>
    <w:rsid w:val="003503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03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03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03EF"/>
    <w:rPr>
      <w:b/>
      <w:color w:val="660033"/>
      <w:spacing w:val="0"/>
    </w:rPr>
  </w:style>
  <w:style w:type="paragraph" w:customStyle="1" w:styleId="Nameditemlist">
    <w:name w:val="Named item list"/>
    <w:basedOn w:val="BodyText"/>
    <w:qFormat/>
    <w:rsid w:val="003503EF"/>
    <w:pPr>
      <w:tabs>
        <w:tab w:val="left" w:pos="2835"/>
      </w:tabs>
      <w:ind w:left="2835" w:hanging="2835"/>
    </w:pPr>
  </w:style>
  <w:style w:type="paragraph" w:customStyle="1" w:styleId="BodyTextnopadding">
    <w:name w:val="Body Text no padding"/>
    <w:basedOn w:val="BodyText"/>
    <w:qFormat/>
    <w:rsid w:val="003503EF"/>
    <w:pPr>
      <w:spacing w:before="0" w:after="0"/>
    </w:pPr>
  </w:style>
  <w:style w:type="paragraph" w:customStyle="1" w:styleId="BodyTextBold">
    <w:name w:val="Body Text Bold"/>
    <w:basedOn w:val="BodyText"/>
    <w:qFormat/>
    <w:rsid w:val="003503EF"/>
    <w:rPr>
      <w:b/>
    </w:rPr>
  </w:style>
  <w:style w:type="character" w:styleId="Hyperlink">
    <w:name w:val="Hyperlink"/>
    <w:basedOn w:val="DefaultParagraphFont"/>
    <w:uiPriority w:val="99"/>
    <w:unhideWhenUsed/>
    <w:rsid w:val="00AE30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1923</Words>
  <Characters>12368</Characters>
  <Application>Microsoft Office Word</Application>
  <DocSecurity>0</DocSecurity>
  <Lines>412</Lines>
  <Paragraphs>250</Paragraphs>
  <ScaleCrop>false</ScaleCrop>
  <Company>Author-it Software Corporation Ltd.</Company>
  <LinksUpToDate>false</LinksUpToDate>
  <CharactersWithSpaces>14041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PMAOMIR622 Build partnerships to improve incident response capacity</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2025-03-01T21:30:00Z</dcterms:created>
  <dcterms:modified xsi:type="dcterms:W3CDTF">2025-03-01T21:30:00Z</dcterms:modified>
</cp:coreProperties>
</file>