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46B" w:rsidP="009B2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PMAOMIR512 Establish incident response preparedness and response systems</w:t>
      </w:r>
      <w:r>
        <w:fldChar w:fldCharType="end"/>
      </w:r>
    </w:p>
    <w:p w:rsidR="009B246B" w:rsidP="009B246B">
      <w:pPr>
        <w:pStyle w:val="Version"/>
        <w:sectPr w:rsidSect="00467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984" w:rsidP="00467984">
      <w:pPr>
        <w:pStyle w:val="SuperHeading"/>
      </w:pPr>
      <w:r w:rsidRPr="00467984">
        <w:t>Assessment Requirements for PMAOMIR512 Establish incident response preparedness and response systems</w:t>
      </w:r>
    </w:p>
    <w:p w:rsidR="00000000" w:rsidRPr="00467984" w:rsidP="00467984">
      <w:pPr>
        <w:pStyle w:val="Heading1"/>
      </w:pPr>
      <w:bookmarkStart w:id="1" w:name="O_908958"/>
      <w:bookmarkEnd w:id="1"/>
      <w:r w:rsidRPr="00467984">
        <w:t>Modification History</w:t>
      </w:r>
    </w:p>
    <w:p w:rsidR="00000000" w:rsidRPr="00467984" w:rsidP="009B246B">
      <w:pPr>
        <w:pStyle w:val="BodyText"/>
      </w:pPr>
      <w:r w:rsidRPr="00467984">
        <w:t>Release 1. Supersedes and is equivalent to PMA</w:t>
      </w:r>
      <w:r w:rsidRPr="00467984">
        <w:t xml:space="preserve">OMIR512B Establish incident response preparedness and response systems  </w:t>
      </w:r>
    </w:p>
    <w:p w:rsidR="00000000" w:rsidRPr="00467984" w:rsidP="00467984">
      <w:pPr>
        <w:pStyle w:val="Heading1"/>
      </w:pPr>
      <w:bookmarkStart w:id="2" w:name="O_908961"/>
      <w:bookmarkEnd w:id="2"/>
      <w:r w:rsidRPr="00467984">
        <w:t>Performance Evidence</w:t>
      </w:r>
    </w:p>
    <w:p w:rsidR="00000000" w:rsidRPr="00467984" w:rsidP="009B246B">
      <w:pPr>
        <w:pStyle w:val="BodyText"/>
      </w:pPr>
      <w:r w:rsidRPr="00467984">
        <w:t>Evidence required to demonstrate competence in this unit must be relevant to and satisfy the requirements of the elements and performance criteri</w:t>
      </w:r>
      <w:r w:rsidRPr="00467984">
        <w:t>a, and include the ability to:</w:t>
      </w:r>
    </w:p>
    <w:p w:rsidR="00000000" w:rsidRPr="00467984" w:rsidP="00467984">
      <w:pPr>
        <w:pStyle w:val="ListBullet"/>
      </w:pPr>
      <w:r w:rsidRPr="00467984">
        <w:t xml:space="preserve">collect and analyse information to identify organisation and legislative requirements for incident response and related systems </w:t>
      </w:r>
    </w:p>
    <w:p w:rsidR="00000000" w:rsidRPr="00467984" w:rsidP="00467984">
      <w:pPr>
        <w:pStyle w:val="ListBullet"/>
      </w:pPr>
      <w:r w:rsidRPr="00467984">
        <w:t>communicate and consult with internal and external stakeholders and relevant specialist service</w:t>
      </w:r>
      <w:r w:rsidRPr="00467984">
        <w:t>s</w:t>
      </w:r>
    </w:p>
    <w:p w:rsidR="00000000" w:rsidRPr="00467984" w:rsidP="00467984">
      <w:pPr>
        <w:pStyle w:val="ListBullet"/>
      </w:pPr>
      <w:r w:rsidRPr="00467984">
        <w:t>facilitate and manage the development, introduction and operation of incident response and related systems</w:t>
      </w:r>
    </w:p>
    <w:p w:rsidR="00000000" w:rsidRPr="00467984" w:rsidP="00467984">
      <w:pPr>
        <w:pStyle w:val="ListBullet"/>
      </w:pPr>
      <w:r w:rsidRPr="00467984">
        <w:t>facilitate evaluation of the systems (and make recommendations for improvements/implement improvements)</w:t>
      </w:r>
    </w:p>
    <w:p w:rsidR="00000000" w:rsidRPr="00467984" w:rsidP="00467984">
      <w:pPr>
        <w:pStyle w:val="ListBullet"/>
      </w:pPr>
      <w:r w:rsidRPr="00467984">
        <w:t>write strategies, tactics and procedures</w:t>
      </w:r>
    </w:p>
    <w:p w:rsidR="00000000" w:rsidRPr="00467984" w:rsidP="00467984">
      <w:pPr>
        <w:pStyle w:val="ListBullet"/>
      </w:pPr>
      <w:r w:rsidRPr="00467984">
        <w:t>de</w:t>
      </w:r>
      <w:r w:rsidRPr="00467984">
        <w:t>velop containment strategies.</w:t>
      </w:r>
    </w:p>
    <w:p w:rsidR="00000000" w:rsidRPr="00467984" w:rsidP="00467984">
      <w:pPr>
        <w:pStyle w:val="AllowPageBreak"/>
      </w:pPr>
    </w:p>
    <w:p w:rsidR="00000000" w:rsidRPr="00467984" w:rsidP="00467984">
      <w:pPr>
        <w:pStyle w:val="Heading1"/>
      </w:pPr>
      <w:bookmarkStart w:id="3" w:name="O_908960"/>
      <w:bookmarkEnd w:id="3"/>
      <w:r w:rsidRPr="00467984">
        <w:t>Knowledge Evidence</w:t>
      </w:r>
    </w:p>
    <w:p w:rsidR="00000000" w:rsidRPr="00467984" w:rsidP="009B246B">
      <w:pPr>
        <w:pStyle w:val="BodyText"/>
      </w:pPr>
      <w:r w:rsidRPr="00467984">
        <w:t>Evidence must be provided that demonstrates knowledge of:</w:t>
      </w:r>
    </w:p>
    <w:p w:rsidR="00000000" w:rsidRPr="00467984" w:rsidP="00467984">
      <w:pPr>
        <w:pStyle w:val="ListBullet"/>
      </w:pPr>
      <w:r w:rsidRPr="00467984">
        <w:t>regulatory framework and specific compliance requirements that apply to the organisation</w:t>
      </w:r>
    </w:p>
    <w:p w:rsidR="00000000" w:rsidRPr="00467984" w:rsidP="00467984">
      <w:pPr>
        <w:pStyle w:val="ListBullet"/>
      </w:pPr>
      <w:r w:rsidRPr="00467984">
        <w:t>organisational procedures, including those</w:t>
      </w:r>
      <w:r w:rsidRPr="00467984">
        <w:t xml:space="preserve"> covering:</w:t>
      </w:r>
    </w:p>
    <w:p w:rsidR="00000000" w:rsidRPr="00467984" w:rsidP="00467984">
      <w:pPr>
        <w:pStyle w:val="ListBullet2"/>
      </w:pPr>
      <w:r w:rsidRPr="00467984">
        <w:t>safety, hazards and hazard control</w:t>
      </w:r>
    </w:p>
    <w:p w:rsidR="00000000" w:rsidRPr="00467984" w:rsidP="00467984">
      <w:pPr>
        <w:pStyle w:val="ListBullet2"/>
      </w:pPr>
      <w:r w:rsidRPr="00467984">
        <w:t xml:space="preserve">incident, fire and accident </w:t>
      </w:r>
    </w:p>
    <w:p w:rsidR="00000000" w:rsidRPr="00467984" w:rsidP="00467984">
      <w:pPr>
        <w:pStyle w:val="ListBullet2"/>
      </w:pPr>
      <w:r w:rsidRPr="00467984">
        <w:t>environmental protection</w:t>
      </w:r>
    </w:p>
    <w:p w:rsidR="00000000" w:rsidRPr="00467984" w:rsidP="00467984">
      <w:pPr>
        <w:pStyle w:val="ListBullet2"/>
      </w:pPr>
      <w:r w:rsidRPr="00467984">
        <w:t>risk assessment/risk management</w:t>
      </w:r>
    </w:p>
    <w:p w:rsidR="00000000" w:rsidRPr="00467984" w:rsidP="00467984">
      <w:pPr>
        <w:pStyle w:val="ListBullet2"/>
      </w:pPr>
      <w:r w:rsidRPr="00467984">
        <w:t>relevant facility fire management and safety systems</w:t>
      </w:r>
    </w:p>
    <w:p w:rsidR="00000000" w:rsidRPr="00467984" w:rsidP="00467984">
      <w:pPr>
        <w:pStyle w:val="ListBullet2"/>
      </w:pPr>
      <w:r w:rsidRPr="00467984">
        <w:t>communication systems</w:t>
      </w:r>
    </w:p>
    <w:p w:rsidR="00000000" w:rsidRPr="00467984" w:rsidP="00467984">
      <w:pPr>
        <w:pStyle w:val="ListBullet2"/>
      </w:pPr>
      <w:r w:rsidRPr="00467984">
        <w:t>emergency response plans</w:t>
      </w:r>
    </w:p>
    <w:p w:rsidR="00000000" w:rsidRPr="00467984" w:rsidP="00467984">
      <w:pPr>
        <w:pStyle w:val="ListBullet2"/>
      </w:pPr>
      <w:r w:rsidRPr="00467984">
        <w:t>release of information to external bodies</w:t>
      </w:r>
    </w:p>
    <w:p w:rsidR="00000000" w:rsidRPr="00467984" w:rsidP="00467984">
      <w:pPr>
        <w:pStyle w:val="ListBullet"/>
      </w:pPr>
      <w:r w:rsidRPr="00467984">
        <w:t>types of incidents that can arise in the work environment and related risks, responses and equipment</w:t>
      </w:r>
    </w:p>
    <w:p w:rsidR="00000000" w:rsidRPr="00467984" w:rsidP="00467984">
      <w:pPr>
        <w:pStyle w:val="ListBullet"/>
      </w:pPr>
      <w:r w:rsidRPr="00467984">
        <w:t xml:space="preserve">the role of stakeholders and specialists </w:t>
      </w:r>
    </w:p>
    <w:p w:rsidR="00000000" w:rsidRPr="00467984" w:rsidP="00467984">
      <w:pPr>
        <w:pStyle w:val="ListBullet"/>
      </w:pPr>
      <w:r w:rsidRPr="00467984">
        <w:t>incident response and disaster planning processes and techniques</w:t>
      </w:r>
    </w:p>
    <w:p w:rsidR="00000000" w:rsidRPr="00467984" w:rsidP="00467984">
      <w:pPr>
        <w:pStyle w:val="ListBullet"/>
      </w:pPr>
      <w:r w:rsidRPr="00467984">
        <w:t>incid</w:t>
      </w:r>
      <w:r w:rsidRPr="00467984">
        <w:t>ent resources and how to access them</w:t>
      </w:r>
    </w:p>
    <w:p w:rsidR="00000000" w:rsidRPr="00467984" w:rsidP="00467984">
      <w:pPr>
        <w:pStyle w:val="ListBullet"/>
      </w:pPr>
      <w:r w:rsidRPr="00467984">
        <w:t>hazard identification and control methods and procedures</w:t>
      </w:r>
    </w:p>
    <w:p w:rsidR="00000000" w:rsidRPr="00467984" w:rsidP="00467984">
      <w:pPr>
        <w:pStyle w:val="ListBullet"/>
      </w:pPr>
      <w:r w:rsidRPr="00467984">
        <w:t>risk management principles and techniques</w:t>
      </w:r>
    </w:p>
    <w:p w:rsidR="00000000" w:rsidRPr="00467984" w:rsidP="00467984">
      <w:pPr>
        <w:pStyle w:val="ListBullet"/>
      </w:pPr>
      <w:r w:rsidRPr="00467984">
        <w:t>structure, roles, capabilities and operational limitations of external resources and agencies</w:t>
      </w:r>
    </w:p>
    <w:p w:rsidR="00000000" w:rsidRPr="00467984" w:rsidP="00467984">
      <w:pPr>
        <w:pStyle w:val="ListBullet"/>
      </w:pPr>
      <w:r w:rsidRPr="00467984">
        <w:t>rescue techniques</w:t>
      </w:r>
    </w:p>
    <w:p w:rsidR="00000000" w:rsidRPr="00467984" w:rsidP="00467984">
      <w:pPr>
        <w:pStyle w:val="ListBullet"/>
      </w:pPr>
      <w:r w:rsidRPr="00467984">
        <w:t>intervention and control techniques for heating, fires and explosions</w:t>
      </w:r>
    </w:p>
    <w:p w:rsidR="00000000" w:rsidRPr="00467984" w:rsidP="00467984">
      <w:pPr>
        <w:pStyle w:val="ListBullet"/>
      </w:pPr>
      <w:r w:rsidRPr="00467984">
        <w:t>insurance policies and considerations</w:t>
      </w:r>
    </w:p>
    <w:p w:rsidR="00000000" w:rsidRPr="00467984" w:rsidP="00467984">
      <w:pPr>
        <w:pStyle w:val="ListBullet"/>
      </w:pPr>
      <w:r w:rsidRPr="00467984">
        <w:t>economic impact and considerations.</w:t>
      </w:r>
    </w:p>
    <w:p w:rsidR="00000000" w:rsidRPr="00467984" w:rsidP="00467984">
      <w:pPr>
        <w:pStyle w:val="AllowPageBreak"/>
      </w:pPr>
    </w:p>
    <w:p w:rsidR="00000000" w:rsidRPr="00467984" w:rsidP="00467984">
      <w:pPr>
        <w:pStyle w:val="Heading1"/>
      </w:pPr>
      <w:bookmarkStart w:id="4" w:name="O_908959"/>
      <w:bookmarkEnd w:id="4"/>
      <w:r w:rsidRPr="00467984">
        <w:t>Assessment Conditions</w:t>
      </w:r>
    </w:p>
    <w:p w:rsidR="00000000" w:rsidRPr="00467984" w:rsidP="00467984">
      <w:pPr>
        <w:pStyle w:val="ListBullet"/>
      </w:pPr>
      <w:r w:rsidRPr="00467984">
        <w:t>The unit should be assessed holistically and the judgement of competence</w:t>
      </w:r>
      <w:r w:rsidRPr="00467984">
        <w:t xml:space="preserve"> based on a holistic assessment of the evidence. </w:t>
      </w:r>
    </w:p>
    <w:p w:rsidR="00000000" w:rsidRPr="00467984" w:rsidP="00467984">
      <w:pPr>
        <w:pStyle w:val="ListBullet"/>
      </w:pPr>
      <w:r w:rsidRPr="00467984">
        <w:t>Performance evidence must include the development of containment strategies for at least two (2) different types of incident, the collection of which is best done from a report and/or folio of evidence draw</w:t>
      </w:r>
      <w:r w:rsidRPr="00467984">
        <w:t>n from:</w:t>
      </w:r>
    </w:p>
    <w:p w:rsidR="00000000" w:rsidRPr="00467984" w:rsidP="00467984">
      <w:pPr>
        <w:pStyle w:val="ListBullet2"/>
      </w:pPr>
      <w:r w:rsidRPr="00467984">
        <w:t>a single project which provides sufficient evidence of the requirements of all the elements and performance criteria</w:t>
      </w:r>
    </w:p>
    <w:p w:rsidR="00000000" w:rsidRPr="00467984" w:rsidP="00467984">
      <w:pPr>
        <w:pStyle w:val="ListBullet2"/>
      </w:pPr>
      <w:r w:rsidRPr="00467984">
        <w:t>multiple smaller projects which together provide sufficient evidence of the requirements of all the elements and performance crite</w:t>
      </w:r>
      <w:r w:rsidRPr="00467984">
        <w:t>ria.</w:t>
      </w:r>
    </w:p>
    <w:p w:rsidR="00000000" w:rsidRPr="00467984" w:rsidP="00467984">
      <w:pPr>
        <w:pStyle w:val="ListBullet"/>
      </w:pPr>
      <w:r w:rsidRPr="00467984">
        <w:t>A third-party report, or similar, may be needed to testify to the work done by the individual, particularly when the project has been done as part of a project team.</w:t>
      </w:r>
    </w:p>
    <w:p w:rsidR="00000000" w:rsidRPr="00467984" w:rsidP="00467984">
      <w:pPr>
        <w:pStyle w:val="ListBullet"/>
      </w:pPr>
      <w:r w:rsidRPr="00467984">
        <w:t xml:space="preserve">Assessment should use a real project in an operational workplace. Where this is not </w:t>
      </w:r>
      <w:r w:rsidRPr="00467984">
        <w:t>possible or practical, assessment must occur using a sufficiently rigorous simulated environment reflecting realistic operational workplace conditions. This must cover all aspects of workplace performance, including environment, task skills, task managemen</w:t>
      </w:r>
      <w:r w:rsidRPr="00467984">
        <w:t>t skills, contingency management skills and job role environment skills.</w:t>
      </w:r>
    </w:p>
    <w:p w:rsidR="00000000" w:rsidRPr="00467984" w:rsidP="00467984">
      <w:pPr>
        <w:pStyle w:val="ListBullet"/>
      </w:pPr>
      <w:r w:rsidRPr="00467984">
        <w:t>Knowledge evidence may be collected concurrently with performance evidence (provided a record is kept) or through an independent process, such as workbooks, written assessments or int</w:t>
      </w:r>
      <w:r w:rsidRPr="00467984">
        <w:t>erviews (provided a record is kept).</w:t>
      </w:r>
    </w:p>
    <w:p w:rsidR="00000000" w:rsidRPr="00467984" w:rsidP="00467984">
      <w:pPr>
        <w:pStyle w:val="ListBullet"/>
      </w:pPr>
      <w:r w:rsidRPr="00467984">
        <w:t>Assessment processes and techniques must be appropriate to the language, literacy and numeracy requirements of the work being performed and the needs of the candidate.</w:t>
      </w:r>
    </w:p>
    <w:p w:rsidR="00000000" w:rsidRPr="00467984" w:rsidP="00467984">
      <w:pPr>
        <w:pStyle w:val="ListBullet"/>
      </w:pPr>
      <w:r w:rsidRPr="00467984">
        <w:t>Conditions for assessment must include access to al</w:t>
      </w:r>
      <w:r w:rsidRPr="00467984">
        <w:t>l tools, equipment, materials and documentation required, including relevant workplace procedures, product and manufacturing specifications associated with this unit.</w:t>
      </w:r>
    </w:p>
    <w:p w:rsidR="00000000" w:rsidRPr="00467984" w:rsidP="00467984">
      <w:pPr>
        <w:pStyle w:val="ListBullet"/>
      </w:pPr>
      <w:r w:rsidRPr="00467984">
        <w:t>Foundation s</w:t>
      </w:r>
      <w:r w:rsidRPr="00467984">
        <w:t>kills are integral to competent performance of the unit and should not be assessed separately.</w:t>
      </w:r>
    </w:p>
    <w:p w:rsidR="00000000" w:rsidRPr="00467984" w:rsidP="00467984">
      <w:pPr>
        <w:pStyle w:val="ListBullet"/>
      </w:pPr>
      <w:r w:rsidRPr="00467984">
        <w:t>Assessors must satisfy the assessor competency requirements that are in place at the time of the assessment as set by the VET regulator.</w:t>
      </w:r>
    </w:p>
    <w:p w:rsidR="00000000" w:rsidRPr="00467984" w:rsidP="00467984">
      <w:pPr>
        <w:pStyle w:val="ListBullet"/>
      </w:pPr>
      <w:r w:rsidRPr="00467984">
        <w:t>In addition, the assesso</w:t>
      </w:r>
      <w:r w:rsidRPr="00467984">
        <w:t>r or anyone acting in subject matter expert role in assessment must demonstrate both technical competency and currency. If the assessor cannot demonstrate technical competency and currency they must assess with a subject matter expert who does meet these r</w:t>
      </w:r>
      <w:r w:rsidRPr="00467984">
        <w:t xml:space="preserve">equirements. </w:t>
      </w:r>
    </w:p>
    <w:p w:rsidR="00000000" w:rsidRPr="00467984" w:rsidP="00467984">
      <w:pPr>
        <w:pStyle w:val="ListBullet"/>
      </w:pPr>
      <w:r w:rsidRPr="00467984">
        <w:t>Technical competence can be demonstrated through one or more of:</w:t>
      </w:r>
    </w:p>
    <w:p w:rsidR="00000000" w:rsidRPr="00467984" w:rsidP="00467984">
      <w:pPr>
        <w:pStyle w:val="ListBullet2"/>
      </w:pPr>
      <w:r w:rsidRPr="00467984">
        <w:t xml:space="preserve">relevant VET or other qualification/Statement of Attainment </w:t>
      </w:r>
    </w:p>
    <w:p w:rsidR="00000000" w:rsidRPr="00467984" w:rsidP="00467984">
      <w:pPr>
        <w:pStyle w:val="ListBullet2"/>
      </w:pPr>
      <w:r w:rsidRPr="00467984">
        <w:t>appropriate workplace experience undertaking the type of work being assessed under routine and non-routine conditio</w:t>
      </w:r>
      <w:r w:rsidRPr="00467984">
        <w:t xml:space="preserve">ns </w:t>
      </w:r>
    </w:p>
    <w:p w:rsidR="00000000" w:rsidRPr="00467984" w:rsidP="00467984">
      <w:pPr>
        <w:pStyle w:val="ListBullet2"/>
      </w:pPr>
      <w:r w:rsidRPr="00467984">
        <w:t>appropriate workplace experience supervising/evaluating the type of work being assessed under routine and non-routine conditions</w:t>
      </w:r>
    </w:p>
    <w:p w:rsidR="00000000" w:rsidRPr="00467984" w:rsidP="00467984">
      <w:pPr>
        <w:pStyle w:val="ListBullet"/>
      </w:pPr>
      <w:r w:rsidRPr="00467984">
        <w:t>Currency can be demonstrated through one or more of:</w:t>
      </w:r>
    </w:p>
    <w:p w:rsidR="00000000" w:rsidRPr="00467984" w:rsidP="00467984">
      <w:pPr>
        <w:pStyle w:val="ListBullet2"/>
      </w:pPr>
      <w:r w:rsidRPr="00467984">
        <w:t>being currently employed undertaking the type of work being assessed</w:t>
      </w:r>
      <w:r w:rsidRPr="00467984">
        <w:t xml:space="preserve"> </w:t>
      </w:r>
    </w:p>
    <w:p w:rsidR="00000000" w:rsidRPr="00467984" w:rsidP="00467984">
      <w:pPr>
        <w:pStyle w:val="ListBullet2"/>
      </w:pPr>
      <w:r w:rsidRPr="00467984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467984" w:rsidP="00467984">
      <w:pPr>
        <w:pStyle w:val="ListBullet2"/>
      </w:pPr>
      <w:r w:rsidRPr="00467984">
        <w:t>having consulted/had contact with an organisation undertaking the type of work b</w:t>
      </w:r>
      <w:r w:rsidRPr="00467984">
        <w:t xml:space="preserve">eing assessed within the last twelve months, the consultation/contact being related to assessment </w:t>
      </w:r>
    </w:p>
    <w:p w:rsidR="00000000" w:rsidRPr="00467984" w:rsidP="00467984">
      <w:pPr>
        <w:pStyle w:val="ListBullet2"/>
      </w:pPr>
      <w:r w:rsidRPr="00467984">
        <w:t xml:space="preserve">conducting on-the-job training/assessments of the type of work being assessed </w:t>
      </w:r>
    </w:p>
    <w:p w:rsidR="00000000" w:rsidRPr="00467984" w:rsidP="009B246B">
      <w:pPr>
        <w:pStyle w:val="BodyText"/>
      </w:pPr>
      <w:r w:rsidRPr="00467984">
        <w:t>being an active member of a relevant professional body and participating in ac</w:t>
      </w:r>
      <w:r w:rsidRPr="00467984">
        <w:t>tivities relevant to the assessment of this type of work</w:t>
      </w:r>
    </w:p>
    <w:p w:rsidR="00000000" w:rsidRPr="00467984" w:rsidP="00467984">
      <w:pPr>
        <w:pStyle w:val="Heading1"/>
      </w:pPr>
      <w:bookmarkStart w:id="5" w:name="O_908957"/>
      <w:bookmarkEnd w:id="5"/>
      <w:r w:rsidRPr="00467984">
        <w:t>Links</w:t>
      </w:r>
    </w:p>
    <w:p w:rsidR="00000000" w:rsidRPr="00467984" w:rsidP="009B246B">
      <w:pPr>
        <w:pStyle w:val="BodyText"/>
      </w:pPr>
      <w:r w:rsidRPr="004679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C31F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67984" w:rsidP="00467984"/>
    <w:sectPr w:rsidSect="004679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84" w:rsidRPr="009B246B" w:rsidP="009B2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6B" w:rsidP="00467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46B" w:rsidP="00467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246B" w:rsidP="00467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984" w:rsidRPr="009B246B" w:rsidP="009B2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6B" w:rsidRPr="002D2AF8" w:rsidP="00467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PMAOMIR512 Establish incident response preparedness and response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B246B" w:rsidP="00467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F0F9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C0F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0A2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984"/>
  </w:style>
  <w:style w:type="character" w:customStyle="1" w:styleId="Heading1Char">
    <w:name w:val="Heading 1 Char"/>
    <w:basedOn w:val="DefaultParagraphFont"/>
    <w:link w:val="Heading1"/>
    <w:rsid w:val="00467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9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9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79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7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9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9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984"/>
    <w:rPr>
      <w:b/>
      <w:spacing w:val="0"/>
    </w:rPr>
  </w:style>
  <w:style w:type="paragraph" w:customStyle="1" w:styleId="SuperTitle">
    <w:name w:val="SuperTitle"/>
    <w:basedOn w:val="Title"/>
    <w:rsid w:val="00467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9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984"/>
    <w:rPr>
      <w:i/>
    </w:rPr>
  </w:style>
  <w:style w:type="paragraph" w:styleId="Caption">
    <w:name w:val="caption"/>
    <w:basedOn w:val="BodyText"/>
    <w:next w:val="Normal"/>
    <w:qFormat/>
    <w:rsid w:val="00467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984"/>
  </w:style>
  <w:style w:type="paragraph" w:styleId="TableofFigures">
    <w:name w:val="table of figures"/>
    <w:basedOn w:val="Normal"/>
    <w:next w:val="Normal"/>
    <w:semiHidden/>
    <w:rsid w:val="00467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9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984"/>
    <w:rPr>
      <w:rFonts w:ascii="Wingdings" w:hAnsi="Wingdings"/>
    </w:rPr>
  </w:style>
  <w:style w:type="paragraph" w:customStyle="1" w:styleId="TableHeading">
    <w:name w:val="Table Heading"/>
    <w:basedOn w:val="HeadingBase"/>
    <w:rsid w:val="00467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984"/>
    <w:rPr>
      <w:color w:val="0033CC"/>
      <w:u w:val="none"/>
    </w:rPr>
  </w:style>
  <w:style w:type="paragraph" w:customStyle="1" w:styleId="BodyTextRight">
    <w:name w:val="Body Text Right"/>
    <w:basedOn w:val="BodyText"/>
    <w:rsid w:val="00467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9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984"/>
    <w:rPr>
      <w:sz w:val="32"/>
    </w:rPr>
  </w:style>
  <w:style w:type="paragraph" w:customStyle="1" w:styleId="HeadingProcedure">
    <w:name w:val="Heading Procedure"/>
    <w:basedOn w:val="HeadingBase"/>
    <w:next w:val="Normal"/>
    <w:rsid w:val="00467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984"/>
    <w:pPr>
      <w:spacing w:before="60" w:after="60"/>
    </w:pPr>
  </w:style>
  <w:style w:type="paragraph" w:styleId="ListContinue">
    <w:name w:val="List Continue"/>
    <w:basedOn w:val="List"/>
    <w:rsid w:val="00467984"/>
    <w:pPr>
      <w:ind w:firstLine="0"/>
    </w:pPr>
  </w:style>
  <w:style w:type="paragraph" w:customStyle="1" w:styleId="ListNote">
    <w:name w:val="List Note"/>
    <w:basedOn w:val="List"/>
    <w:rsid w:val="00467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984"/>
    <w:rPr>
      <w:rFonts w:ascii="Courier New" w:hAnsi="Courier New"/>
    </w:rPr>
  </w:style>
  <w:style w:type="paragraph" w:customStyle="1" w:styleId="NoteBullet">
    <w:name w:val="Note Bullet"/>
    <w:basedOn w:val="Note"/>
    <w:rsid w:val="00467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9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984"/>
    <w:rPr>
      <w:b/>
      <w:smallCaps/>
    </w:rPr>
  </w:style>
  <w:style w:type="paragraph" w:customStyle="1" w:styleId="TableListNumber">
    <w:name w:val="Table List Number"/>
    <w:basedOn w:val="ListNumber"/>
    <w:rsid w:val="00467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984"/>
    <w:pPr>
      <w:numPr>
        <w:numId w:val="9"/>
      </w:numPr>
    </w:pPr>
  </w:style>
  <w:style w:type="paragraph" w:customStyle="1" w:styleId="ListAlpha2">
    <w:name w:val="List Alpha 2"/>
    <w:basedOn w:val="List2"/>
    <w:rsid w:val="00467984"/>
    <w:pPr>
      <w:numPr>
        <w:numId w:val="8"/>
      </w:numPr>
    </w:pPr>
  </w:style>
  <w:style w:type="paragraph" w:styleId="List2">
    <w:name w:val="List 2"/>
    <w:basedOn w:val="BodyText"/>
    <w:rsid w:val="00467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9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9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984"/>
    <w:pPr>
      <w:numPr>
        <w:numId w:val="4"/>
      </w:numPr>
    </w:pPr>
  </w:style>
  <w:style w:type="paragraph" w:styleId="ListContinue2">
    <w:name w:val="List Continue 2"/>
    <w:basedOn w:val="List2"/>
    <w:rsid w:val="00467984"/>
    <w:pPr>
      <w:ind w:firstLine="0"/>
    </w:pPr>
  </w:style>
  <w:style w:type="paragraph" w:styleId="ListContinue3">
    <w:name w:val="List Continue 3"/>
    <w:basedOn w:val="List3"/>
    <w:rsid w:val="00467984"/>
    <w:pPr>
      <w:ind w:left="1021" w:firstLine="0"/>
    </w:pPr>
  </w:style>
  <w:style w:type="paragraph" w:styleId="ListContinue4">
    <w:name w:val="List Continue 4"/>
    <w:basedOn w:val="List4"/>
    <w:rsid w:val="00467984"/>
    <w:pPr>
      <w:ind w:firstLine="0"/>
    </w:pPr>
  </w:style>
  <w:style w:type="paragraph" w:styleId="ListContinue5">
    <w:name w:val="List Continue 5"/>
    <w:basedOn w:val="List5"/>
    <w:rsid w:val="00467984"/>
    <w:pPr>
      <w:ind w:firstLine="0"/>
    </w:pPr>
  </w:style>
  <w:style w:type="paragraph" w:styleId="ListNumber3">
    <w:name w:val="List Number 3"/>
    <w:basedOn w:val="List3"/>
    <w:rsid w:val="00467984"/>
    <w:pPr>
      <w:numPr>
        <w:numId w:val="5"/>
      </w:numPr>
    </w:pPr>
  </w:style>
  <w:style w:type="paragraph" w:styleId="ListNumber4">
    <w:name w:val="List Number 4"/>
    <w:basedOn w:val="List4"/>
    <w:rsid w:val="00467984"/>
    <w:pPr>
      <w:numPr>
        <w:numId w:val="6"/>
      </w:numPr>
    </w:pPr>
  </w:style>
  <w:style w:type="paragraph" w:styleId="ListNumber5">
    <w:name w:val="List Number 5"/>
    <w:basedOn w:val="List5"/>
    <w:rsid w:val="00467984"/>
    <w:pPr>
      <w:numPr>
        <w:numId w:val="7"/>
      </w:numPr>
    </w:pPr>
  </w:style>
  <w:style w:type="paragraph" w:styleId="BlockText">
    <w:name w:val="Block Text"/>
    <w:basedOn w:val="Normal"/>
    <w:rsid w:val="00467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984"/>
    <w:rPr>
      <w:sz w:val="16"/>
      <w:vertAlign w:val="superscript"/>
    </w:rPr>
  </w:style>
  <w:style w:type="character" w:customStyle="1" w:styleId="Symbols">
    <w:name w:val="Symbols"/>
    <w:basedOn w:val="DefaultParagraphFont"/>
    <w:rsid w:val="00467984"/>
    <w:rPr>
      <w:rFonts w:ascii="Symbol" w:hAnsi="Symbol"/>
    </w:rPr>
  </w:style>
  <w:style w:type="character" w:customStyle="1" w:styleId="MenuOptions">
    <w:name w:val="Menu Options"/>
    <w:basedOn w:val="DefaultParagraphFont"/>
    <w:rsid w:val="00467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984"/>
    <w:rPr>
      <w:b/>
    </w:rPr>
  </w:style>
  <w:style w:type="character" w:customStyle="1" w:styleId="Underlined">
    <w:name w:val="Underlined"/>
    <w:basedOn w:val="DefaultParagraphFont"/>
    <w:rsid w:val="00467984"/>
    <w:rPr>
      <w:u w:val="single"/>
    </w:rPr>
  </w:style>
  <w:style w:type="paragraph" w:customStyle="1" w:styleId="TableBodyTextRight">
    <w:name w:val="Table Body Text Right"/>
    <w:basedOn w:val="TableBodyText"/>
    <w:rsid w:val="00467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984"/>
    <w:rPr>
      <w:sz w:val="18"/>
    </w:rPr>
  </w:style>
  <w:style w:type="paragraph" w:customStyle="1" w:styleId="BodySmallRight">
    <w:name w:val="Body Small Right"/>
    <w:basedOn w:val="BodyTextRight"/>
    <w:rsid w:val="00467984"/>
    <w:rPr>
      <w:sz w:val="18"/>
      <w:szCs w:val="18"/>
    </w:rPr>
  </w:style>
  <w:style w:type="paragraph" w:customStyle="1" w:styleId="MarginEdition">
    <w:name w:val="Margin Edition"/>
    <w:basedOn w:val="MarginNote"/>
    <w:rsid w:val="00467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984"/>
    <w:rPr>
      <w:sz w:val="2"/>
      <w:szCs w:val="2"/>
    </w:rPr>
  </w:style>
  <w:style w:type="character" w:customStyle="1" w:styleId="Small">
    <w:name w:val="Small"/>
    <w:basedOn w:val="DefaultParagraphFont"/>
    <w:rsid w:val="00467984"/>
    <w:rPr>
      <w:sz w:val="16"/>
    </w:rPr>
  </w:style>
  <w:style w:type="paragraph" w:customStyle="1" w:styleId="WideTable">
    <w:name w:val="Wide Table"/>
    <w:basedOn w:val="Normal"/>
    <w:rsid w:val="00467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984"/>
  </w:style>
  <w:style w:type="paragraph" w:styleId="Quote">
    <w:name w:val="Quote"/>
    <w:basedOn w:val="Heading1"/>
    <w:link w:val="QuoteChar"/>
    <w:qFormat/>
    <w:rsid w:val="00467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984"/>
    <w:pPr>
      <w:pageBreakBefore/>
    </w:pPr>
  </w:style>
  <w:style w:type="paragraph" w:customStyle="1" w:styleId="Border">
    <w:name w:val="Border"/>
    <w:basedOn w:val="Normal"/>
    <w:qFormat/>
    <w:rsid w:val="00467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984"/>
    <w:rPr>
      <w:u w:val="single"/>
    </w:rPr>
  </w:style>
  <w:style w:type="character" w:customStyle="1" w:styleId="BoldandItalics">
    <w:name w:val="Bold and Italics"/>
    <w:qFormat/>
    <w:rsid w:val="00467984"/>
    <w:rPr>
      <w:b/>
      <w:i/>
      <w:u w:val="none"/>
    </w:rPr>
  </w:style>
  <w:style w:type="paragraph" w:styleId="BalloonText">
    <w:name w:val="Balloon Text"/>
    <w:basedOn w:val="Normal"/>
    <w:link w:val="BalloonTextChar"/>
    <w:rsid w:val="00467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984"/>
    <w:pPr>
      <w:spacing w:before="0" w:after="0"/>
    </w:pPr>
  </w:style>
  <w:style w:type="paragraph" w:customStyle="1" w:styleId="BodyTextBold">
    <w:name w:val="Body Text Bold"/>
    <w:basedOn w:val="BodyText"/>
    <w:qFormat/>
    <w:rsid w:val="00467984"/>
    <w:rPr>
      <w:b/>
    </w:rPr>
  </w:style>
  <w:style w:type="character" w:styleId="Hyperlink">
    <w:name w:val="Hyperlink"/>
    <w:basedOn w:val="DefaultParagraphFont"/>
    <w:uiPriority w:val="99"/>
    <w:unhideWhenUsed/>
    <w:rsid w:val="009B2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5088</Characters>
  <Application>Microsoft Office Word</Application>
  <DocSecurity>0</DocSecurity>
  <Lines>108</Lines>
  <Paragraphs>71</Paragraphs>
  <ScaleCrop>false</ScaleCrop>
  <Company>Author-it Software Corporation Ltd.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PMAOMIR512 Establish incident response preparedness and response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