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C3F" w:rsidP="000C6C3F">
      <w:pPr>
        <w:pStyle w:val="Title"/>
      </w:pPr>
      <w:r>
        <w:fldChar w:fldCharType="begin"/>
      </w:r>
      <w:r>
        <w:instrText xml:space="preserve"> TITLE   \* MERGEFORMAT </w:instrText>
      </w:r>
      <w:r>
        <w:fldChar w:fldCharType="separate"/>
      </w:r>
      <w:r>
        <w:t>PMAOMIR449 Monitor legal compliance obligations during incidents</w:t>
      </w:r>
      <w:r>
        <w:fldChar w:fldCharType="end"/>
      </w:r>
    </w:p>
    <w:p w:rsidR="000C6C3F" w:rsidP="000C6C3F">
      <w:pPr>
        <w:pStyle w:val="Version"/>
        <w:sectPr w:rsidSect="00B23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983" w:rsidP="00B23983">
      <w:pPr>
        <w:pStyle w:val="SuperHeading"/>
      </w:pPr>
      <w:r w:rsidRPr="00B23983">
        <w:t>PMAOMIR449 Mo</w:t>
      </w:r>
      <w:r w:rsidRPr="00B23983">
        <w:t>nitor legal compliance obligations during incidents</w:t>
      </w:r>
    </w:p>
    <w:p w:rsidR="00000000" w:rsidRPr="00B23983" w:rsidP="00B23983">
      <w:pPr>
        <w:pStyle w:val="Heading1"/>
      </w:pPr>
      <w:bookmarkStart w:id="1" w:name="O_908943"/>
      <w:bookmarkEnd w:id="1"/>
      <w:r w:rsidRPr="00B23983">
        <w:t>Modification History</w:t>
      </w:r>
    </w:p>
    <w:p w:rsidR="00000000" w:rsidRPr="00B23983" w:rsidP="000C6C3F">
      <w:pPr>
        <w:pStyle w:val="BodyText"/>
      </w:pPr>
      <w:r w:rsidRPr="00B23983">
        <w:t>Release 1. Supersedes and is equivalent to PMAOMIR449B Monitor legal compliance obligations during incidents</w:t>
      </w:r>
    </w:p>
    <w:p w:rsidR="00000000" w:rsidRPr="00B23983" w:rsidP="00B23983">
      <w:pPr>
        <w:pStyle w:val="Heading1"/>
      </w:pPr>
      <w:bookmarkStart w:id="2" w:name="O_908951"/>
      <w:bookmarkEnd w:id="2"/>
      <w:r w:rsidRPr="00B23983">
        <w:t>Application</w:t>
      </w:r>
    </w:p>
    <w:p w:rsidR="00000000" w:rsidRPr="00B23983" w:rsidP="000C6C3F">
      <w:pPr>
        <w:pStyle w:val="BodyText"/>
      </w:pPr>
      <w:r w:rsidRPr="00B23983">
        <w:t>This unit of competency covers the skills and knowledge required to oversee the operations of an incident management or crisis management team to ensure compliance with legislation and/or regulations.</w:t>
      </w:r>
    </w:p>
    <w:p w:rsidR="00000000" w:rsidRPr="00B23983" w:rsidP="000C6C3F">
      <w:pPr>
        <w:pStyle w:val="BodyText"/>
      </w:pPr>
      <w:r w:rsidRPr="00B23983">
        <w:t>An incident is an event which causes, or could have ca</w:t>
      </w:r>
      <w:r w:rsidRPr="00B23983">
        <w:t>used, injury or illness; damage to plant, material or the environment; disruption to production or public alarm.</w:t>
      </w:r>
    </w:p>
    <w:p w:rsidR="00000000" w:rsidRPr="00B23983" w:rsidP="000C6C3F">
      <w:pPr>
        <w:pStyle w:val="BodyText"/>
      </w:pPr>
      <w:r w:rsidRPr="00B23983">
        <w:t xml:space="preserve">An incident is an unintended event, or an unintended consequence of an intended event, such as: </w:t>
      </w:r>
    </w:p>
    <w:p w:rsidR="00000000" w:rsidRPr="00B23983" w:rsidP="00B23983">
      <w:pPr>
        <w:pStyle w:val="ListBullet"/>
      </w:pPr>
      <w:r w:rsidRPr="00B23983">
        <w:t>fire and explosion</w:t>
      </w:r>
    </w:p>
    <w:p w:rsidR="00000000" w:rsidRPr="00B23983" w:rsidP="00B23983">
      <w:pPr>
        <w:pStyle w:val="ListBullet"/>
      </w:pPr>
      <w:r w:rsidRPr="00B23983">
        <w:t>loss of containment</w:t>
      </w:r>
    </w:p>
    <w:p w:rsidR="00000000" w:rsidRPr="00B23983" w:rsidP="00B23983">
      <w:pPr>
        <w:pStyle w:val="ListBullet"/>
      </w:pPr>
      <w:r w:rsidRPr="00B23983">
        <w:t>excur</w:t>
      </w:r>
      <w:r w:rsidRPr="00B23983">
        <w:t>sions above/below acceptable limits for emissions or plant conditions</w:t>
      </w:r>
    </w:p>
    <w:p w:rsidR="00000000" w:rsidRPr="00B23983" w:rsidP="00B23983">
      <w:pPr>
        <w:pStyle w:val="ListBullet"/>
      </w:pPr>
      <w:r w:rsidRPr="00B23983">
        <w:t>excursions above occupational hygiene or biological exposure limits</w:t>
      </w:r>
    </w:p>
    <w:p w:rsidR="00000000" w:rsidRPr="00B23983" w:rsidP="00B23983">
      <w:pPr>
        <w:pStyle w:val="ListBullet"/>
      </w:pPr>
      <w:r w:rsidRPr="00B23983">
        <w:t>non-compliance with regulatory requirements</w:t>
      </w:r>
    </w:p>
    <w:p w:rsidR="00000000" w:rsidRPr="00B23983" w:rsidP="00B23983">
      <w:pPr>
        <w:pStyle w:val="ListBullet"/>
      </w:pPr>
      <w:r w:rsidRPr="00B23983">
        <w:t>security breaches</w:t>
      </w:r>
    </w:p>
    <w:p w:rsidR="00000000" w:rsidRPr="00B23983" w:rsidP="00B23983">
      <w:pPr>
        <w:pStyle w:val="ListBullet"/>
      </w:pPr>
      <w:r w:rsidRPr="00B23983">
        <w:t>failure to follow procedures</w:t>
      </w:r>
    </w:p>
    <w:p w:rsidR="00000000" w:rsidRPr="00B23983" w:rsidP="00B23983">
      <w:pPr>
        <w:pStyle w:val="ListBullet"/>
      </w:pPr>
      <w:r w:rsidRPr="00B23983">
        <w:t>complaints</w:t>
      </w:r>
    </w:p>
    <w:p w:rsidR="00000000" w:rsidRPr="00B23983" w:rsidP="00B23983">
      <w:pPr>
        <w:pStyle w:val="ListBullet"/>
      </w:pPr>
      <w:r w:rsidRPr="00B23983">
        <w:t>vehicle incident</w:t>
      </w:r>
      <w:r w:rsidRPr="00B23983">
        <w:t>s</w:t>
      </w:r>
    </w:p>
    <w:p w:rsidR="00000000" w:rsidRPr="00B23983" w:rsidP="00B23983">
      <w:pPr>
        <w:pStyle w:val="ListBullet"/>
      </w:pPr>
      <w:r w:rsidRPr="00B23983">
        <w:t>on/off-site incidents.</w:t>
      </w:r>
    </w:p>
    <w:p w:rsidR="00000000" w:rsidRPr="00B23983" w:rsidP="00B23983">
      <w:pPr>
        <w:pStyle w:val="BodyText"/>
      </w:pPr>
    </w:p>
    <w:p w:rsidR="00000000" w:rsidRPr="00B23983" w:rsidP="000C6C3F">
      <w:pPr>
        <w:pStyle w:val="BodyText"/>
      </w:pPr>
      <w:r w:rsidRPr="00B23983">
        <w:t xml:space="preserve">This unit of competency applies to enterprise legal officers, environmental officers, safety officers or those in similar roles who are required to advise the management team on potential and actual breaches of legislation in the </w:t>
      </w:r>
      <w:r w:rsidRPr="00B23983">
        <w:t xml:space="preserve">development of incident response plans, implement and evaluate incident response activities, submit organisational reports and prepare for legal proceedings on compliance issues. </w:t>
      </w:r>
    </w:p>
    <w:p w:rsidR="00000000" w:rsidRPr="00B23983" w:rsidP="000C6C3F">
      <w:pPr>
        <w:pStyle w:val="BodyText"/>
      </w:pPr>
      <w:r w:rsidRPr="00B23983">
        <w:t>This unit of competency applies to an individual working alone or as p</w:t>
      </w:r>
      <w:r w:rsidRPr="00B23983">
        <w:t>art of an incident management team and working in liaison with other members of the incident management team and the incident manager, as appropriate.</w:t>
      </w:r>
    </w:p>
    <w:p w:rsidR="00000000" w:rsidRPr="00B23983" w:rsidP="000C6C3F">
      <w:pPr>
        <w:pStyle w:val="BodyText"/>
      </w:pPr>
      <w:r w:rsidRPr="00B23983">
        <w:t>No licensing, legislative or certification requirements apply to this unit at the time of publication.</w:t>
      </w:r>
    </w:p>
    <w:p w:rsidR="00000000" w:rsidRPr="00B23983" w:rsidP="00B23983">
      <w:pPr>
        <w:pStyle w:val="Heading1"/>
      </w:pPr>
      <w:bookmarkStart w:id="3" w:name="O_908950"/>
      <w:bookmarkEnd w:id="3"/>
      <w:r w:rsidRPr="00B23983">
        <w:t>Pre-requisite Unit</w:t>
      </w:r>
    </w:p>
    <w:p w:rsidR="00000000" w:rsidRPr="00B23983" w:rsidP="000C6C3F">
      <w:pPr>
        <w:pStyle w:val="BodyText"/>
      </w:pPr>
      <w:r w:rsidRPr="00B23983">
        <w:t>Nil</w:t>
      </w:r>
    </w:p>
    <w:p w:rsidR="00000000" w:rsidRPr="00B23983" w:rsidP="00B23983">
      <w:pPr>
        <w:pStyle w:val="Heading1"/>
      </w:pPr>
      <w:bookmarkStart w:id="4" w:name="O_908949"/>
      <w:bookmarkEnd w:id="4"/>
      <w:r w:rsidRPr="00B23983">
        <w:t>Competency Field</w:t>
      </w:r>
    </w:p>
    <w:p w:rsidR="00000000" w:rsidRPr="00B23983" w:rsidP="000C6C3F">
      <w:pPr>
        <w:pStyle w:val="BodyText"/>
      </w:pPr>
      <w:r w:rsidRPr="00B23983">
        <w:t>Incident readiness and response</w:t>
      </w:r>
    </w:p>
    <w:p w:rsidR="00000000" w:rsidRPr="00B23983" w:rsidP="00B23983">
      <w:pPr>
        <w:pStyle w:val="Heading1"/>
      </w:pPr>
      <w:bookmarkStart w:id="5" w:name="O_908948"/>
      <w:bookmarkEnd w:id="5"/>
      <w:r w:rsidRPr="00B23983">
        <w:t>Unit Sector</w:t>
      </w:r>
    </w:p>
    <w:p w:rsidR="00000000" w:rsidRPr="00B23983" w:rsidP="00B23983">
      <w:pPr>
        <w:pStyle w:val="Heading1"/>
      </w:pPr>
      <w:bookmarkStart w:id="6" w:name="O_908947"/>
      <w:bookmarkEnd w:id="6"/>
      <w:r w:rsidRPr="00B239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39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Performance criteria describe</w:t>
            </w:r>
            <w:r w:rsidRPr="00B23983">
              <w:t xml:space="preserve"> the performance needed to demonstrate achievement of the element.</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1</w:t>
            </w:r>
          </w:p>
        </w:tc>
        <w:tc>
          <w:tcPr>
            <w:tcW w:w="1962" w:type="dxa"/>
            <w:vMerge w:val="restart"/>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Conduct routine review of incident response plans</w:t>
            </w: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1.1</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Identify legislation, regulation and licencing relevant to possible incident scenarios</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1.2</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Determine possible compliance issues with planned responses</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1.3</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Negotiate alternative response plans which do not raise compliance issues</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1.4</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Ensure plans, equipment and training are modified to reflect changed response plans</w:t>
            </w:r>
          </w:p>
        </w:tc>
      </w:tr>
      <w:tr w:rsidTr="00B23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3983">
            <w:pPr>
              <w:pStyle w:val="BodyText"/>
              <w:rPr>
                <w:lang w:val="en-NZ"/>
              </w:rPr>
            </w:pP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2</w:t>
            </w:r>
          </w:p>
        </w:tc>
        <w:tc>
          <w:tcPr>
            <w:tcW w:w="1962" w:type="dxa"/>
            <w:vMerge w:val="restart"/>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Oversee the operations of the incident management team during the incident</w:t>
            </w: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2.1</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Ensure that the incident team is aware of legislation that needs to be complied with during the incident</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2.2</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Obtain information concerning legal ramifications as required in accordance with organisation</w:t>
            </w:r>
            <w:r>
              <w:t>’</w:t>
            </w:r>
            <w:r w:rsidRPr="00B23983">
              <w:t>s policies</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2.3</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Ensure accurate recording of all relevant details of all agreed actions</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2.4</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Assess actions taken and proposed against relevant legislation to</w:t>
            </w:r>
            <w:r w:rsidRPr="00B23983">
              <w:t xml:space="preserve"> determine compliance and possible impacts on the company</w:t>
            </w:r>
          </w:p>
        </w:tc>
      </w:tr>
      <w:tr w:rsidTr="00B23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3983">
            <w:pPr>
              <w:pStyle w:val="BodyText"/>
              <w:rPr>
                <w:lang w:val="en-NZ"/>
              </w:rPr>
            </w:pP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3</w:t>
            </w:r>
          </w:p>
        </w:tc>
        <w:tc>
          <w:tcPr>
            <w:tcW w:w="1962" w:type="dxa"/>
            <w:vMerge w:val="restart"/>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Advise appropriate action to facilitate compliance during the incident</w:t>
            </w: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3.1</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Undertake consultations with regulatory authorities to facilitate minimal impact resolutions</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3.2</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Advise manage</w:t>
            </w:r>
            <w:r w:rsidRPr="00B23983">
              <w:t>ment of options that are available to remain compliant</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3.3</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Provide advice on actions to achieve compliance</w:t>
            </w:r>
          </w:p>
        </w:tc>
      </w:tr>
      <w:tr w:rsidTr="00B23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3983">
            <w:pPr>
              <w:pStyle w:val="BodyText"/>
              <w:rPr>
                <w:lang w:val="en-NZ"/>
              </w:rPr>
            </w:pP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4</w:t>
            </w:r>
          </w:p>
        </w:tc>
        <w:tc>
          <w:tcPr>
            <w:tcW w:w="1962" w:type="dxa"/>
            <w:vMerge w:val="restart"/>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Monitor actions taken to achieve compliance during the incident</w:t>
            </w: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4.1</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Monitor company actions to resolve incidents and achie</w:t>
            </w:r>
            <w:r w:rsidRPr="00B23983">
              <w:t>ve compliance or remain compliant</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4.2</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Document actions taken by the organisation to remain compliant</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4.3</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Prepare reports for management regarding outcomes from the incident and any material breaches of legislation that have occurred</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4.4</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Prepare for possible legal proceedings within required timeframe</w:t>
            </w:r>
          </w:p>
        </w:tc>
      </w:tr>
      <w:tr w:rsidTr="00B23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3983">
            <w:pPr>
              <w:pStyle w:val="BodyText"/>
              <w:rPr>
                <w:lang w:val="en-NZ"/>
              </w:rPr>
            </w:pP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5</w:t>
            </w:r>
          </w:p>
        </w:tc>
        <w:tc>
          <w:tcPr>
            <w:tcW w:w="1962" w:type="dxa"/>
            <w:vMerge w:val="restart"/>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Seek improvements to incident responses post incident</w:t>
            </w: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5.1</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Identify possible areas for improvement</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5.2</w:t>
            </w:r>
          </w:p>
        </w:tc>
        <w:tc>
          <w:tcPr>
            <w:tcW w:w="561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Develop improved responses in liaison with relevant people</w:t>
            </w:r>
          </w:p>
        </w:tc>
      </w:tr>
      <w:tr w:rsidTr="00B23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5.3</w:t>
            </w:r>
          </w:p>
        </w:tc>
        <w:tc>
          <w:tcPr>
            <w:tcW w:w="5610" w:type="dxa"/>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Ensure pla</w:t>
            </w:r>
            <w:r w:rsidRPr="00B23983">
              <w:t>ns, equipment and training are modified to reflect improved response plans</w:t>
            </w:r>
          </w:p>
        </w:tc>
      </w:tr>
    </w:tbl>
    <w:p w:rsidR="00000000" w:rsidRPr="00B23983" w:rsidP="00B23983">
      <w:pPr>
        <w:pStyle w:val="BodyText"/>
      </w:pPr>
    </w:p>
    <w:p w:rsidR="00000000" w:rsidRPr="00B23983" w:rsidP="00B23983">
      <w:pPr>
        <w:pStyle w:val="AllowPageBreak"/>
      </w:pPr>
    </w:p>
    <w:p w:rsidR="00000000" w:rsidRPr="00B23983" w:rsidP="00B23983">
      <w:pPr>
        <w:pStyle w:val="Heading1"/>
      </w:pPr>
      <w:bookmarkStart w:id="7" w:name="O_908946"/>
      <w:bookmarkEnd w:id="7"/>
      <w:r w:rsidRPr="00B23983">
        <w:t>Foundation Skills</w:t>
      </w:r>
    </w:p>
    <w:p w:rsidR="00000000" w:rsidRPr="00B23983" w:rsidP="000C6C3F">
      <w:pPr>
        <w:pStyle w:val="BodyText"/>
      </w:pPr>
      <w:r w:rsidRPr="00B23983">
        <w:t>This section describes those language, literacy, numeracy and employment skills that are essential to performance.</w:t>
      </w:r>
    </w:p>
    <w:p w:rsidR="00000000" w:rsidRPr="00B23983" w:rsidP="000C6C3F">
      <w:pPr>
        <w:pStyle w:val="BodyText"/>
      </w:pPr>
      <w:r w:rsidRPr="00B23983">
        <w:t xml:space="preserve">Foundation skills essential </w:t>
      </w:r>
      <w:r w:rsidRPr="00B23983">
        <w:t>to performance are explicit in the performance criteria of this unit of competency.</w:t>
      </w:r>
    </w:p>
    <w:p w:rsidR="00000000" w:rsidRPr="00B23983" w:rsidP="00B23983">
      <w:pPr>
        <w:pStyle w:val="Heading1"/>
      </w:pPr>
      <w:bookmarkStart w:id="8" w:name="O_908945"/>
      <w:bookmarkEnd w:id="8"/>
      <w:r w:rsidRPr="00B23983">
        <w:t>Range of Conditions</w:t>
      </w:r>
    </w:p>
    <w:tbl>
      <w:tblPr>
        <w:tblW w:w="0" w:type="auto"/>
        <w:tblCellMar>
          <w:left w:w="62" w:type="dxa"/>
          <w:right w:w="62" w:type="dxa"/>
        </w:tblCellMar>
        <w:tblLook w:val="0000"/>
      </w:tblPr>
      <w:tblGrid>
        <w:gridCol w:w="2163"/>
        <w:gridCol w:w="7033"/>
      </w:tblGrid>
      <w:tr w:rsidTr="000C6C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t>This field allows for different work environments and conditions that may affect performance. Essential operating conditions that may b</w:t>
            </w:r>
            <w:r w:rsidRPr="00B23983">
              <w:t>e present (depending on the work situation, needs of the candidate, accessibility of the item, and local industry and regional contexts) are included.</w:t>
            </w:r>
          </w:p>
        </w:tc>
      </w:tr>
      <w:tr w:rsidTr="000C6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The latest version of all legislation, regulations, industry codes of practice and Australian/international standards, or the version specified by the local regulatory authority, must be used, and include one or more of the following:</w:t>
            </w:r>
          </w:p>
          <w:p w:rsidR="00000000" w:rsidRPr="00B23983" w:rsidP="00B23983">
            <w:pPr>
              <w:pStyle w:val="ListBullet"/>
            </w:pPr>
            <w:r w:rsidRPr="00B23983">
              <w:t>legislative requirem</w:t>
            </w:r>
            <w:r w:rsidRPr="00B23983">
              <w:t>ents, including work health and safety (WHS)</w:t>
            </w:r>
          </w:p>
          <w:p w:rsidR="00000000" w:rsidRPr="00B23983" w:rsidP="00B23983">
            <w:pPr>
              <w:pStyle w:val="ListBullet"/>
            </w:pPr>
            <w:r w:rsidRPr="00B23983">
              <w:t>industry codes of practice and guidelines</w:t>
            </w:r>
          </w:p>
          <w:p w:rsidR="00000000" w:rsidRPr="00B23983" w:rsidP="00B23983">
            <w:pPr>
              <w:pStyle w:val="ListBullet"/>
            </w:pPr>
            <w:r w:rsidRPr="00B23983">
              <w:t xml:space="preserve">environmental regulations and guidelines </w:t>
            </w:r>
          </w:p>
          <w:p w:rsidR="00000000" w:rsidRPr="00B23983" w:rsidP="00B23983">
            <w:pPr>
              <w:pStyle w:val="ListBullet"/>
            </w:pPr>
            <w:r w:rsidRPr="00B23983">
              <w:t>Australian and other standards</w:t>
            </w:r>
          </w:p>
          <w:p w:rsidR="00000000" w:rsidRPr="00B23983" w:rsidP="00B23983">
            <w:pPr>
              <w:pStyle w:val="ListBullet"/>
            </w:pPr>
            <w:r w:rsidRPr="00B23983">
              <w:t>licence and certification requirements</w:t>
            </w:r>
          </w:p>
          <w:p w:rsidR="00000000" w:rsidRPr="00B23983" w:rsidP="00B23983">
            <w:pPr>
              <w:pStyle w:val="BodyText"/>
            </w:pPr>
          </w:p>
          <w:p w:rsidR="00000000" w:rsidRPr="00B23983" w:rsidP="00B23983">
            <w:pPr>
              <w:pStyle w:val="BodyText"/>
            </w:pPr>
            <w:r w:rsidRPr="00B23983">
              <w:t>All operations to which this unit applies are subject to</w:t>
            </w:r>
            <w:r w:rsidRPr="00B23983">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B23983">
              <w:t xml:space="preserve">rements, the HSE requirements take precedence. </w:t>
            </w:r>
          </w:p>
          <w:p w:rsidR="00000000" w:rsidRPr="00B23983" w:rsidP="00B23983">
            <w:pPr>
              <w:pStyle w:val="BodyText"/>
            </w:pPr>
          </w:p>
          <w:p w:rsidR="00000000" w:rsidRPr="00B23983" w:rsidP="00B23983">
            <w:pPr>
              <w:pStyle w:val="BodyText"/>
            </w:pPr>
            <w:r w:rsidRPr="00B23983">
              <w:t>Duty of care responsibilities under general work health and safety (WHS) Acts and regulations, and state/territory and national standards applying to hazardous substances, dangerous goods and major hazards m</w:t>
            </w:r>
            <w:r w:rsidRPr="00B23983">
              <w:t>ust be met.</w:t>
            </w:r>
          </w:p>
          <w:p w:rsidR="00000000" w:rsidP="00B23983">
            <w:pPr>
              <w:pStyle w:val="BodyText"/>
              <w:rPr>
                <w:lang w:val="en-NZ"/>
              </w:rPr>
            </w:pPr>
          </w:p>
        </w:tc>
      </w:tr>
      <w:tr w:rsidTr="000C6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All operations must be performed in accordance with relevant procedures.</w:t>
            </w:r>
          </w:p>
          <w:p w:rsidR="00000000" w:rsidRPr="00B23983" w:rsidP="00B23983">
            <w:pPr>
              <w:pStyle w:val="BodyText"/>
            </w:pPr>
          </w:p>
          <w:p w:rsidR="00000000" w:rsidRPr="00B23983" w:rsidP="00B23983">
            <w:pPr>
              <w:pStyle w:val="BodyText"/>
            </w:pPr>
            <w:r w:rsidRPr="00B23983">
              <w:t>Procedures are written, verbal, visual, computer-based or in some other form, and include one or more of the following:</w:t>
            </w:r>
          </w:p>
          <w:p w:rsidR="00000000" w:rsidRPr="00B23983" w:rsidP="00B23983">
            <w:pPr>
              <w:pStyle w:val="ListBullet"/>
            </w:pPr>
            <w:r w:rsidRPr="00B23983">
              <w:t>emergency procedures</w:t>
            </w:r>
          </w:p>
          <w:p w:rsidR="00000000" w:rsidRPr="00B23983" w:rsidP="00B23983">
            <w:pPr>
              <w:pStyle w:val="ListBullet"/>
            </w:pPr>
            <w:r w:rsidRPr="00B23983">
              <w:t>work instructions</w:t>
            </w:r>
          </w:p>
          <w:p w:rsidR="00000000" w:rsidRPr="00B23983" w:rsidP="00B23983">
            <w:pPr>
              <w:pStyle w:val="ListBullet"/>
            </w:pPr>
            <w:r w:rsidRPr="00B23983">
              <w:t>standard operating procedures (SOPs)</w:t>
            </w:r>
          </w:p>
          <w:p w:rsidR="00000000" w:rsidRPr="00B23983" w:rsidP="00B23983">
            <w:pPr>
              <w:pStyle w:val="ListBullet"/>
            </w:pPr>
            <w:r w:rsidRPr="00B23983">
              <w:t>safe work method statements (SWMS)</w:t>
            </w:r>
          </w:p>
          <w:p w:rsidR="00000000" w:rsidRPr="00B23983" w:rsidP="00B23983">
            <w:pPr>
              <w:pStyle w:val="ListBullet"/>
            </w:pPr>
            <w:r w:rsidRPr="00B23983">
              <w:t>formulas/recipes</w:t>
            </w:r>
          </w:p>
          <w:p w:rsidR="00000000" w:rsidRPr="00B23983" w:rsidP="00B23983">
            <w:pPr>
              <w:pStyle w:val="ListBullet"/>
            </w:pPr>
            <w:r w:rsidRPr="00B23983">
              <w:t>batch sheets</w:t>
            </w:r>
          </w:p>
          <w:p w:rsidR="00000000" w:rsidRPr="00B23983" w:rsidP="00B23983">
            <w:pPr>
              <w:pStyle w:val="ListBullet"/>
            </w:pPr>
            <w:r w:rsidRPr="00B23983">
              <w:t>temporary instructions</w:t>
            </w:r>
          </w:p>
          <w:p w:rsidR="00000000" w:rsidRPr="00B23983" w:rsidP="00B23983">
            <w:pPr>
              <w:pStyle w:val="ListBullet"/>
            </w:pPr>
            <w:r w:rsidRPr="00B23983">
              <w:t xml:space="preserve">any similar instructions provided for the smooth running of the plant </w:t>
            </w:r>
          </w:p>
          <w:p w:rsidR="00000000" w:rsidP="00B23983">
            <w:pPr>
              <w:pStyle w:val="BodyText"/>
              <w:rPr>
                <w:lang w:val="en-NZ"/>
              </w:rPr>
            </w:pPr>
          </w:p>
        </w:tc>
      </w:tr>
      <w:tr w:rsidTr="000C6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Incident response incl</w:t>
            </w:r>
            <w:r w:rsidRPr="00B23983">
              <w:t>udes one or more of the following:</w:t>
            </w:r>
          </w:p>
          <w:p w:rsidR="00000000" w:rsidRPr="00B23983" w:rsidP="00B23983">
            <w:pPr>
              <w:pStyle w:val="ListBullet"/>
            </w:pPr>
            <w:r w:rsidRPr="00B23983">
              <w:t>deployment of site incident response personnel</w:t>
            </w:r>
          </w:p>
          <w:p w:rsidR="00000000" w:rsidRPr="00B23983" w:rsidP="00B23983">
            <w:pPr>
              <w:pStyle w:val="ListBullet"/>
            </w:pPr>
            <w:r w:rsidRPr="00B23983">
              <w:t>containing/controlling the incident at source and or its spread</w:t>
            </w:r>
          </w:p>
          <w:p w:rsidR="00000000" w:rsidRPr="00B23983" w:rsidP="00B23983">
            <w:pPr>
              <w:pStyle w:val="ListBullet"/>
            </w:pPr>
            <w:r w:rsidRPr="00B23983">
              <w:t>search and rescue operations</w:t>
            </w:r>
          </w:p>
          <w:p w:rsidR="00000000" w:rsidRPr="00B23983" w:rsidP="00B23983">
            <w:pPr>
              <w:pStyle w:val="ListBullet"/>
            </w:pPr>
            <w:r w:rsidRPr="00B23983">
              <w:t>engagement of external emergency services (such as fire, ambulance, rescue and military)</w:t>
            </w:r>
          </w:p>
          <w:p w:rsidR="00000000" w:rsidRPr="00B23983" w:rsidP="00B23983">
            <w:pPr>
              <w:pStyle w:val="ListBullet"/>
            </w:pPr>
            <w:r w:rsidRPr="00B23983">
              <w:t xml:space="preserve">liaison with other agencies (such as environmental, clean-up and specialised troubleshooters) </w:t>
            </w:r>
          </w:p>
          <w:p w:rsidR="00000000" w:rsidRPr="00B23983" w:rsidP="00B23983">
            <w:pPr>
              <w:pStyle w:val="ListBullet"/>
            </w:pPr>
            <w:r w:rsidRPr="00B23983">
              <w:t>evacuation</w:t>
            </w:r>
          </w:p>
          <w:p w:rsidR="00000000" w:rsidRPr="00B23983" w:rsidP="00B23983">
            <w:pPr>
              <w:pStyle w:val="ListBullet"/>
            </w:pPr>
            <w:r w:rsidRPr="00B23983">
              <w:t>hazard control</w:t>
            </w:r>
          </w:p>
          <w:p w:rsidR="00000000" w:rsidRPr="00B23983" w:rsidP="00B23983">
            <w:pPr>
              <w:pStyle w:val="BodyText"/>
            </w:pPr>
          </w:p>
          <w:p w:rsidR="00000000" w:rsidRPr="00B23983" w:rsidP="00B23983">
            <w:pPr>
              <w:pStyle w:val="BodyText"/>
            </w:pPr>
            <w:r w:rsidRPr="00B23983">
              <w:t xml:space="preserve">Incident response actions must: </w:t>
            </w:r>
          </w:p>
          <w:p w:rsidR="00000000" w:rsidRPr="00B23983" w:rsidP="00B23983">
            <w:pPr>
              <w:pStyle w:val="ListBullet"/>
            </w:pPr>
            <w:r w:rsidRPr="00B23983">
              <w:t>be in accor</w:t>
            </w:r>
            <w:r w:rsidRPr="00B23983">
              <w:t>dance with and relevant organisation procedures</w:t>
            </w:r>
          </w:p>
          <w:p w:rsidR="00000000" w:rsidRPr="00B23983" w:rsidP="00B23983">
            <w:pPr>
              <w:pStyle w:val="ListBullet"/>
            </w:pPr>
            <w:r w:rsidRPr="00B23983">
              <w:t>use appropriate response equipment, where required</w:t>
            </w:r>
          </w:p>
          <w:p w:rsidR="00000000" w:rsidRPr="00B23983" w:rsidP="00B23983">
            <w:pPr>
              <w:pStyle w:val="ListBullet"/>
            </w:pPr>
            <w:r w:rsidRPr="00B23983">
              <w:t xml:space="preserve">prioritise the safety and/or successful recovery of personnel and others affected by the incident response </w:t>
            </w:r>
          </w:p>
          <w:p w:rsidR="00000000" w:rsidRPr="00B23983" w:rsidP="00B23983">
            <w:pPr>
              <w:pStyle w:val="ListBullet"/>
            </w:pPr>
            <w:r w:rsidRPr="00B23983">
              <w:rPr>
                <w:rStyle w:val="SpecialBold"/>
              </w:rPr>
              <w:t>not</w:t>
            </w:r>
            <w:r w:rsidRPr="00B23983">
              <w:t xml:space="preserve"> inhibit effectiveness of the incident respons</w:t>
            </w:r>
            <w:r w:rsidRPr="00B23983">
              <w:t>e or further contribute to the incident.</w:t>
            </w:r>
          </w:p>
          <w:p w:rsidR="00000000" w:rsidP="00B23983">
            <w:pPr>
              <w:pStyle w:val="BodyText"/>
              <w:rPr>
                <w:lang w:val="en-NZ"/>
              </w:rPr>
            </w:pPr>
          </w:p>
        </w:tc>
      </w:tr>
      <w:tr w:rsidTr="000C6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Legal compliance</w:t>
            </w:r>
          </w:p>
        </w:tc>
        <w:tc>
          <w:tcPr>
            <w:tcW w:w="0" w:type="auto"/>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Legal compliance during an incident involves monitoring all of:</w:t>
            </w:r>
          </w:p>
          <w:p w:rsidR="00000000" w:rsidRPr="00B23983" w:rsidP="00B23983">
            <w:pPr>
              <w:pStyle w:val="ListBullet"/>
            </w:pPr>
            <w:r w:rsidRPr="00B23983">
              <w:t>liquid leaving site (e.g. fire water, product and materials)</w:t>
            </w:r>
          </w:p>
          <w:p w:rsidR="00000000" w:rsidRPr="00B23983" w:rsidP="00B23983">
            <w:pPr>
              <w:pStyle w:val="ListBullet"/>
            </w:pPr>
            <w:r w:rsidRPr="00B23983">
              <w:t>smoke and vapour leaving site (e.g. from loss of containment (LOC) and fire)</w:t>
            </w:r>
          </w:p>
          <w:p w:rsidR="00000000" w:rsidRPr="00B23983" w:rsidP="00B23983">
            <w:pPr>
              <w:pStyle w:val="ListBullet"/>
            </w:pPr>
            <w:r w:rsidRPr="00B23983">
              <w:t>gas leaving site (e.g. from LOC)</w:t>
            </w:r>
          </w:p>
          <w:p w:rsidR="00000000" w:rsidRPr="00B23983" w:rsidP="00B23983">
            <w:pPr>
              <w:pStyle w:val="ListBullet"/>
            </w:pPr>
            <w:r w:rsidRPr="00B23983">
              <w:t>noise leaving site (e.g. from incident or incident response and alarms)</w:t>
            </w:r>
          </w:p>
          <w:p w:rsidR="00000000" w:rsidP="00B23983">
            <w:pPr>
              <w:pStyle w:val="BodyText"/>
              <w:rPr>
                <w:lang w:val="en-NZ"/>
              </w:rPr>
            </w:pPr>
          </w:p>
        </w:tc>
      </w:tr>
      <w:tr w:rsidTr="000C6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983">
            <w:pPr>
              <w:pStyle w:val="BodyText"/>
              <w:rPr>
                <w:lang w:val="en-NZ"/>
              </w:rPr>
            </w:pPr>
            <w:r w:rsidRPr="00B23983">
              <w:rPr>
                <w:rStyle w:val="SpecialBold"/>
              </w:rPr>
              <w:t>Identifying areas for improvement</w:t>
            </w:r>
          </w:p>
        </w:tc>
        <w:tc>
          <w:tcPr>
            <w:tcW w:w="0" w:type="auto"/>
            <w:tcBorders>
              <w:top w:val="nil"/>
              <w:left w:val="nil"/>
              <w:bottom w:val="nil"/>
              <w:right w:val="nil"/>
            </w:tcBorders>
            <w:tcMar>
              <w:top w:w="0" w:type="dxa"/>
              <w:left w:w="62" w:type="dxa"/>
              <w:bottom w:w="0" w:type="dxa"/>
              <w:right w:w="62" w:type="dxa"/>
            </w:tcMar>
          </w:tcPr>
          <w:p w:rsidR="00000000" w:rsidRPr="00B23983" w:rsidP="00B23983">
            <w:pPr>
              <w:pStyle w:val="BodyText"/>
            </w:pPr>
            <w:r w:rsidRPr="00B23983">
              <w:t>Identifying areas for improvement incl</w:t>
            </w:r>
            <w:r w:rsidRPr="00B23983">
              <w:t>udes addressing one or more of the following:</w:t>
            </w:r>
          </w:p>
          <w:p w:rsidR="00000000" w:rsidRPr="00B23983" w:rsidP="00B23983">
            <w:pPr>
              <w:pStyle w:val="ListBullet"/>
            </w:pPr>
            <w:r w:rsidRPr="00B23983">
              <w:t>difficulties tracking and identifying relevant legislation or amendments</w:t>
            </w:r>
          </w:p>
          <w:p w:rsidR="00000000" w:rsidRPr="00B23983" w:rsidP="00B23983">
            <w:pPr>
              <w:pStyle w:val="ListBullet"/>
            </w:pPr>
            <w:r w:rsidRPr="00B23983">
              <w:t>managing evidence for later investigations or enquiries</w:t>
            </w:r>
          </w:p>
          <w:p w:rsidR="00000000" w:rsidRPr="00B23983" w:rsidP="00B23983">
            <w:pPr>
              <w:pStyle w:val="ListBullet"/>
            </w:pPr>
            <w:r w:rsidRPr="00B23983">
              <w:t>interpersonal conflicts</w:t>
            </w:r>
          </w:p>
          <w:p w:rsidR="00000000" w:rsidRPr="00B23983" w:rsidP="00B23983">
            <w:pPr>
              <w:pStyle w:val="ListBullet"/>
            </w:pPr>
            <w:r w:rsidRPr="00B23983">
              <w:t>conflicts of interest</w:t>
            </w:r>
          </w:p>
          <w:p w:rsidR="00000000" w:rsidRPr="00B23983" w:rsidP="00B23983">
            <w:pPr>
              <w:pStyle w:val="ListBullet"/>
            </w:pPr>
            <w:r w:rsidRPr="00B23983">
              <w:t>failed compliance measures</w:t>
            </w:r>
          </w:p>
          <w:p w:rsidR="00000000" w:rsidRPr="00B23983" w:rsidP="00B23983">
            <w:pPr>
              <w:pStyle w:val="ListBullet"/>
            </w:pPr>
            <w:r w:rsidRPr="00B23983">
              <w:t>failure</w:t>
            </w:r>
            <w:r w:rsidRPr="00B23983">
              <w:t xml:space="preserve"> to comply with timeframes dictated by legislation or regulation</w:t>
            </w:r>
          </w:p>
          <w:p w:rsidR="00000000" w:rsidRPr="00B23983" w:rsidP="00B23983">
            <w:pPr>
              <w:pStyle w:val="BodyText"/>
            </w:pPr>
          </w:p>
        </w:tc>
      </w:tr>
    </w:tbl>
    <w:p w:rsidR="00000000" w:rsidRPr="00B23983" w:rsidP="00B23983">
      <w:pPr>
        <w:pStyle w:val="BodyText"/>
      </w:pPr>
    </w:p>
    <w:p w:rsidR="00000000" w:rsidRPr="00B23983" w:rsidP="00B23983">
      <w:pPr>
        <w:pStyle w:val="AllowPageBreak"/>
      </w:pPr>
    </w:p>
    <w:p w:rsidR="00000000" w:rsidRPr="00B23983" w:rsidP="00B23983">
      <w:pPr>
        <w:pStyle w:val="Heading1"/>
      </w:pPr>
      <w:bookmarkStart w:id="9" w:name="O_908944"/>
      <w:bookmarkEnd w:id="9"/>
      <w:r w:rsidRPr="00B23983">
        <w:t>Unit Mapping Information</w:t>
      </w:r>
    </w:p>
    <w:p w:rsidR="00000000" w:rsidRPr="00B23983" w:rsidP="000C6C3F">
      <w:pPr>
        <w:pStyle w:val="BodyText"/>
      </w:pPr>
      <w:r w:rsidRPr="00B23983">
        <w:t xml:space="preserve">Release 1. Supersedes and is equivalent to PMAOMIR449B Monitor legal compliance obligations during </w:t>
      </w:r>
      <w:r w:rsidRPr="00B23983">
        <w:t>incidents</w:t>
      </w:r>
    </w:p>
    <w:p w:rsidR="00000000" w:rsidRPr="00B23983" w:rsidP="00B23983">
      <w:pPr>
        <w:pStyle w:val="Heading1"/>
      </w:pPr>
      <w:bookmarkStart w:id="10" w:name="O_908937"/>
      <w:bookmarkEnd w:id="10"/>
      <w:r w:rsidRPr="00B23983">
        <w:t>Links</w:t>
      </w:r>
    </w:p>
    <w:p w:rsidR="00000000" w:rsidRPr="00B23983" w:rsidP="000C6C3F">
      <w:pPr>
        <w:pStyle w:val="BodyText"/>
      </w:pPr>
      <w:r w:rsidRPr="00B2398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F6161">
        <w:rPr>
          <w:rStyle w:val="Hyperlink"/>
        </w:rPr>
        <w:t>https://vetnet.gov.au/Pages/TrainingDocs.aspx?q=9fc2cf53-e570-4e9f-ad6a-b228ffdb6875</w:t>
      </w:r>
      <w:r>
        <w:fldChar w:fldCharType="end"/>
      </w:r>
    </w:p>
    <w:p w:rsidR="00000000" w:rsidRPr="00B23983" w:rsidP="00B23983"/>
    <w:sectPr w:rsidSect="00B23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83" w:rsidRPr="000C6C3F" w:rsidP="000C6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3F" w:rsidP="00B23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6C3F" w:rsidP="00B239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6C3F" w:rsidP="00B23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983" w:rsidRPr="000C6C3F" w:rsidP="000C6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3F" w:rsidRPr="002D2AF8" w:rsidP="00B23983">
    <w:pPr>
      <w:pStyle w:val="Header"/>
      <w:framePr w:wrap="around"/>
    </w:pPr>
    <w:r>
      <w:fldChar w:fldCharType="begin"/>
    </w:r>
    <w:r>
      <w:instrText xml:space="preserve"> TITLE   \* MERGEFORMAT </w:instrText>
    </w:r>
    <w:r>
      <w:fldChar w:fldCharType="separate"/>
    </w:r>
    <w:r>
      <w:t>PMAOMIR449 Monitor legal compliance obligations during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C6C3F" w:rsidP="00B23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C0C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F64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983"/>
    <w:pPr>
      <w:spacing w:before="360" w:after="60"/>
      <w:outlineLvl w:val="0"/>
    </w:pPr>
    <w:rPr>
      <w:sz w:val="32"/>
    </w:rPr>
  </w:style>
  <w:style w:type="paragraph" w:styleId="Heading2">
    <w:name w:val="heading 2"/>
    <w:basedOn w:val="HeadingBase"/>
    <w:next w:val="BodyText"/>
    <w:link w:val="Heading2Char"/>
    <w:qFormat/>
    <w:rsid w:val="00B23983"/>
    <w:pPr>
      <w:keepLines/>
      <w:spacing w:before="240" w:after="120"/>
      <w:outlineLvl w:val="1"/>
    </w:pPr>
    <w:rPr>
      <w:sz w:val="28"/>
      <w:szCs w:val="40"/>
    </w:rPr>
  </w:style>
  <w:style w:type="paragraph" w:styleId="Heading3">
    <w:name w:val="heading 3"/>
    <w:basedOn w:val="HeadingBase"/>
    <w:next w:val="BodyText"/>
    <w:link w:val="Heading3Char"/>
    <w:qFormat/>
    <w:rsid w:val="00B23983"/>
    <w:pPr>
      <w:spacing w:before="180" w:after="120"/>
      <w:outlineLvl w:val="2"/>
    </w:pPr>
    <w:rPr>
      <w:spacing w:val="-10"/>
      <w:kern w:val="32"/>
    </w:rPr>
  </w:style>
  <w:style w:type="paragraph" w:styleId="Heading4">
    <w:name w:val="heading 4"/>
    <w:basedOn w:val="HeadingBase"/>
    <w:next w:val="BodyText"/>
    <w:link w:val="Heading4Char"/>
    <w:qFormat/>
    <w:rsid w:val="00B23983"/>
    <w:pPr>
      <w:spacing w:before="160" w:after="120"/>
      <w:outlineLvl w:val="3"/>
    </w:pPr>
    <w:rPr>
      <w:sz w:val="22"/>
    </w:rPr>
  </w:style>
  <w:style w:type="paragraph" w:styleId="Heading5">
    <w:name w:val="heading 5"/>
    <w:basedOn w:val="HeadingBase"/>
    <w:next w:val="Normal"/>
    <w:link w:val="Heading5Char"/>
    <w:qFormat/>
    <w:rsid w:val="00B23983"/>
    <w:pPr>
      <w:spacing w:before="80"/>
      <w:outlineLvl w:val="4"/>
    </w:pPr>
    <w:rPr>
      <w:color w:val="918585"/>
      <w:sz w:val="20"/>
    </w:rPr>
  </w:style>
  <w:style w:type="paragraph" w:styleId="Heading6">
    <w:name w:val="heading 6"/>
    <w:basedOn w:val="HeadingBase"/>
    <w:next w:val="Normal"/>
    <w:link w:val="Heading6Char"/>
    <w:qFormat/>
    <w:rsid w:val="00B23983"/>
    <w:pPr>
      <w:spacing w:before="60"/>
      <w:outlineLvl w:val="5"/>
    </w:pPr>
    <w:rPr>
      <w:color w:val="918585"/>
      <w:sz w:val="20"/>
    </w:rPr>
  </w:style>
  <w:style w:type="paragraph" w:styleId="Heading7">
    <w:name w:val="heading 7"/>
    <w:basedOn w:val="Normal"/>
    <w:next w:val="Normal"/>
    <w:link w:val="Heading7Char"/>
    <w:qFormat/>
    <w:rsid w:val="00B23983"/>
    <w:pPr>
      <w:ind w:left="720"/>
      <w:outlineLvl w:val="6"/>
    </w:pPr>
    <w:rPr>
      <w:i/>
    </w:rPr>
  </w:style>
  <w:style w:type="paragraph" w:styleId="Heading8">
    <w:name w:val="heading 8"/>
    <w:basedOn w:val="Normal"/>
    <w:next w:val="Normal"/>
    <w:link w:val="Heading8Char"/>
    <w:qFormat/>
    <w:rsid w:val="00B23983"/>
    <w:pPr>
      <w:ind w:left="720"/>
      <w:outlineLvl w:val="7"/>
    </w:pPr>
    <w:rPr>
      <w:i/>
    </w:rPr>
  </w:style>
  <w:style w:type="paragraph" w:styleId="Heading9">
    <w:name w:val="heading 9"/>
    <w:basedOn w:val="Normal"/>
    <w:next w:val="Normal"/>
    <w:link w:val="Heading9Char"/>
    <w:qFormat/>
    <w:rsid w:val="00B23983"/>
    <w:pPr>
      <w:ind w:left="720"/>
      <w:outlineLvl w:val="8"/>
    </w:pPr>
    <w:rPr>
      <w:i/>
    </w:rPr>
  </w:style>
  <w:style w:type="character" w:default="1" w:styleId="DefaultParagraphFont">
    <w:name w:val="Default Paragraph Font"/>
    <w:uiPriority w:val="1"/>
    <w:unhideWhenUsed/>
    <w:rsid w:val="00B23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983"/>
  </w:style>
  <w:style w:type="character" w:customStyle="1" w:styleId="Heading1Char">
    <w:name w:val="Heading 1 Char"/>
    <w:basedOn w:val="DefaultParagraphFont"/>
    <w:link w:val="Heading1"/>
    <w:rsid w:val="00B23983"/>
    <w:rPr>
      <w:rFonts w:ascii="Times New Roman" w:eastAsia="Times New Roman" w:hAnsi="Times New Roman" w:cs="Times New Roman"/>
      <w:b/>
      <w:sz w:val="32"/>
      <w:szCs w:val="20"/>
      <w:lang w:eastAsia="en-US"/>
    </w:rPr>
  </w:style>
  <w:style w:type="paragraph" w:styleId="BodyText">
    <w:name w:val="Body Text"/>
    <w:basedOn w:val="Normal"/>
    <w:link w:val="BodyTextChar"/>
    <w:rsid w:val="00B23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983"/>
    <w:rPr>
      <w:rFonts w:ascii="Times New Roman" w:eastAsia="Times New Roman" w:hAnsi="Times New Roman" w:cs="Times New Roman"/>
      <w:sz w:val="24"/>
      <w:lang w:eastAsia="en-US"/>
    </w:rPr>
  </w:style>
  <w:style w:type="paragraph" w:styleId="ListBullet">
    <w:name w:val="List Bullet"/>
    <w:basedOn w:val="List"/>
    <w:rsid w:val="00B23983"/>
    <w:pPr>
      <w:numPr>
        <w:numId w:val="11"/>
      </w:numPr>
      <w:tabs>
        <w:tab w:val="clear" w:pos="340"/>
      </w:tabs>
      <w:spacing w:before="40" w:after="40"/>
    </w:pPr>
  </w:style>
  <w:style w:type="character" w:customStyle="1" w:styleId="SpecialBold">
    <w:name w:val="Special Bold"/>
    <w:basedOn w:val="DefaultParagraphFont"/>
    <w:rsid w:val="00B23983"/>
    <w:rPr>
      <w:b/>
      <w:spacing w:val="0"/>
    </w:rPr>
  </w:style>
  <w:style w:type="paragraph" w:customStyle="1" w:styleId="SuperHeading">
    <w:name w:val="SuperHeading"/>
    <w:basedOn w:val="Normal"/>
    <w:rsid w:val="00B23983"/>
    <w:pPr>
      <w:spacing w:before="240" w:after="120"/>
      <w:outlineLvl w:val="0"/>
    </w:pPr>
    <w:rPr>
      <w:rFonts w:ascii="Times New Roman" w:hAnsi="Times New Roman"/>
      <w:b/>
      <w:sz w:val="32"/>
    </w:rPr>
  </w:style>
  <w:style w:type="paragraph" w:customStyle="1" w:styleId="AllowPageBreak">
    <w:name w:val="AllowPageBreak"/>
    <w:rsid w:val="00B23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983"/>
    <w:rPr>
      <w:rFonts w:ascii="Courier New" w:eastAsia="Times New Roman" w:hAnsi="Courier New" w:cs="Times New Roman"/>
      <w:i/>
      <w:szCs w:val="20"/>
      <w:lang w:eastAsia="en-US"/>
    </w:rPr>
  </w:style>
  <w:style w:type="paragraph" w:customStyle="1" w:styleId="HeadingBase">
    <w:name w:val="Heading Base"/>
    <w:rsid w:val="00B23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983"/>
    <w:pPr>
      <w:tabs>
        <w:tab w:val="right" w:leader="dot" w:pos="9072"/>
      </w:tabs>
      <w:ind w:left="567"/>
    </w:pPr>
    <w:rPr>
      <w:szCs w:val="22"/>
    </w:rPr>
  </w:style>
  <w:style w:type="paragraph" w:customStyle="1" w:styleId="TOCBase">
    <w:name w:val="TOC Base"/>
    <w:rsid w:val="00B23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983"/>
    <w:pPr>
      <w:tabs>
        <w:tab w:val="right" w:leader="dot" w:pos="9072"/>
      </w:tabs>
      <w:spacing w:before="40" w:after="40"/>
      <w:ind w:left="284"/>
    </w:pPr>
    <w:rPr>
      <w:rFonts w:ascii="Times New Roman" w:hAnsi="Times New Roman"/>
    </w:rPr>
  </w:style>
  <w:style w:type="paragraph" w:styleId="TOC1">
    <w:name w:val="toc 1"/>
    <w:basedOn w:val="TOCBase"/>
    <w:next w:val="Normal"/>
    <w:rsid w:val="00B23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983"/>
    <w:rPr>
      <w:rFonts w:ascii="Times New Roman" w:eastAsia="Times New Roman" w:hAnsi="Times New Roman" w:cs="Times New Roman"/>
      <w:sz w:val="16"/>
      <w:lang w:eastAsia="en-US"/>
    </w:rPr>
  </w:style>
  <w:style w:type="paragraph" w:styleId="Title">
    <w:name w:val="Title"/>
    <w:basedOn w:val="HeadingBase"/>
    <w:link w:val="TitleChar"/>
    <w:qFormat/>
    <w:rsid w:val="00B23983"/>
    <w:pPr>
      <w:spacing w:before="5040"/>
      <w:jc w:val="center"/>
    </w:pPr>
    <w:rPr>
      <w:sz w:val="48"/>
      <w:szCs w:val="72"/>
      <w:lang w:val="en-US"/>
    </w:rPr>
  </w:style>
  <w:style w:type="character" w:customStyle="1" w:styleId="TitleChar">
    <w:name w:val="Title Char"/>
    <w:basedOn w:val="DefaultParagraphFont"/>
    <w:link w:val="Title"/>
    <w:rsid w:val="00B23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983"/>
    <w:pPr>
      <w:tabs>
        <w:tab w:val="left" w:pos="3600"/>
        <w:tab w:val="left" w:pos="3958"/>
      </w:tabs>
    </w:pPr>
  </w:style>
  <w:style w:type="paragraph" w:styleId="List">
    <w:name w:val="List"/>
    <w:basedOn w:val="BodyText"/>
    <w:next w:val="BodyText"/>
    <w:rsid w:val="00B23983"/>
    <w:pPr>
      <w:tabs>
        <w:tab w:val="left" w:pos="340"/>
      </w:tabs>
      <w:spacing w:before="60" w:after="60"/>
      <w:ind w:left="340" w:hanging="340"/>
    </w:pPr>
  </w:style>
  <w:style w:type="paragraph" w:customStyle="1" w:styleId="Note">
    <w:name w:val="Note"/>
    <w:basedOn w:val="BodyText"/>
    <w:rsid w:val="00B23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983"/>
    <w:pPr>
      <w:framePr w:wrap="auto" w:hAnchor="text" w:y="6049"/>
    </w:pPr>
    <w:rPr>
      <w:color w:val="000000"/>
      <w:sz w:val="40"/>
    </w:rPr>
  </w:style>
  <w:style w:type="paragraph" w:customStyle="1" w:styleId="TOCTitle">
    <w:name w:val="TOCTitle"/>
    <w:basedOn w:val="Heading1"/>
    <w:rsid w:val="00B23983"/>
    <w:pPr>
      <w:spacing w:after="240"/>
      <w:jc w:val="center"/>
      <w:outlineLvl w:val="9"/>
    </w:pPr>
    <w:rPr>
      <w:caps/>
    </w:rPr>
  </w:style>
  <w:style w:type="paragraph" w:customStyle="1" w:styleId="Version">
    <w:name w:val="Version"/>
    <w:rsid w:val="00B239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983"/>
    <w:pPr>
      <w:numPr>
        <w:numId w:val="12"/>
      </w:numPr>
      <w:tabs>
        <w:tab w:val="clear" w:pos="680"/>
      </w:tabs>
    </w:pPr>
  </w:style>
  <w:style w:type="paragraph" w:styleId="Index1">
    <w:name w:val="index 1"/>
    <w:basedOn w:val="Normal"/>
    <w:next w:val="Normal"/>
    <w:semiHidden/>
    <w:rsid w:val="00B23983"/>
    <w:pPr>
      <w:keepNext w:val="0"/>
      <w:tabs>
        <w:tab w:val="right" w:pos="4176"/>
      </w:tabs>
      <w:ind w:left="198" w:hanging="198"/>
    </w:pPr>
    <w:rPr>
      <w:rFonts w:ascii="Garamond" w:hAnsi="Garamond"/>
    </w:rPr>
  </w:style>
  <w:style w:type="paragraph" w:styleId="IndexHeading">
    <w:name w:val="index heading"/>
    <w:basedOn w:val="Normal"/>
    <w:next w:val="Index1"/>
    <w:semiHidden/>
    <w:rsid w:val="00B23983"/>
    <w:pPr>
      <w:spacing w:before="120" w:after="120"/>
    </w:pPr>
    <w:rPr>
      <w:rFonts w:ascii="Arial" w:hAnsi="Arial"/>
      <w:b/>
      <w:color w:val="918585"/>
      <w:sz w:val="24"/>
    </w:rPr>
  </w:style>
  <w:style w:type="paragraph" w:styleId="Header">
    <w:name w:val="header"/>
    <w:basedOn w:val="Normal"/>
    <w:link w:val="HeaderChar"/>
    <w:rsid w:val="00B23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983"/>
    <w:rPr>
      <w:rFonts w:ascii="Times New Roman" w:eastAsia="Times New Roman" w:hAnsi="Times New Roman" w:cs="Times New Roman"/>
      <w:sz w:val="16"/>
      <w:szCs w:val="20"/>
      <w:lang w:val="en-GB" w:eastAsia="en-US"/>
    </w:rPr>
  </w:style>
  <w:style w:type="paragraph" w:customStyle="1" w:styleId="Chapter">
    <w:name w:val="Chapter"/>
    <w:basedOn w:val="Normal"/>
    <w:rsid w:val="00B23983"/>
    <w:pPr>
      <w:spacing w:before="240"/>
    </w:pPr>
    <w:rPr>
      <w:rFonts w:ascii="Times New Roman" w:hAnsi="Times New Roman"/>
      <w:smallCaps/>
      <w:spacing w:val="80"/>
      <w:sz w:val="28"/>
    </w:rPr>
  </w:style>
  <w:style w:type="paragraph" w:customStyle="1" w:styleId="InChapter">
    <w:name w:val="InChapter"/>
    <w:basedOn w:val="Heading3"/>
    <w:rsid w:val="00B23983"/>
    <w:pPr>
      <w:spacing w:after="240"/>
      <w:outlineLvl w:val="9"/>
    </w:pPr>
    <w:rPr>
      <w:noProof/>
    </w:rPr>
  </w:style>
  <w:style w:type="paragraph" w:styleId="Index2">
    <w:name w:val="index 2"/>
    <w:basedOn w:val="Normal"/>
    <w:next w:val="Normal"/>
    <w:semiHidden/>
    <w:rsid w:val="00B23983"/>
    <w:pPr>
      <w:tabs>
        <w:tab w:val="right" w:pos="4176"/>
      </w:tabs>
      <w:ind w:left="568" w:hanging="284"/>
    </w:pPr>
    <w:rPr>
      <w:rFonts w:ascii="Garamond" w:hAnsi="Garamond"/>
    </w:rPr>
  </w:style>
  <w:style w:type="paragraph" w:customStyle="1" w:styleId="Byline">
    <w:name w:val="Byline"/>
    <w:rsid w:val="00B23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983"/>
    <w:pPr>
      <w:tabs>
        <w:tab w:val="clear" w:pos="3600"/>
        <w:tab w:val="clear" w:pos="3958"/>
      </w:tabs>
      <w:jc w:val="right"/>
    </w:pPr>
  </w:style>
  <w:style w:type="character" w:styleId="Emphasis">
    <w:name w:val="Emphasis"/>
    <w:basedOn w:val="DefaultParagraphFont"/>
    <w:qFormat/>
    <w:rsid w:val="00B23983"/>
    <w:rPr>
      <w:i/>
    </w:rPr>
  </w:style>
  <w:style w:type="paragraph" w:styleId="Caption">
    <w:name w:val="caption"/>
    <w:basedOn w:val="BodyText"/>
    <w:next w:val="Normal"/>
    <w:qFormat/>
    <w:rsid w:val="00B23983"/>
    <w:pPr>
      <w:framePr w:w="2268" w:hSpace="181" w:vSpace="181" w:wrap="around" w:vAnchor="text" w:hAnchor="page" w:x="1135" w:y="285" w:anchorLock="1"/>
    </w:pPr>
    <w:rPr>
      <w:i/>
    </w:rPr>
  </w:style>
  <w:style w:type="paragraph" w:customStyle="1" w:styleId="MiniTOCTitle">
    <w:name w:val="MiniTOCTitle"/>
    <w:basedOn w:val="Heading4"/>
    <w:rsid w:val="00B23983"/>
    <w:pPr>
      <w:spacing w:before="240"/>
      <w:outlineLvl w:val="9"/>
    </w:pPr>
    <w:rPr>
      <w:noProof/>
      <w:sz w:val="24"/>
    </w:rPr>
  </w:style>
  <w:style w:type="paragraph" w:customStyle="1" w:styleId="MiniTOCItem">
    <w:name w:val="MiniTOCItem"/>
    <w:basedOn w:val="ListBullet"/>
    <w:rsid w:val="00B23983"/>
    <w:pPr>
      <w:numPr>
        <w:numId w:val="0"/>
      </w:numPr>
      <w:tabs>
        <w:tab w:val="right" w:leader="dot" w:pos="6521"/>
      </w:tabs>
      <w:spacing w:before="0" w:after="0"/>
    </w:pPr>
  </w:style>
  <w:style w:type="paragraph" w:customStyle="1" w:styleId="TOFTitle">
    <w:name w:val="TOFTitle"/>
    <w:basedOn w:val="TOCTitle"/>
    <w:rsid w:val="00B23983"/>
  </w:style>
  <w:style w:type="paragraph" w:styleId="TableofFigures">
    <w:name w:val="table of figures"/>
    <w:basedOn w:val="Normal"/>
    <w:next w:val="Normal"/>
    <w:semiHidden/>
    <w:rsid w:val="00B23983"/>
    <w:pPr>
      <w:tabs>
        <w:tab w:val="right" w:leader="dot" w:pos="9072"/>
      </w:tabs>
      <w:ind w:left="970" w:hanging="403"/>
    </w:pPr>
    <w:rPr>
      <w:rFonts w:ascii="Times New Roman" w:hAnsi="Times New Roman"/>
      <w:b/>
    </w:rPr>
  </w:style>
  <w:style w:type="paragraph" w:styleId="ListNumber">
    <w:name w:val="List Number"/>
    <w:basedOn w:val="List"/>
    <w:rsid w:val="00B23983"/>
    <w:pPr>
      <w:numPr>
        <w:numId w:val="14"/>
      </w:numPr>
      <w:tabs>
        <w:tab w:val="clear" w:pos="340"/>
      </w:tabs>
    </w:pPr>
  </w:style>
  <w:style w:type="character" w:customStyle="1" w:styleId="WingdingSymbols">
    <w:name w:val="Wingding Symbols"/>
    <w:rsid w:val="00B23983"/>
    <w:rPr>
      <w:rFonts w:ascii="Wingdings" w:hAnsi="Wingdings"/>
    </w:rPr>
  </w:style>
  <w:style w:type="paragraph" w:customStyle="1" w:styleId="TableHeading">
    <w:name w:val="Table Heading"/>
    <w:basedOn w:val="HeadingBase"/>
    <w:rsid w:val="00B23983"/>
    <w:pPr>
      <w:keepLines/>
      <w:pBdr>
        <w:bottom w:val="single" w:sz="6" w:space="1" w:color="918585"/>
      </w:pBdr>
      <w:spacing w:before="240"/>
    </w:pPr>
  </w:style>
  <w:style w:type="character" w:customStyle="1" w:styleId="HotSpot">
    <w:name w:val="HotSpot"/>
    <w:rsid w:val="00B23983"/>
    <w:rPr>
      <w:color w:val="0033CC"/>
      <w:u w:val="none"/>
    </w:rPr>
  </w:style>
  <w:style w:type="paragraph" w:customStyle="1" w:styleId="BodyTextRight">
    <w:name w:val="Body Text Right"/>
    <w:basedOn w:val="BodyText"/>
    <w:rsid w:val="00B23983"/>
    <w:pPr>
      <w:spacing w:before="0" w:after="0"/>
      <w:jc w:val="right"/>
    </w:pPr>
  </w:style>
  <w:style w:type="paragraph" w:styleId="Index3">
    <w:name w:val="index 3"/>
    <w:basedOn w:val="ListNumber2"/>
    <w:next w:val="Normal"/>
    <w:semiHidden/>
    <w:rsid w:val="00B23983"/>
    <w:pPr>
      <w:numPr>
        <w:numId w:val="0"/>
      </w:numPr>
      <w:tabs>
        <w:tab w:val="right" w:leader="dot" w:pos="4176"/>
      </w:tabs>
    </w:pPr>
  </w:style>
  <w:style w:type="paragraph" w:styleId="ListNumber2">
    <w:name w:val="List Number 2"/>
    <w:basedOn w:val="List2"/>
    <w:rsid w:val="00B23983"/>
    <w:pPr>
      <w:numPr>
        <w:numId w:val="9"/>
      </w:numPr>
      <w:tabs>
        <w:tab w:val="clear" w:pos="1060"/>
      </w:tabs>
    </w:pPr>
  </w:style>
  <w:style w:type="paragraph" w:customStyle="1" w:styleId="MarginNote">
    <w:name w:val="Margin Note"/>
    <w:basedOn w:val="BodyText"/>
    <w:rsid w:val="00B23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983"/>
    <w:rPr>
      <w:sz w:val="32"/>
    </w:rPr>
  </w:style>
  <w:style w:type="paragraph" w:customStyle="1" w:styleId="HeadingProcedure">
    <w:name w:val="Heading Procedure"/>
    <w:basedOn w:val="HeadingBase"/>
    <w:next w:val="Normal"/>
    <w:rsid w:val="00B23983"/>
    <w:pPr>
      <w:tabs>
        <w:tab w:val="left" w:pos="0"/>
      </w:tabs>
      <w:spacing w:before="120" w:after="60"/>
    </w:pPr>
    <w:rPr>
      <w:i/>
      <w:color w:val="918585"/>
      <w:sz w:val="22"/>
    </w:rPr>
  </w:style>
  <w:style w:type="paragraph" w:customStyle="1" w:styleId="TableBodyText">
    <w:name w:val="Table Body Text"/>
    <w:basedOn w:val="BodyText"/>
    <w:rsid w:val="00B23983"/>
    <w:pPr>
      <w:spacing w:before="60" w:after="60"/>
    </w:pPr>
  </w:style>
  <w:style w:type="paragraph" w:styleId="ListContinue">
    <w:name w:val="List Continue"/>
    <w:basedOn w:val="List"/>
    <w:rsid w:val="00B23983"/>
    <w:pPr>
      <w:ind w:firstLine="0"/>
    </w:pPr>
  </w:style>
  <w:style w:type="paragraph" w:customStyle="1" w:styleId="ListNote">
    <w:name w:val="List Note"/>
    <w:basedOn w:val="List"/>
    <w:rsid w:val="00B23983"/>
    <w:pPr>
      <w:pBdr>
        <w:top w:val="single" w:sz="6" w:space="2" w:color="918585"/>
        <w:bottom w:val="single" w:sz="6" w:space="2" w:color="918585"/>
      </w:pBdr>
      <w:tabs>
        <w:tab w:val="left" w:pos="1021"/>
      </w:tabs>
      <w:ind w:firstLine="0"/>
    </w:pPr>
  </w:style>
  <w:style w:type="paragraph" w:customStyle="1" w:styleId="Warning">
    <w:name w:val="Warning"/>
    <w:basedOn w:val="BodyText"/>
    <w:rsid w:val="00B23983"/>
    <w:pPr>
      <w:shd w:val="clear" w:color="auto" w:fill="D9D9D9"/>
      <w:tabs>
        <w:tab w:val="left" w:pos="992"/>
      </w:tabs>
      <w:ind w:left="119" w:right="119"/>
    </w:pPr>
    <w:rPr>
      <w:sz w:val="20"/>
    </w:rPr>
  </w:style>
  <w:style w:type="paragraph" w:customStyle="1" w:styleId="MarginIcons">
    <w:name w:val="Margin Icons"/>
    <w:basedOn w:val="BodyText"/>
    <w:rsid w:val="00B23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983"/>
    <w:rPr>
      <w:rFonts w:ascii="Courier New" w:hAnsi="Courier New"/>
    </w:rPr>
  </w:style>
  <w:style w:type="paragraph" w:customStyle="1" w:styleId="NoteBullet">
    <w:name w:val="Note Bullet"/>
    <w:basedOn w:val="Note"/>
    <w:rsid w:val="00B23983"/>
    <w:pPr>
      <w:tabs>
        <w:tab w:val="clear" w:pos="680"/>
      </w:tabs>
      <w:spacing w:before="60" w:after="60"/>
    </w:pPr>
  </w:style>
  <w:style w:type="paragraph" w:customStyle="1" w:styleId="SubHeading2">
    <w:name w:val="SubHeading2"/>
    <w:basedOn w:val="HeadingBase"/>
    <w:rsid w:val="00B23983"/>
    <w:pPr>
      <w:spacing w:before="240" w:after="60"/>
    </w:pPr>
    <w:rPr>
      <w:sz w:val="20"/>
    </w:rPr>
  </w:style>
  <w:style w:type="paragraph" w:customStyle="1" w:styleId="SubHeading1">
    <w:name w:val="SubHeading1"/>
    <w:basedOn w:val="HeadingBase"/>
    <w:rsid w:val="00B23983"/>
    <w:pPr>
      <w:spacing w:before="240" w:after="60"/>
    </w:pPr>
    <w:rPr>
      <w:color w:val="918585"/>
      <w:sz w:val="22"/>
    </w:rPr>
  </w:style>
  <w:style w:type="paragraph" w:customStyle="1" w:styleId="SideHeading">
    <w:name w:val="Side Heading"/>
    <w:basedOn w:val="HeadingBase"/>
    <w:rsid w:val="00B23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983"/>
    <w:pPr>
      <w:numPr>
        <w:numId w:val="10"/>
      </w:numPr>
    </w:pPr>
  </w:style>
  <w:style w:type="paragraph" w:styleId="PlainText">
    <w:name w:val="Plain Text"/>
    <w:basedOn w:val="Normal"/>
    <w:link w:val="PlainTextChar"/>
    <w:rsid w:val="00B23983"/>
    <w:rPr>
      <w:sz w:val="20"/>
    </w:rPr>
  </w:style>
  <w:style w:type="character" w:customStyle="1" w:styleId="PlainTextChar">
    <w:name w:val="Plain Text Char"/>
    <w:basedOn w:val="DefaultParagraphFont"/>
    <w:link w:val="PlainText"/>
    <w:rsid w:val="00B23983"/>
    <w:rPr>
      <w:rFonts w:ascii="Courier New" w:eastAsia="Times New Roman" w:hAnsi="Courier New" w:cs="Times New Roman"/>
      <w:sz w:val="20"/>
      <w:szCs w:val="20"/>
      <w:lang w:eastAsia="en-US"/>
    </w:rPr>
  </w:style>
  <w:style w:type="character" w:customStyle="1" w:styleId="MenuOption">
    <w:name w:val="Menu Option"/>
    <w:basedOn w:val="DefaultParagraphFont"/>
    <w:rsid w:val="00B23983"/>
    <w:rPr>
      <w:b/>
      <w:smallCaps/>
    </w:rPr>
  </w:style>
  <w:style w:type="paragraph" w:customStyle="1" w:styleId="TableListNumber">
    <w:name w:val="Table List Number"/>
    <w:basedOn w:val="ListNumber"/>
    <w:rsid w:val="00B23983"/>
    <w:pPr>
      <w:numPr>
        <w:numId w:val="0"/>
      </w:numPr>
    </w:pPr>
  </w:style>
  <w:style w:type="paragraph" w:styleId="TOC4">
    <w:name w:val="toc 4"/>
    <w:basedOn w:val="TOCBase"/>
    <w:next w:val="Normal"/>
    <w:semiHidden/>
    <w:rsid w:val="00B23983"/>
    <w:pPr>
      <w:tabs>
        <w:tab w:val="right" w:leader="dot" w:pos="9071"/>
      </w:tabs>
      <w:ind w:left="1701"/>
    </w:pPr>
  </w:style>
  <w:style w:type="paragraph" w:customStyle="1" w:styleId="ListAlpha">
    <w:name w:val="List Alpha"/>
    <w:basedOn w:val="List"/>
    <w:rsid w:val="00B23983"/>
    <w:pPr>
      <w:numPr>
        <w:numId w:val="8"/>
      </w:numPr>
    </w:pPr>
  </w:style>
  <w:style w:type="paragraph" w:customStyle="1" w:styleId="ListAlpha2">
    <w:name w:val="List Alpha 2"/>
    <w:basedOn w:val="List2"/>
    <w:rsid w:val="00B23983"/>
    <w:pPr>
      <w:numPr>
        <w:numId w:val="7"/>
      </w:numPr>
    </w:pPr>
  </w:style>
  <w:style w:type="paragraph" w:styleId="List2">
    <w:name w:val="List 2"/>
    <w:basedOn w:val="BodyText"/>
    <w:rsid w:val="00B23983"/>
    <w:pPr>
      <w:tabs>
        <w:tab w:val="left" w:pos="680"/>
      </w:tabs>
      <w:spacing w:before="60" w:after="60"/>
      <w:ind w:left="680" w:hanging="340"/>
    </w:pPr>
  </w:style>
  <w:style w:type="paragraph" w:styleId="List3">
    <w:name w:val="List 3"/>
    <w:basedOn w:val="BodyText"/>
    <w:rsid w:val="00B23983"/>
    <w:pPr>
      <w:tabs>
        <w:tab w:val="left" w:pos="1021"/>
      </w:tabs>
      <w:spacing w:before="60" w:after="60"/>
      <w:ind w:left="1020" w:hanging="340"/>
    </w:pPr>
  </w:style>
  <w:style w:type="paragraph" w:styleId="List4">
    <w:name w:val="List 4"/>
    <w:basedOn w:val="BodyText"/>
    <w:rsid w:val="00B23983"/>
    <w:pPr>
      <w:tabs>
        <w:tab w:val="left" w:pos="1361"/>
      </w:tabs>
      <w:spacing w:before="60" w:after="60"/>
      <w:ind w:left="1361" w:hanging="340"/>
    </w:pPr>
  </w:style>
  <w:style w:type="paragraph" w:styleId="List5">
    <w:name w:val="List 5"/>
    <w:basedOn w:val="BodyText"/>
    <w:rsid w:val="00B23983"/>
    <w:pPr>
      <w:tabs>
        <w:tab w:val="left" w:pos="1701"/>
      </w:tabs>
      <w:spacing w:before="60" w:after="60"/>
      <w:ind w:left="1701" w:hanging="340"/>
    </w:pPr>
  </w:style>
  <w:style w:type="paragraph" w:styleId="ListBullet3">
    <w:name w:val="List Bullet 3"/>
    <w:basedOn w:val="List3"/>
    <w:rsid w:val="00B23983"/>
    <w:pPr>
      <w:numPr>
        <w:numId w:val="13"/>
      </w:numPr>
      <w:tabs>
        <w:tab w:val="clear" w:pos="1021"/>
      </w:tabs>
      <w:ind w:left="1037" w:hanging="357"/>
    </w:pPr>
  </w:style>
  <w:style w:type="paragraph" w:styleId="ListBullet4">
    <w:name w:val="List Bullet 4"/>
    <w:basedOn w:val="List4"/>
    <w:rsid w:val="00B23983"/>
    <w:pPr>
      <w:numPr>
        <w:numId w:val="2"/>
      </w:numPr>
      <w:tabs>
        <w:tab w:val="clear" w:pos="1361"/>
      </w:tabs>
    </w:pPr>
  </w:style>
  <w:style w:type="paragraph" w:styleId="ListBullet5">
    <w:name w:val="List Bullet 5"/>
    <w:basedOn w:val="List5"/>
    <w:rsid w:val="00B23983"/>
    <w:pPr>
      <w:numPr>
        <w:numId w:val="3"/>
      </w:numPr>
    </w:pPr>
  </w:style>
  <w:style w:type="paragraph" w:styleId="ListContinue2">
    <w:name w:val="List Continue 2"/>
    <w:basedOn w:val="List2"/>
    <w:rsid w:val="00B23983"/>
    <w:pPr>
      <w:ind w:firstLine="0"/>
    </w:pPr>
  </w:style>
  <w:style w:type="paragraph" w:styleId="ListContinue3">
    <w:name w:val="List Continue 3"/>
    <w:basedOn w:val="List3"/>
    <w:rsid w:val="00B23983"/>
    <w:pPr>
      <w:ind w:left="1021" w:firstLine="0"/>
    </w:pPr>
  </w:style>
  <w:style w:type="paragraph" w:styleId="ListContinue4">
    <w:name w:val="List Continue 4"/>
    <w:basedOn w:val="List4"/>
    <w:rsid w:val="00B23983"/>
    <w:pPr>
      <w:ind w:firstLine="0"/>
    </w:pPr>
  </w:style>
  <w:style w:type="paragraph" w:styleId="ListContinue5">
    <w:name w:val="List Continue 5"/>
    <w:basedOn w:val="List5"/>
    <w:rsid w:val="00B23983"/>
    <w:pPr>
      <w:ind w:firstLine="0"/>
    </w:pPr>
  </w:style>
  <w:style w:type="paragraph" w:styleId="ListNumber3">
    <w:name w:val="List Number 3"/>
    <w:basedOn w:val="List3"/>
    <w:rsid w:val="00B23983"/>
    <w:pPr>
      <w:numPr>
        <w:numId w:val="4"/>
      </w:numPr>
    </w:pPr>
  </w:style>
  <w:style w:type="paragraph" w:styleId="ListNumber4">
    <w:name w:val="List Number 4"/>
    <w:basedOn w:val="List4"/>
    <w:rsid w:val="00B23983"/>
    <w:pPr>
      <w:numPr>
        <w:numId w:val="5"/>
      </w:numPr>
    </w:pPr>
  </w:style>
  <w:style w:type="paragraph" w:styleId="ListNumber5">
    <w:name w:val="List Number 5"/>
    <w:basedOn w:val="List5"/>
    <w:rsid w:val="00B23983"/>
    <w:pPr>
      <w:numPr>
        <w:numId w:val="6"/>
      </w:numPr>
    </w:pPr>
  </w:style>
  <w:style w:type="paragraph" w:styleId="BlockText">
    <w:name w:val="Block Text"/>
    <w:basedOn w:val="Normal"/>
    <w:rsid w:val="00B23983"/>
    <w:pPr>
      <w:spacing w:after="120"/>
      <w:ind w:left="1440" w:right="1440"/>
    </w:pPr>
  </w:style>
  <w:style w:type="character" w:customStyle="1" w:styleId="Subscript">
    <w:name w:val="Subscript"/>
    <w:basedOn w:val="DefaultParagraphFont"/>
    <w:rsid w:val="00B23983"/>
    <w:rPr>
      <w:sz w:val="16"/>
      <w:vertAlign w:val="subscript"/>
    </w:rPr>
  </w:style>
  <w:style w:type="character" w:customStyle="1" w:styleId="Superscript">
    <w:name w:val="Superscript"/>
    <w:basedOn w:val="DefaultParagraphFont"/>
    <w:rsid w:val="00B23983"/>
    <w:rPr>
      <w:sz w:val="16"/>
      <w:vertAlign w:val="superscript"/>
    </w:rPr>
  </w:style>
  <w:style w:type="character" w:customStyle="1" w:styleId="Symbols">
    <w:name w:val="Symbols"/>
    <w:basedOn w:val="DefaultParagraphFont"/>
    <w:rsid w:val="00B23983"/>
    <w:rPr>
      <w:rFonts w:ascii="Symbol" w:hAnsi="Symbol"/>
    </w:rPr>
  </w:style>
  <w:style w:type="character" w:customStyle="1" w:styleId="MenuOptions">
    <w:name w:val="Menu Options"/>
    <w:basedOn w:val="DefaultParagraphFont"/>
    <w:rsid w:val="00B23983"/>
    <w:rPr>
      <w:rFonts w:ascii="Arial Narrow" w:hAnsi="Arial Narrow"/>
      <w:smallCaps/>
    </w:rPr>
  </w:style>
  <w:style w:type="character" w:customStyle="1" w:styleId="Buttons">
    <w:name w:val="Buttons"/>
    <w:basedOn w:val="DefaultParagraphFont"/>
    <w:rsid w:val="00B23983"/>
    <w:rPr>
      <w:b/>
    </w:rPr>
  </w:style>
  <w:style w:type="character" w:customStyle="1" w:styleId="Underlined">
    <w:name w:val="Underlined"/>
    <w:basedOn w:val="DefaultParagraphFont"/>
    <w:rsid w:val="00B23983"/>
    <w:rPr>
      <w:u w:val="single"/>
    </w:rPr>
  </w:style>
  <w:style w:type="paragraph" w:customStyle="1" w:styleId="TableBodyTextRight">
    <w:name w:val="Table Body Text Right"/>
    <w:basedOn w:val="TableBodyText"/>
    <w:rsid w:val="00B23983"/>
    <w:pPr>
      <w:widowControl w:val="0"/>
      <w:autoSpaceDE w:val="0"/>
      <w:autoSpaceDN w:val="0"/>
      <w:adjustRightInd w:val="0"/>
      <w:jc w:val="right"/>
    </w:pPr>
    <w:rPr>
      <w:rFonts w:cs="Arial"/>
      <w:szCs w:val="18"/>
    </w:rPr>
  </w:style>
  <w:style w:type="paragraph" w:customStyle="1" w:styleId="CopyrightText">
    <w:name w:val="Copyright Text"/>
    <w:basedOn w:val="BodyText"/>
    <w:rsid w:val="00B23983"/>
    <w:rPr>
      <w:sz w:val="18"/>
    </w:rPr>
  </w:style>
  <w:style w:type="paragraph" w:customStyle="1" w:styleId="BodySmallRight">
    <w:name w:val="Body Small Right"/>
    <w:basedOn w:val="BodyTextRight"/>
    <w:rsid w:val="00B23983"/>
    <w:rPr>
      <w:sz w:val="18"/>
      <w:szCs w:val="18"/>
    </w:rPr>
  </w:style>
  <w:style w:type="paragraph" w:customStyle="1" w:styleId="MarginEdition">
    <w:name w:val="Margin Edition"/>
    <w:basedOn w:val="MarginNote"/>
    <w:rsid w:val="00B23983"/>
    <w:pPr>
      <w:spacing w:before="0" w:after="0"/>
    </w:pPr>
    <w:rPr>
      <w:rFonts w:ascii="Times New Roman" w:hAnsi="Times New Roman"/>
      <w:color w:val="999999"/>
    </w:rPr>
  </w:style>
  <w:style w:type="paragraph" w:customStyle="1" w:styleId="Spacer">
    <w:name w:val="Spacer"/>
    <w:basedOn w:val="Normal"/>
    <w:rsid w:val="00B23983"/>
    <w:rPr>
      <w:sz w:val="2"/>
      <w:szCs w:val="2"/>
    </w:rPr>
  </w:style>
  <w:style w:type="character" w:customStyle="1" w:styleId="Small">
    <w:name w:val="Small"/>
    <w:basedOn w:val="DefaultParagraphFont"/>
    <w:rsid w:val="00B23983"/>
    <w:rPr>
      <w:sz w:val="16"/>
    </w:rPr>
  </w:style>
  <w:style w:type="paragraph" w:customStyle="1" w:styleId="WideTable">
    <w:name w:val="Wide Table"/>
    <w:basedOn w:val="Normal"/>
    <w:rsid w:val="00B23983"/>
    <w:pPr>
      <w:ind w:left="-1418"/>
    </w:pPr>
    <w:rPr>
      <w:sz w:val="2"/>
      <w:szCs w:val="2"/>
    </w:rPr>
  </w:style>
  <w:style w:type="character" w:styleId="PageNumber">
    <w:name w:val="page number"/>
    <w:basedOn w:val="DefaultParagraphFont"/>
    <w:rsid w:val="00B23983"/>
  </w:style>
  <w:style w:type="paragraph" w:styleId="Quote">
    <w:name w:val="Quote"/>
    <w:basedOn w:val="Heading1"/>
    <w:link w:val="QuoteChar"/>
    <w:qFormat/>
    <w:rsid w:val="00B23983"/>
    <w:rPr>
      <w:b w:val="0"/>
      <w:sz w:val="72"/>
      <w:szCs w:val="72"/>
      <w:lang w:val="en-NZ"/>
    </w:rPr>
  </w:style>
  <w:style w:type="character" w:customStyle="1" w:styleId="QuoteChar">
    <w:name w:val="Quote Char"/>
    <w:basedOn w:val="DefaultParagraphFont"/>
    <w:link w:val="Quote"/>
    <w:rsid w:val="00B23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983"/>
    <w:pPr>
      <w:pageBreakBefore/>
    </w:pPr>
  </w:style>
  <w:style w:type="paragraph" w:customStyle="1" w:styleId="Border">
    <w:name w:val="Border"/>
    <w:basedOn w:val="Normal"/>
    <w:qFormat/>
    <w:rsid w:val="00B23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983"/>
    <w:rPr>
      <w:b/>
      <w:bCs/>
      <w:i/>
      <w:iCs/>
      <w:color w:val="auto"/>
    </w:rPr>
  </w:style>
  <w:style w:type="paragraph" w:styleId="IntenseQuote">
    <w:name w:val="Intense Quote"/>
    <w:basedOn w:val="Normal"/>
    <w:next w:val="Normal"/>
    <w:link w:val="IntenseQuoteChar"/>
    <w:uiPriority w:val="30"/>
    <w:qFormat/>
    <w:rsid w:val="00B23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983"/>
    <w:rPr>
      <w:smallCaps/>
      <w:color w:val="auto"/>
      <w:u w:val="single"/>
    </w:rPr>
  </w:style>
  <w:style w:type="character" w:styleId="IntenseReference">
    <w:name w:val="Intense Reference"/>
    <w:basedOn w:val="DefaultParagraphFont"/>
    <w:uiPriority w:val="32"/>
    <w:qFormat/>
    <w:rsid w:val="00B23983"/>
    <w:rPr>
      <w:b/>
      <w:bCs/>
      <w:smallCaps/>
      <w:color w:val="auto"/>
      <w:spacing w:val="5"/>
      <w:u w:val="single"/>
    </w:rPr>
  </w:style>
  <w:style w:type="paragraph" w:customStyle="1" w:styleId="2ColumnHeading">
    <w:name w:val="2Column Heading"/>
    <w:basedOn w:val="BodyText"/>
    <w:qFormat/>
    <w:rsid w:val="00B23983"/>
    <w:pPr>
      <w:spacing w:after="60"/>
      <w:ind w:left="-2268"/>
    </w:pPr>
    <w:rPr>
      <w:b/>
    </w:rPr>
  </w:style>
  <w:style w:type="paragraph" w:customStyle="1" w:styleId="Heading1TOC">
    <w:name w:val="Heading1 TOC"/>
    <w:basedOn w:val="Normal"/>
    <w:qFormat/>
    <w:rsid w:val="00B23983"/>
    <w:pPr>
      <w:spacing w:before="240" w:after="120"/>
    </w:pPr>
    <w:rPr>
      <w:rFonts w:ascii="Times New Roman" w:hAnsi="Times New Roman"/>
      <w:b/>
      <w:sz w:val="32"/>
    </w:rPr>
  </w:style>
  <w:style w:type="paragraph" w:customStyle="1" w:styleId="Heading2TOC">
    <w:name w:val="Heading2 TOC"/>
    <w:basedOn w:val="Normal"/>
    <w:qFormat/>
    <w:rsid w:val="00B23983"/>
    <w:pPr>
      <w:spacing w:before="240" w:after="60"/>
    </w:pPr>
    <w:rPr>
      <w:rFonts w:ascii="Times New Roman" w:hAnsi="Times New Roman"/>
      <w:b/>
      <w:sz w:val="28"/>
    </w:rPr>
  </w:style>
  <w:style w:type="character" w:customStyle="1" w:styleId="Underline">
    <w:name w:val="Underline"/>
    <w:basedOn w:val="DefaultParagraphFont"/>
    <w:qFormat/>
    <w:rsid w:val="00B23983"/>
    <w:rPr>
      <w:u w:val="single"/>
    </w:rPr>
  </w:style>
  <w:style w:type="character" w:customStyle="1" w:styleId="BoldandItalics">
    <w:name w:val="Bold and Italics"/>
    <w:qFormat/>
    <w:rsid w:val="00B23983"/>
    <w:rPr>
      <w:b/>
      <w:i/>
      <w:u w:val="none"/>
    </w:rPr>
  </w:style>
  <w:style w:type="paragraph" w:styleId="BalloonText">
    <w:name w:val="Balloon Text"/>
    <w:basedOn w:val="Normal"/>
    <w:link w:val="BalloonTextChar"/>
    <w:rsid w:val="00B23983"/>
    <w:rPr>
      <w:rFonts w:ascii="Tahoma" w:hAnsi="Tahoma" w:cs="Tahoma"/>
      <w:sz w:val="16"/>
      <w:szCs w:val="16"/>
    </w:rPr>
  </w:style>
  <w:style w:type="character" w:customStyle="1" w:styleId="BalloonTextChar">
    <w:name w:val="Balloon Text Char"/>
    <w:basedOn w:val="DefaultParagraphFont"/>
    <w:link w:val="BalloonText"/>
    <w:rsid w:val="00B23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983"/>
    <w:rPr>
      <w:b/>
      <w:color w:val="660033"/>
      <w:spacing w:val="0"/>
    </w:rPr>
  </w:style>
  <w:style w:type="paragraph" w:customStyle="1" w:styleId="Nameditemlist">
    <w:name w:val="Named item list"/>
    <w:basedOn w:val="BodyText"/>
    <w:qFormat/>
    <w:rsid w:val="00B23983"/>
    <w:pPr>
      <w:tabs>
        <w:tab w:val="left" w:pos="2835"/>
      </w:tabs>
      <w:ind w:left="2835" w:hanging="2835"/>
    </w:pPr>
  </w:style>
  <w:style w:type="paragraph" w:customStyle="1" w:styleId="BodyTextnopadding">
    <w:name w:val="Body Text no padding"/>
    <w:basedOn w:val="BodyText"/>
    <w:qFormat/>
    <w:rsid w:val="00B23983"/>
    <w:pPr>
      <w:spacing w:before="0" w:after="0"/>
    </w:pPr>
  </w:style>
  <w:style w:type="paragraph" w:customStyle="1" w:styleId="BodyTextBold">
    <w:name w:val="Body Text Bold"/>
    <w:basedOn w:val="BodyText"/>
    <w:qFormat/>
    <w:rsid w:val="00B23983"/>
    <w:rPr>
      <w:b/>
    </w:rPr>
  </w:style>
  <w:style w:type="character" w:styleId="Hyperlink">
    <w:name w:val="Hyperlink"/>
    <w:basedOn w:val="DefaultParagraphFont"/>
    <w:uiPriority w:val="99"/>
    <w:unhideWhenUsed/>
    <w:rsid w:val="000C6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1084</Words>
  <Characters>6878</Characters>
  <Application>Microsoft Office Word</Application>
  <DocSecurity>0</DocSecurity>
  <Lines>286</Lines>
  <Paragraphs>156</Paragraphs>
  <ScaleCrop>false</ScaleCrop>
  <Company>Author-it Software Corporation Ltd.</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PMAOMIR449 Monitor legal compliance obligations during incidents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2023-02-03T05:51:00Z</dcterms:created>
  <dcterms:modified xsi:type="dcterms:W3CDTF">2023-02-03T05:51:00Z</dcterms:modified>
</cp:coreProperties>
</file>