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6FD" w:rsidP="00AE46FD">
      <w:pPr>
        <w:pStyle w:val="Title"/>
      </w:pPr>
      <w:r>
        <w:fldChar w:fldCharType="begin"/>
      </w:r>
      <w:r>
        <w:instrText xml:space="preserve"> TITLE   \* MERGEFORMAT </w:instrText>
      </w:r>
      <w:r>
        <w:fldChar w:fldCharType="separate"/>
      </w:r>
      <w:r>
        <w:t>PMAOMIR444 Develop incident containment tactics</w:t>
      </w:r>
      <w:r>
        <w:fldChar w:fldCharType="end"/>
      </w:r>
    </w:p>
    <w:p w:rsidR="00AE46FD" w:rsidP="00AE46FD">
      <w:pPr>
        <w:pStyle w:val="Version"/>
        <w:sectPr w:rsidSect="00E02A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AA1" w:rsidP="00E02AA1">
      <w:pPr>
        <w:pStyle w:val="SuperHeading"/>
      </w:pPr>
      <w:r w:rsidRPr="00E02AA1">
        <w:t>PMAOMIR444 Develop incident containment tactics</w:t>
      </w:r>
    </w:p>
    <w:p w:rsidR="00000000" w:rsidRPr="00E02AA1" w:rsidP="00E02AA1">
      <w:pPr>
        <w:pStyle w:val="Heading1"/>
      </w:pPr>
      <w:bookmarkStart w:id="1" w:name="O_908924"/>
      <w:bookmarkEnd w:id="1"/>
      <w:r w:rsidRPr="00E02AA1">
        <w:t>Modification History</w:t>
      </w:r>
    </w:p>
    <w:p w:rsidR="00000000" w:rsidRPr="00E02AA1" w:rsidP="00AE46FD">
      <w:pPr>
        <w:pStyle w:val="BodyText"/>
      </w:pPr>
      <w:r w:rsidRPr="00E02AA1">
        <w:t>Release 1. Supersedes and is equivalent to PMAOMIR444B Develop incident containment tactics</w:t>
      </w:r>
    </w:p>
    <w:p w:rsidR="00000000" w:rsidRPr="00E02AA1" w:rsidP="00E02AA1">
      <w:pPr>
        <w:pStyle w:val="Heading1"/>
      </w:pPr>
      <w:bookmarkStart w:id="2" w:name="O_908932"/>
      <w:bookmarkEnd w:id="2"/>
      <w:r w:rsidRPr="00E02AA1">
        <w:t>Application</w:t>
      </w:r>
    </w:p>
    <w:p w:rsidR="00000000" w:rsidRPr="00E02AA1" w:rsidP="00AE46FD">
      <w:pPr>
        <w:pStyle w:val="BodyText"/>
      </w:pPr>
      <w:r w:rsidRPr="00E02AA1">
        <w:t>This unit of competency covers the skills and knowledge required to develop tactics to be used in the cont</w:t>
      </w:r>
      <w:r w:rsidRPr="00E02AA1">
        <w:t>ainment of incidents in on-shore and off-shore facilities.</w:t>
      </w:r>
    </w:p>
    <w:p w:rsidR="00000000" w:rsidRPr="00E02AA1" w:rsidP="00AE46FD">
      <w:pPr>
        <w:pStyle w:val="BodyText"/>
      </w:pPr>
      <w:r w:rsidRPr="00E02AA1">
        <w:t>An incident is an event which causes, or could have caused, injury or illness; damage to plant, material or the environment; disruption to production or public alarm.</w:t>
      </w:r>
    </w:p>
    <w:p w:rsidR="00000000" w:rsidRPr="00E02AA1" w:rsidP="00AE46FD">
      <w:pPr>
        <w:pStyle w:val="BodyText"/>
      </w:pPr>
      <w:r w:rsidRPr="00E02AA1">
        <w:t>An incident is an unintended</w:t>
      </w:r>
      <w:r w:rsidRPr="00E02AA1">
        <w:t xml:space="preserve"> event, or an unintended consequence of an intended event, such as: </w:t>
      </w:r>
    </w:p>
    <w:p w:rsidR="00000000" w:rsidRPr="00E02AA1" w:rsidP="00E02AA1">
      <w:pPr>
        <w:pStyle w:val="ListBullet"/>
      </w:pPr>
      <w:r w:rsidRPr="00E02AA1">
        <w:t>fire and explosion</w:t>
      </w:r>
    </w:p>
    <w:p w:rsidR="00000000" w:rsidRPr="00E02AA1" w:rsidP="00E02AA1">
      <w:pPr>
        <w:pStyle w:val="ListBullet"/>
      </w:pPr>
      <w:r w:rsidRPr="00E02AA1">
        <w:t>loss of containment</w:t>
      </w:r>
    </w:p>
    <w:p w:rsidR="00000000" w:rsidRPr="00E02AA1" w:rsidP="00E02AA1">
      <w:pPr>
        <w:pStyle w:val="ListBullet"/>
      </w:pPr>
      <w:r w:rsidRPr="00E02AA1">
        <w:t>excursions above/below acceptable limits for emissions or plant conditions</w:t>
      </w:r>
    </w:p>
    <w:p w:rsidR="00000000" w:rsidRPr="00E02AA1" w:rsidP="00E02AA1">
      <w:pPr>
        <w:pStyle w:val="ListBullet"/>
      </w:pPr>
      <w:r w:rsidRPr="00E02AA1">
        <w:t>excursions above occupational hygiene or biological exposure limits</w:t>
      </w:r>
    </w:p>
    <w:p w:rsidR="00000000" w:rsidRPr="00E02AA1" w:rsidP="00E02AA1">
      <w:pPr>
        <w:pStyle w:val="ListBullet"/>
      </w:pPr>
      <w:r w:rsidRPr="00E02AA1">
        <w:t>non-</w:t>
      </w:r>
      <w:r w:rsidRPr="00E02AA1">
        <w:t>compliance with regulatory requirements</w:t>
      </w:r>
    </w:p>
    <w:p w:rsidR="00000000" w:rsidRPr="00E02AA1" w:rsidP="00E02AA1">
      <w:pPr>
        <w:pStyle w:val="ListBullet"/>
      </w:pPr>
      <w:r w:rsidRPr="00E02AA1">
        <w:t>security breaches</w:t>
      </w:r>
    </w:p>
    <w:p w:rsidR="00000000" w:rsidRPr="00E02AA1" w:rsidP="00E02AA1">
      <w:pPr>
        <w:pStyle w:val="ListBullet"/>
      </w:pPr>
      <w:r w:rsidRPr="00E02AA1">
        <w:t>failure to follow procedures</w:t>
      </w:r>
    </w:p>
    <w:p w:rsidR="00000000" w:rsidRPr="00E02AA1" w:rsidP="00E02AA1">
      <w:pPr>
        <w:pStyle w:val="ListBullet"/>
      </w:pPr>
      <w:r w:rsidRPr="00E02AA1">
        <w:t>complaints</w:t>
      </w:r>
    </w:p>
    <w:p w:rsidR="00000000" w:rsidRPr="00E02AA1" w:rsidP="00E02AA1">
      <w:pPr>
        <w:pStyle w:val="ListBullet"/>
      </w:pPr>
      <w:r w:rsidRPr="00E02AA1">
        <w:t>vehicle incidents</w:t>
      </w:r>
    </w:p>
    <w:p w:rsidR="00000000" w:rsidRPr="00E02AA1" w:rsidP="00E02AA1">
      <w:pPr>
        <w:pStyle w:val="ListBullet"/>
      </w:pPr>
      <w:r w:rsidRPr="00E02AA1">
        <w:t>on/off-site incidents.</w:t>
      </w:r>
    </w:p>
    <w:p w:rsidR="00000000" w:rsidRPr="00E02AA1" w:rsidP="00E02AA1">
      <w:pPr>
        <w:pStyle w:val="BodyText"/>
      </w:pPr>
    </w:p>
    <w:p w:rsidR="00000000" w:rsidRPr="00E02AA1" w:rsidP="00AE46FD">
      <w:pPr>
        <w:pStyle w:val="BodyText"/>
      </w:pPr>
      <w:r w:rsidRPr="00E02AA1">
        <w:t>This unit of c</w:t>
      </w:r>
      <w:r w:rsidRPr="00E02AA1">
        <w:t>ompetency applies to incident coordinators, managers, technical specialists or those in similar roles who are part of an incident response team. They may, but may not, have an ongoing role in managing the training and incident exercise system.</w:t>
      </w:r>
    </w:p>
    <w:p w:rsidR="00000000" w:rsidRPr="00E02AA1" w:rsidP="00AE46FD">
      <w:pPr>
        <w:pStyle w:val="BodyText"/>
      </w:pPr>
      <w:r w:rsidRPr="00E02AA1">
        <w:t>They will b</w:t>
      </w:r>
      <w:r w:rsidRPr="00E02AA1">
        <w:t>e required to assess the nature of the potential incident, identify objectives for incident containment, evaluate alternative tactics, analyse and interpret feedback and other information, recommend tactics appropriate to the context, and ensure that docum</w:t>
      </w:r>
      <w:r w:rsidRPr="00E02AA1">
        <w:t>entation and information is available to those who require it.</w:t>
      </w:r>
    </w:p>
    <w:p w:rsidR="00000000" w:rsidRPr="00E02AA1" w:rsidP="00AE46FD">
      <w:pPr>
        <w:pStyle w:val="BodyText"/>
      </w:pPr>
      <w:r w:rsidRPr="00E02AA1">
        <w:t>This unit of competency applies to an individual working alone or as part of an incident management team and working in liaison with other members of the incident management team and the incid</w:t>
      </w:r>
      <w:r w:rsidRPr="00E02AA1">
        <w:t>ent manager, as appropriate.</w:t>
      </w:r>
    </w:p>
    <w:p w:rsidR="00000000" w:rsidRPr="00E02AA1" w:rsidP="00AE46FD">
      <w:pPr>
        <w:pStyle w:val="BodyText"/>
      </w:pPr>
      <w:r w:rsidRPr="00E02AA1">
        <w:t>No licensing, legislative or certification requirements apply to this unit at the time of publication.</w:t>
      </w:r>
    </w:p>
    <w:p w:rsidR="00000000" w:rsidRPr="00E02AA1" w:rsidP="00E02AA1">
      <w:pPr>
        <w:pStyle w:val="Heading1"/>
      </w:pPr>
      <w:bookmarkStart w:id="3" w:name="O_908931"/>
      <w:bookmarkEnd w:id="3"/>
      <w:r w:rsidRPr="00E02AA1">
        <w:t>Pre-requisite Unit</w:t>
      </w:r>
    </w:p>
    <w:p w:rsidR="00000000" w:rsidRPr="00E02AA1" w:rsidP="00AE46FD">
      <w:pPr>
        <w:pStyle w:val="BodyText"/>
      </w:pPr>
      <w:r w:rsidRPr="00E02AA1">
        <w:t>Nil</w:t>
      </w:r>
    </w:p>
    <w:p w:rsidR="00000000" w:rsidRPr="00E02AA1" w:rsidP="00E02AA1">
      <w:pPr>
        <w:pStyle w:val="Heading1"/>
      </w:pPr>
      <w:bookmarkStart w:id="4" w:name="O_908930"/>
      <w:bookmarkEnd w:id="4"/>
      <w:r w:rsidRPr="00E02AA1">
        <w:t>Competency Field</w:t>
      </w:r>
    </w:p>
    <w:p w:rsidR="00000000" w:rsidRPr="00E02AA1" w:rsidP="00AE46FD">
      <w:pPr>
        <w:pStyle w:val="BodyText"/>
      </w:pPr>
      <w:r w:rsidRPr="00E02AA1">
        <w:t>Incident readiness and response</w:t>
      </w:r>
    </w:p>
    <w:p w:rsidR="00000000" w:rsidRPr="00E02AA1" w:rsidP="00E02AA1">
      <w:pPr>
        <w:pStyle w:val="Heading1"/>
      </w:pPr>
      <w:bookmarkStart w:id="5" w:name="O_908929"/>
      <w:bookmarkEnd w:id="5"/>
      <w:r w:rsidRPr="00E02AA1">
        <w:t>Unit Sector</w:t>
      </w:r>
    </w:p>
    <w:p w:rsidR="00000000" w:rsidRPr="00E02AA1" w:rsidP="00E02AA1">
      <w:pPr>
        <w:pStyle w:val="Heading1"/>
      </w:pPr>
      <w:bookmarkStart w:id="6" w:name="O_908928"/>
      <w:bookmarkEnd w:id="6"/>
      <w:r w:rsidRPr="00E02A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2A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Performance criteria describe the performance needed to demonstrate achievement of the element.</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1</w:t>
            </w:r>
          </w:p>
        </w:tc>
        <w:tc>
          <w:tcPr>
            <w:tcW w:w="1962" w:type="dxa"/>
            <w:vMerge w:val="restart"/>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Identify incident containment tactics</w:t>
            </w: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1.1</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Identify risk characteristics of the possible incident scenarios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1.2</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Identify specific objectives of incident containment</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1.3</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Identify existing tactics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1.4</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Develop a range of alternative tactics</w:t>
            </w:r>
          </w:p>
        </w:tc>
      </w:tr>
      <w:tr w:rsidTr="00E02A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2AA1">
            <w:pPr>
              <w:pStyle w:val="BodyText"/>
              <w:rPr>
                <w:lang w:val="en-NZ"/>
              </w:rPr>
            </w:pP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2</w:t>
            </w:r>
          </w:p>
        </w:tc>
        <w:tc>
          <w:tcPr>
            <w:tcW w:w="1962" w:type="dxa"/>
            <w:vMerge w:val="restart"/>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Evaluate tactics</w:t>
            </w: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2.1</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Predict incident behaviour and growth under alternative strategy scenarios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2.2</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Consider issues relating to health, safety and environment (HSE)</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2.3</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Identify and secure resource requirements for alternative tactics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2.4</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Identify the impact of tactics on a range of factors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2.5</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Identify and clearly document tactics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2.6</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 xml:space="preserve">Obtain, collate and record feedback on tactics from stakeholders and incident managers, and ensure this is reflected in the documentation according to </w:t>
            </w:r>
            <w:r w:rsidRPr="00E02AA1">
              <w:t>procedures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2.7</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Negotiate stakeholder needs and address</w:t>
            </w:r>
          </w:p>
        </w:tc>
      </w:tr>
      <w:tr w:rsidTr="00E02A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2AA1">
            <w:pPr>
              <w:pStyle w:val="BodyText"/>
              <w:rPr>
                <w:lang w:val="en-NZ"/>
              </w:rPr>
            </w:pP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3</w:t>
            </w:r>
          </w:p>
        </w:tc>
        <w:tc>
          <w:tcPr>
            <w:tcW w:w="1962" w:type="dxa"/>
            <w:vMerge w:val="restart"/>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Select tactics</w:t>
            </w: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3.1</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Document findings and feedback on the suitability of different tactics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3.2</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Recommend preferred tactics according to procedures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3.3</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Document tactics and build into strategies and training guidelines</w:t>
            </w:r>
          </w:p>
        </w:tc>
      </w:tr>
      <w:tr w:rsidTr="00E02A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2AA1">
            <w:pPr>
              <w:pStyle w:val="BodyText"/>
              <w:rPr>
                <w:lang w:val="en-NZ"/>
              </w:rPr>
            </w:pP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4</w:t>
            </w:r>
          </w:p>
        </w:tc>
        <w:tc>
          <w:tcPr>
            <w:tcW w:w="1962" w:type="dxa"/>
            <w:vMerge w:val="restart"/>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Adopt strategies</w:t>
            </w: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4.1</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Incorporate documentation on selected tactics into the appropriate incident management manuals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4.2</w:t>
            </w:r>
          </w:p>
        </w:tc>
        <w:tc>
          <w:tcPr>
            <w:tcW w:w="561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Notify stakeholders of new tactics</w:t>
            </w:r>
          </w:p>
        </w:tc>
      </w:tr>
      <w:tr w:rsidTr="00E02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4.3</w:t>
            </w:r>
          </w:p>
        </w:tc>
        <w:tc>
          <w:tcPr>
            <w:tcW w:w="5610" w:type="dxa"/>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Incorporate selected tactics into incident training exercises</w:t>
            </w:r>
          </w:p>
        </w:tc>
      </w:tr>
    </w:tbl>
    <w:p w:rsidR="00000000" w:rsidRPr="00E02AA1" w:rsidP="00E02AA1">
      <w:pPr>
        <w:pStyle w:val="BodyText"/>
      </w:pPr>
    </w:p>
    <w:p w:rsidR="00000000" w:rsidRPr="00E02AA1" w:rsidP="00E02AA1">
      <w:pPr>
        <w:pStyle w:val="AllowPageBreak"/>
      </w:pPr>
    </w:p>
    <w:p w:rsidR="00000000" w:rsidRPr="00E02AA1" w:rsidP="00E02AA1">
      <w:pPr>
        <w:pStyle w:val="Heading1"/>
      </w:pPr>
      <w:bookmarkStart w:id="7" w:name="O_908927"/>
      <w:bookmarkEnd w:id="7"/>
      <w:r w:rsidRPr="00E02AA1">
        <w:t>Foundation Skills</w:t>
      </w:r>
    </w:p>
    <w:p w:rsidR="00000000" w:rsidRPr="00E02AA1" w:rsidP="00AE46FD">
      <w:pPr>
        <w:pStyle w:val="BodyText"/>
      </w:pPr>
      <w:r w:rsidRPr="00E02AA1">
        <w:t>This section describes those language, literacy, numeracy and employment skills that are essential to performance.</w:t>
      </w:r>
    </w:p>
    <w:p w:rsidR="00000000" w:rsidRPr="00E02AA1" w:rsidP="00AE46FD">
      <w:pPr>
        <w:pStyle w:val="BodyText"/>
      </w:pPr>
      <w:r w:rsidRPr="00E02AA1">
        <w:t>Foundation skills essential to performance are explicit in the performance criteria of this unit of competency.</w:t>
      </w:r>
    </w:p>
    <w:p w:rsidR="00000000" w:rsidRPr="00E02AA1" w:rsidP="00E02AA1">
      <w:pPr>
        <w:pStyle w:val="Heading1"/>
      </w:pPr>
      <w:bookmarkStart w:id="8" w:name="O_908926"/>
      <w:bookmarkEnd w:id="8"/>
      <w:r w:rsidRPr="00E02AA1">
        <w:t>Range of Conditions</w:t>
      </w:r>
    </w:p>
    <w:tbl>
      <w:tblPr>
        <w:tblW w:w="0" w:type="auto"/>
        <w:tblCellMar>
          <w:left w:w="62" w:type="dxa"/>
          <w:right w:w="62" w:type="dxa"/>
        </w:tblCellMar>
        <w:tblLook w:val="0000"/>
      </w:tblPr>
      <w:tblGrid>
        <w:gridCol w:w="2163"/>
        <w:gridCol w:w="7033"/>
      </w:tblGrid>
      <w:tr w:rsidTr="00AE46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t>This field allows for different work environments and conditions that may affect performance. Essential ope</w:t>
            </w:r>
            <w:r w:rsidRPr="00E02AA1">
              <w:t>rating conditions that may be present (depending on the work situation, needs of the candidate, accessibility of the item, and local industry and regional contexts) are included.</w:t>
            </w:r>
          </w:p>
        </w:tc>
      </w:tr>
      <w:tr w:rsidTr="00AE4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The latest version of all legislation, regulations, in</w:t>
            </w:r>
            <w:r w:rsidRPr="00E02AA1">
              <w:t>dustry codes of practice and Australian/international standards, or the version specified by the local regulatory authority, must be used, and include one or more of the following:</w:t>
            </w:r>
          </w:p>
          <w:p w:rsidR="00000000" w:rsidRPr="00E02AA1" w:rsidP="00E02AA1">
            <w:pPr>
              <w:pStyle w:val="ListBullet"/>
            </w:pPr>
            <w:r w:rsidRPr="00E02AA1">
              <w:t>legislative requirements, including work health and safety (WHS)</w:t>
            </w:r>
          </w:p>
          <w:p w:rsidR="00000000" w:rsidRPr="00E02AA1" w:rsidP="00E02AA1">
            <w:pPr>
              <w:pStyle w:val="ListBullet"/>
            </w:pPr>
            <w:r w:rsidRPr="00E02AA1">
              <w:t xml:space="preserve">industry </w:t>
            </w:r>
            <w:r w:rsidRPr="00E02AA1">
              <w:t>codes of practice and guidelines</w:t>
            </w:r>
          </w:p>
          <w:p w:rsidR="00000000" w:rsidRPr="00E02AA1" w:rsidP="00E02AA1">
            <w:pPr>
              <w:pStyle w:val="ListBullet"/>
            </w:pPr>
            <w:r w:rsidRPr="00E02AA1">
              <w:t xml:space="preserve">environmental regulations and guidelines </w:t>
            </w:r>
          </w:p>
          <w:p w:rsidR="00000000" w:rsidRPr="00E02AA1" w:rsidP="00E02AA1">
            <w:pPr>
              <w:pStyle w:val="ListBullet"/>
            </w:pPr>
            <w:r w:rsidRPr="00E02AA1">
              <w:t>Australian and other standards</w:t>
            </w:r>
          </w:p>
          <w:p w:rsidR="00000000" w:rsidRPr="00E02AA1" w:rsidP="00E02AA1">
            <w:pPr>
              <w:pStyle w:val="ListBullet"/>
            </w:pPr>
            <w:r w:rsidRPr="00E02AA1">
              <w:t xml:space="preserve">licence and certification requirements </w:t>
            </w:r>
          </w:p>
          <w:p w:rsidR="00000000" w:rsidRPr="00E02AA1" w:rsidP="00E02AA1">
            <w:pPr>
              <w:pStyle w:val="BodyText"/>
            </w:pPr>
          </w:p>
          <w:p w:rsidR="00000000" w:rsidRPr="00E02AA1" w:rsidP="00E02AA1">
            <w:pPr>
              <w:pStyle w:val="BodyText"/>
            </w:pPr>
            <w:r w:rsidRPr="00E02AA1">
              <w:t>All operations to which this unit applies are subject to stringent health, safety and environment (HSE) requirements, which may be imposed through state/territory or federal legislation, and these must not be compromised at any time. Where there is an appa</w:t>
            </w:r>
            <w:r w:rsidRPr="00E02AA1">
              <w:t>rent conflict between performance criteria and HSE requirements, the HSE requirements take precedence.</w:t>
            </w:r>
          </w:p>
          <w:p w:rsidR="00000000" w:rsidP="00E02AA1">
            <w:pPr>
              <w:pStyle w:val="BodyText"/>
              <w:rPr>
                <w:lang w:val="en-NZ"/>
              </w:rPr>
            </w:pPr>
          </w:p>
        </w:tc>
      </w:tr>
      <w:tr w:rsidTr="00AE4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Incident response includes one or more of the following:</w:t>
            </w:r>
          </w:p>
          <w:p w:rsidR="00000000" w:rsidRPr="00E02AA1" w:rsidP="00E02AA1">
            <w:pPr>
              <w:pStyle w:val="ListBullet"/>
            </w:pPr>
            <w:r w:rsidRPr="00E02AA1">
              <w:t>deployment of site incident response personnel</w:t>
            </w:r>
          </w:p>
          <w:p w:rsidR="00000000" w:rsidRPr="00E02AA1" w:rsidP="00E02AA1">
            <w:pPr>
              <w:pStyle w:val="ListBullet"/>
            </w:pPr>
            <w:r w:rsidRPr="00E02AA1">
              <w:t>containing/controlling the i</w:t>
            </w:r>
            <w:r w:rsidRPr="00E02AA1">
              <w:t>ncident at source and or its spread</w:t>
            </w:r>
          </w:p>
          <w:p w:rsidR="00000000" w:rsidRPr="00E02AA1" w:rsidP="00E02AA1">
            <w:pPr>
              <w:pStyle w:val="ListBullet"/>
            </w:pPr>
            <w:r w:rsidRPr="00E02AA1">
              <w:t>search and rescue operations</w:t>
            </w:r>
          </w:p>
          <w:p w:rsidR="00000000" w:rsidRPr="00E02AA1" w:rsidP="00E02AA1">
            <w:pPr>
              <w:pStyle w:val="ListBullet"/>
            </w:pPr>
            <w:r w:rsidRPr="00E02AA1">
              <w:t>engagement of external emergency services (such as fire, ambulance, rescue and military)</w:t>
            </w:r>
          </w:p>
          <w:p w:rsidR="00000000" w:rsidRPr="00E02AA1" w:rsidP="00E02AA1">
            <w:pPr>
              <w:pStyle w:val="ListBullet"/>
            </w:pPr>
            <w:r w:rsidRPr="00E02AA1">
              <w:t xml:space="preserve">liaison with other agencies (such as environmental, clean-up and specialised troubleshooters) </w:t>
            </w:r>
          </w:p>
          <w:p w:rsidR="00000000" w:rsidRPr="00E02AA1" w:rsidP="00E02AA1">
            <w:pPr>
              <w:pStyle w:val="ListBullet"/>
            </w:pPr>
            <w:r w:rsidRPr="00E02AA1">
              <w:t>evacuat</w:t>
            </w:r>
            <w:r w:rsidRPr="00E02AA1">
              <w:t>ion</w:t>
            </w:r>
          </w:p>
          <w:p w:rsidR="00000000" w:rsidRPr="00E02AA1" w:rsidP="00E02AA1">
            <w:pPr>
              <w:pStyle w:val="ListBullet"/>
            </w:pPr>
            <w:r w:rsidRPr="00E02AA1">
              <w:t>hazard control</w:t>
            </w:r>
          </w:p>
          <w:p w:rsidR="00000000" w:rsidRPr="00E02AA1" w:rsidP="00E02AA1">
            <w:pPr>
              <w:pStyle w:val="BodyText"/>
            </w:pPr>
          </w:p>
          <w:p w:rsidR="00000000" w:rsidRPr="00E02AA1" w:rsidP="00E02AA1">
            <w:pPr>
              <w:pStyle w:val="BodyText"/>
            </w:pPr>
            <w:r w:rsidRPr="00E02AA1">
              <w:t xml:space="preserve">Incident response actions must: </w:t>
            </w:r>
          </w:p>
          <w:p w:rsidR="00000000" w:rsidRPr="00E02AA1" w:rsidP="00E02AA1">
            <w:pPr>
              <w:pStyle w:val="ListBullet"/>
            </w:pPr>
            <w:r w:rsidRPr="00E02AA1">
              <w:t>be in accordance with and relevant organisation procedures</w:t>
            </w:r>
          </w:p>
          <w:p w:rsidR="00000000" w:rsidRPr="00E02AA1" w:rsidP="00E02AA1">
            <w:pPr>
              <w:pStyle w:val="ListBullet"/>
            </w:pPr>
            <w:r w:rsidRPr="00E02AA1">
              <w:t>use appropriate response equipment, where required</w:t>
            </w:r>
          </w:p>
          <w:p w:rsidR="00000000" w:rsidRPr="00E02AA1" w:rsidP="00E02AA1">
            <w:pPr>
              <w:pStyle w:val="ListBullet"/>
            </w:pPr>
            <w:r w:rsidRPr="00E02AA1">
              <w:t>prioritise th</w:t>
            </w:r>
            <w:r w:rsidRPr="00E02AA1">
              <w:t xml:space="preserve">e safety and/or successful recovery of personnel and others affected by the incident response </w:t>
            </w:r>
          </w:p>
          <w:p w:rsidR="00000000" w:rsidRPr="00E02AA1" w:rsidP="00E02AA1">
            <w:pPr>
              <w:pStyle w:val="ListBullet"/>
            </w:pPr>
            <w:r w:rsidRPr="00E02AA1">
              <w:rPr>
                <w:rStyle w:val="SpecialBold"/>
              </w:rPr>
              <w:t>not</w:t>
            </w:r>
            <w:r w:rsidRPr="00E02AA1">
              <w:t xml:space="preserve"> inhibit effectiveness of the incident response or further contribute to the incident</w:t>
            </w:r>
          </w:p>
          <w:p w:rsidR="00000000" w:rsidP="00E02AA1">
            <w:pPr>
              <w:pStyle w:val="BodyText"/>
              <w:rPr>
                <w:lang w:val="en-NZ"/>
              </w:rPr>
            </w:pPr>
          </w:p>
        </w:tc>
      </w:tr>
      <w:tr w:rsidTr="00AE4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Alternative tactics</w:t>
            </w:r>
          </w:p>
        </w:tc>
        <w:tc>
          <w:tcPr>
            <w:tcW w:w="0" w:type="auto"/>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 xml:space="preserve">Alternative tactics are identified through one or </w:t>
            </w:r>
            <w:r w:rsidRPr="00E02AA1">
              <w:t>both of the following:</w:t>
            </w:r>
          </w:p>
          <w:p w:rsidR="00000000" w:rsidRPr="00E02AA1" w:rsidP="00E02AA1">
            <w:pPr>
              <w:pStyle w:val="ListBullet"/>
            </w:pPr>
            <w:r w:rsidRPr="00E02AA1">
              <w:t>consultation with experts</w:t>
            </w:r>
          </w:p>
          <w:p w:rsidR="00000000" w:rsidRPr="00E02AA1" w:rsidP="00E02AA1">
            <w:pPr>
              <w:pStyle w:val="ListBullet"/>
            </w:pPr>
            <w:r w:rsidRPr="00E02AA1">
              <w:t>literature review</w:t>
            </w:r>
          </w:p>
          <w:p w:rsidR="00000000" w:rsidP="00E02AA1">
            <w:pPr>
              <w:pStyle w:val="BodyText"/>
              <w:rPr>
                <w:lang w:val="en-NZ"/>
              </w:rPr>
            </w:pPr>
          </w:p>
        </w:tc>
      </w:tr>
      <w:tr w:rsidTr="00AE4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Evaluate tactics</w:t>
            </w:r>
          </w:p>
        </w:tc>
        <w:tc>
          <w:tcPr>
            <w:tcW w:w="0" w:type="auto"/>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Evaluation of tactics requires consideration of:</w:t>
            </w:r>
          </w:p>
          <w:p w:rsidR="00000000" w:rsidRPr="00E02AA1" w:rsidP="00E02AA1">
            <w:pPr>
              <w:pStyle w:val="ListBullet"/>
            </w:pPr>
            <w:r w:rsidRPr="00E02AA1">
              <w:t>specific incident conditions</w:t>
            </w:r>
          </w:p>
          <w:p w:rsidR="00000000" w:rsidRPr="00E02AA1" w:rsidP="00E02AA1">
            <w:pPr>
              <w:pStyle w:val="ListBullet"/>
            </w:pPr>
            <w:r w:rsidRPr="00E02AA1">
              <w:t>insurance policies and considerations</w:t>
            </w:r>
          </w:p>
          <w:p w:rsidR="00000000" w:rsidRPr="00E02AA1" w:rsidP="00E02AA1">
            <w:pPr>
              <w:pStyle w:val="ListBullet"/>
            </w:pPr>
            <w:r w:rsidRPr="00E02AA1">
              <w:t>economic impact and considerations</w:t>
            </w:r>
          </w:p>
          <w:p w:rsidR="00000000" w:rsidRPr="00E02AA1" w:rsidP="00E02AA1">
            <w:pPr>
              <w:pStyle w:val="ListBullet"/>
            </w:pPr>
            <w:r w:rsidRPr="00E02AA1">
              <w:t>availability, capabilities and operational limitations of external resources and agencies</w:t>
            </w:r>
          </w:p>
          <w:p w:rsidR="00000000" w:rsidP="00E02AA1">
            <w:pPr>
              <w:pStyle w:val="BodyText"/>
              <w:rPr>
                <w:lang w:val="en-NZ"/>
              </w:rPr>
            </w:pPr>
          </w:p>
        </w:tc>
      </w:tr>
      <w:tr w:rsidTr="00AE4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Preferred tactics</w:t>
            </w:r>
          </w:p>
        </w:tc>
        <w:tc>
          <w:tcPr>
            <w:tcW w:w="0" w:type="auto"/>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Preferred tactics meet one or more of the following:</w:t>
            </w:r>
          </w:p>
          <w:p w:rsidR="00000000" w:rsidRPr="00E02AA1" w:rsidP="00E02AA1">
            <w:pPr>
              <w:pStyle w:val="ListBullet"/>
            </w:pPr>
            <w:r w:rsidRPr="00E02AA1">
              <w:t>tactics achieve the desired outcomes</w:t>
            </w:r>
          </w:p>
          <w:p w:rsidR="00000000" w:rsidRPr="00E02AA1" w:rsidP="00E02AA1">
            <w:pPr>
              <w:pStyle w:val="ListBullet"/>
            </w:pPr>
            <w:r w:rsidRPr="00E02AA1">
              <w:t>tactic development is of greater value than expected</w:t>
            </w:r>
          </w:p>
          <w:p w:rsidR="00000000" w:rsidRPr="00E02AA1" w:rsidP="00E02AA1">
            <w:pPr>
              <w:pStyle w:val="ListBullet"/>
            </w:pPr>
            <w:r w:rsidRPr="00E02AA1">
              <w:t>ad</w:t>
            </w:r>
            <w:r w:rsidRPr="00E02AA1">
              <w:t>option of tactics finds widespread approval</w:t>
            </w:r>
          </w:p>
          <w:p w:rsidR="00000000" w:rsidRPr="00E02AA1" w:rsidP="00E02AA1">
            <w:pPr>
              <w:pStyle w:val="ListBullet"/>
            </w:pPr>
            <w:r w:rsidRPr="00E02AA1">
              <w:t>incident containment is a success</w:t>
            </w:r>
          </w:p>
          <w:p w:rsidR="00000000" w:rsidP="00E02AA1">
            <w:pPr>
              <w:pStyle w:val="BodyText"/>
              <w:rPr>
                <w:lang w:val="en-NZ"/>
              </w:rPr>
            </w:pPr>
          </w:p>
        </w:tc>
      </w:tr>
      <w:tr w:rsidTr="00AE4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Stakeholders</w:t>
            </w:r>
          </w:p>
        </w:tc>
        <w:tc>
          <w:tcPr>
            <w:tcW w:w="0" w:type="auto"/>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Stakeholders include any or all of the following:</w:t>
            </w:r>
          </w:p>
          <w:p w:rsidR="00000000" w:rsidRPr="00E02AA1" w:rsidP="00E02AA1">
            <w:pPr>
              <w:pStyle w:val="ListBullet"/>
            </w:pPr>
            <w:r w:rsidRPr="00E02AA1">
              <w:t xml:space="preserve">experts/specialists </w:t>
            </w:r>
          </w:p>
          <w:p w:rsidR="00000000" w:rsidRPr="00E02AA1" w:rsidP="00E02AA1">
            <w:pPr>
              <w:pStyle w:val="ListBullet"/>
            </w:pPr>
            <w:r w:rsidRPr="00E02AA1">
              <w:t>shareholders</w:t>
            </w:r>
          </w:p>
          <w:p w:rsidR="00000000" w:rsidRPr="00E02AA1" w:rsidP="00E02AA1">
            <w:pPr>
              <w:pStyle w:val="ListBullet"/>
            </w:pPr>
            <w:r w:rsidRPr="00E02AA1">
              <w:t>board of directors</w:t>
            </w:r>
          </w:p>
          <w:p w:rsidR="00000000" w:rsidRPr="00E02AA1" w:rsidP="00E02AA1">
            <w:pPr>
              <w:pStyle w:val="ListBullet"/>
            </w:pPr>
            <w:r w:rsidRPr="00E02AA1">
              <w:t>employees</w:t>
            </w:r>
          </w:p>
          <w:p w:rsidR="00000000" w:rsidRPr="00E02AA1" w:rsidP="00E02AA1">
            <w:pPr>
              <w:pStyle w:val="ListBullet"/>
            </w:pPr>
            <w:r w:rsidRPr="00E02AA1">
              <w:t>unions</w:t>
            </w:r>
          </w:p>
          <w:p w:rsidR="00000000" w:rsidRPr="00E02AA1" w:rsidP="00E02AA1">
            <w:pPr>
              <w:pStyle w:val="ListBullet"/>
            </w:pPr>
            <w:r w:rsidRPr="00E02AA1">
              <w:t>contractors</w:t>
            </w:r>
          </w:p>
          <w:p w:rsidR="00000000" w:rsidRPr="00E02AA1" w:rsidP="00E02AA1">
            <w:pPr>
              <w:pStyle w:val="ListBullet"/>
            </w:pPr>
            <w:r w:rsidRPr="00E02AA1">
              <w:t>suppliers</w:t>
            </w:r>
          </w:p>
          <w:p w:rsidR="00000000" w:rsidRPr="00E02AA1" w:rsidP="00E02AA1">
            <w:pPr>
              <w:pStyle w:val="ListBullet"/>
            </w:pPr>
            <w:r w:rsidRPr="00E02AA1">
              <w:t>insurance companies</w:t>
            </w:r>
          </w:p>
          <w:p w:rsidR="00000000" w:rsidRPr="00E02AA1" w:rsidP="00E02AA1">
            <w:pPr>
              <w:pStyle w:val="ListBullet"/>
            </w:pPr>
            <w:r w:rsidRPr="00E02AA1">
              <w:t>local community</w:t>
            </w:r>
          </w:p>
          <w:p w:rsidR="00000000" w:rsidRPr="00E02AA1" w:rsidP="00E02AA1">
            <w:pPr>
              <w:pStyle w:val="ListBullet"/>
            </w:pPr>
            <w:r w:rsidRPr="00E02AA1">
              <w:t>fire brigade</w:t>
            </w:r>
          </w:p>
          <w:p w:rsidR="00000000" w:rsidRPr="00E02AA1" w:rsidP="00E02AA1">
            <w:pPr>
              <w:pStyle w:val="ListBullet"/>
            </w:pPr>
            <w:r w:rsidRPr="00E02AA1">
              <w:t>police</w:t>
            </w:r>
          </w:p>
          <w:p w:rsidR="00000000" w:rsidRPr="00E02AA1" w:rsidP="00E02AA1">
            <w:pPr>
              <w:pStyle w:val="ListBullet"/>
            </w:pPr>
            <w:r w:rsidRPr="00E02AA1">
              <w:t>local emergency management organisations</w:t>
            </w:r>
          </w:p>
          <w:p w:rsidR="00000000" w:rsidRPr="00E02AA1" w:rsidP="00E02AA1">
            <w:pPr>
              <w:pStyle w:val="ListBullet"/>
            </w:pPr>
            <w:r w:rsidRPr="00E02AA1">
              <w:t>medical services</w:t>
            </w:r>
          </w:p>
          <w:p w:rsidR="00000000" w:rsidRPr="00E02AA1" w:rsidP="00E02AA1">
            <w:pPr>
              <w:pStyle w:val="ListBullet"/>
            </w:pPr>
            <w:r w:rsidRPr="00E02AA1">
              <w:t>relevant public authority</w:t>
            </w:r>
          </w:p>
          <w:p w:rsidR="00000000" w:rsidP="00E02AA1">
            <w:pPr>
              <w:pStyle w:val="BodyText"/>
              <w:rPr>
                <w:lang w:val="en-NZ"/>
              </w:rPr>
            </w:pPr>
          </w:p>
        </w:tc>
      </w:tr>
      <w:tr w:rsidTr="00AE4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Hazards include one or more of the following:</w:t>
            </w:r>
          </w:p>
          <w:p w:rsidR="00000000" w:rsidRPr="00E02AA1" w:rsidP="00E02AA1">
            <w:pPr>
              <w:pStyle w:val="ListBullet"/>
            </w:pPr>
            <w:r w:rsidRPr="00E02AA1">
              <w:t>heat, smoke, dust, darkness or other atmospheric hazards</w:t>
            </w:r>
          </w:p>
          <w:p w:rsidR="00000000" w:rsidRPr="00E02AA1" w:rsidP="00E02AA1">
            <w:pPr>
              <w:pStyle w:val="ListBullet"/>
            </w:pPr>
            <w:r w:rsidRPr="00E02AA1">
              <w:t>electricity</w:t>
            </w:r>
          </w:p>
          <w:p w:rsidR="00000000" w:rsidRPr="00E02AA1" w:rsidP="00E02AA1">
            <w:pPr>
              <w:pStyle w:val="ListBullet"/>
            </w:pPr>
            <w:r w:rsidRPr="00E02AA1">
              <w:t>gas</w:t>
            </w:r>
          </w:p>
          <w:p w:rsidR="00000000" w:rsidRPr="00E02AA1" w:rsidP="00E02AA1">
            <w:pPr>
              <w:pStyle w:val="ListBullet"/>
            </w:pPr>
            <w:r w:rsidRPr="00E02AA1">
              <w:t xml:space="preserve">gases and liquids under pressure </w:t>
            </w:r>
          </w:p>
          <w:p w:rsidR="00000000" w:rsidRPr="00E02AA1" w:rsidP="00E02AA1">
            <w:pPr>
              <w:pStyle w:val="ListBullet"/>
            </w:pPr>
            <w:r w:rsidRPr="00E02AA1">
              <w:t>structural hazards</w:t>
            </w:r>
          </w:p>
          <w:p w:rsidR="00000000" w:rsidRPr="00E02AA1" w:rsidP="00E02AA1">
            <w:pPr>
              <w:pStyle w:val="ListBullet"/>
            </w:pPr>
            <w:r w:rsidRPr="00E02AA1">
              <w:t>structural collapse</w:t>
            </w:r>
          </w:p>
          <w:p w:rsidR="00000000" w:rsidRPr="00E02AA1" w:rsidP="00E02AA1">
            <w:pPr>
              <w:pStyle w:val="ListBullet"/>
            </w:pPr>
            <w:r w:rsidRPr="00E02AA1">
              <w:t>equipment failures</w:t>
            </w:r>
          </w:p>
          <w:p w:rsidR="00000000" w:rsidRPr="00E02AA1" w:rsidP="00E02AA1">
            <w:pPr>
              <w:pStyle w:val="ListBullet"/>
            </w:pPr>
            <w:r w:rsidRPr="00E02AA1">
              <w:t>industrial (machinery, equipment and product)</w:t>
            </w:r>
          </w:p>
          <w:p w:rsidR="00000000" w:rsidRPr="00E02AA1" w:rsidP="00E02AA1">
            <w:pPr>
              <w:pStyle w:val="ListBullet"/>
            </w:pPr>
            <w:r w:rsidRPr="00E02AA1">
              <w:t>equipment or product mass</w:t>
            </w:r>
          </w:p>
          <w:p w:rsidR="00000000" w:rsidRPr="00E02AA1" w:rsidP="00E02AA1">
            <w:pPr>
              <w:pStyle w:val="ListBullet"/>
            </w:pPr>
            <w:r w:rsidRPr="00E02AA1">
              <w:t>noise, rotational equipment or vibration</w:t>
            </w:r>
          </w:p>
          <w:p w:rsidR="00000000" w:rsidRPr="00E02AA1" w:rsidP="00E02AA1">
            <w:pPr>
              <w:pStyle w:val="ListBullet"/>
            </w:pPr>
            <w:r w:rsidRPr="00E02AA1">
              <w:t>plant services (s</w:t>
            </w:r>
            <w:r w:rsidRPr="00E02AA1">
              <w:t>team, condensate and cooling water)</w:t>
            </w:r>
          </w:p>
          <w:p w:rsidR="00000000" w:rsidRPr="00E02AA1" w:rsidP="00E02AA1">
            <w:pPr>
              <w:pStyle w:val="ListBullet"/>
            </w:pPr>
            <w:r w:rsidRPr="00E02AA1">
              <w:t xml:space="preserve">limited head spaces or overhangs </w:t>
            </w:r>
          </w:p>
          <w:p w:rsidR="00000000" w:rsidRPr="00E02AA1" w:rsidP="00E02AA1">
            <w:pPr>
              <w:pStyle w:val="ListBullet"/>
            </w:pPr>
            <w:r w:rsidRPr="00E02AA1">
              <w:t>working at heights, in restricted or confined spaces, or in environments subjected to heat, noise, dusts or vapours</w:t>
            </w:r>
          </w:p>
          <w:p w:rsidR="00000000" w:rsidRPr="00E02AA1" w:rsidP="00E02AA1">
            <w:pPr>
              <w:pStyle w:val="ListBullet"/>
            </w:pPr>
            <w:r w:rsidRPr="00E02AA1">
              <w:t>flammability and explosivity</w:t>
            </w:r>
          </w:p>
          <w:p w:rsidR="00000000" w:rsidRPr="00E02AA1" w:rsidP="00E02AA1">
            <w:pPr>
              <w:pStyle w:val="ListBullet"/>
            </w:pPr>
            <w:r w:rsidRPr="00E02AA1">
              <w:t>hazardous products and materials</w:t>
            </w:r>
          </w:p>
          <w:p w:rsidR="00000000" w:rsidRPr="00E02AA1" w:rsidP="00E02AA1">
            <w:pPr>
              <w:pStyle w:val="ListBullet"/>
            </w:pPr>
            <w:r w:rsidRPr="00E02AA1">
              <w:t>unauthor</w:t>
            </w:r>
            <w:r w:rsidRPr="00E02AA1">
              <w:t>ised personnel</w:t>
            </w:r>
          </w:p>
          <w:p w:rsidR="00000000" w:rsidRPr="00E02AA1" w:rsidP="00E02AA1">
            <w:pPr>
              <w:pStyle w:val="ListBullet"/>
            </w:pPr>
            <w:r w:rsidRPr="00E02AA1">
              <w:t>sharp edges, protrusions or obstructions</w:t>
            </w:r>
          </w:p>
          <w:p w:rsidR="00000000" w:rsidRPr="00E02AA1" w:rsidP="00E02AA1">
            <w:pPr>
              <w:pStyle w:val="ListBullet"/>
            </w:pPr>
            <w:r w:rsidRPr="00E02AA1">
              <w:t>slippery surfaces, spills or leaks</w:t>
            </w:r>
          </w:p>
          <w:p w:rsidR="00000000" w:rsidRPr="00E02AA1" w:rsidP="00E02AA1">
            <w:pPr>
              <w:pStyle w:val="ListBullet"/>
            </w:pPr>
            <w:r w:rsidRPr="00E02AA1">
              <w:t>extreme weather</w:t>
            </w:r>
          </w:p>
          <w:p w:rsidR="00000000" w:rsidRPr="00E02AA1" w:rsidP="00E02AA1">
            <w:pPr>
              <w:pStyle w:val="ListBullet"/>
            </w:pPr>
            <w:r w:rsidRPr="00E02AA1">
              <w:t>other hazards that might arise</w:t>
            </w:r>
          </w:p>
          <w:p w:rsidR="00000000" w:rsidRPr="00E02AA1" w:rsidP="00E02AA1">
            <w:pPr>
              <w:pStyle w:val="BodyText"/>
            </w:pPr>
          </w:p>
          <w:p w:rsidR="00000000" w:rsidRPr="00E02AA1" w:rsidP="00E02AA1">
            <w:pPr>
              <w:pStyle w:val="BodyText"/>
            </w:pPr>
            <w:r w:rsidRPr="00E02AA1">
              <w:t xml:space="preserve">Identifying risks requires consideration of specific hazards, and: </w:t>
            </w:r>
          </w:p>
          <w:p w:rsidR="00000000" w:rsidRPr="00E02AA1" w:rsidP="00E02AA1">
            <w:pPr>
              <w:pStyle w:val="ListBullet"/>
            </w:pPr>
            <w:r w:rsidRPr="00E02AA1">
              <w:t xml:space="preserve">what level of harm can occur </w:t>
            </w:r>
          </w:p>
          <w:p w:rsidR="00000000" w:rsidRPr="00E02AA1" w:rsidP="00E02AA1">
            <w:pPr>
              <w:pStyle w:val="ListBullet"/>
            </w:pPr>
            <w:r w:rsidRPr="00E02AA1">
              <w:t>how harm can occur</w:t>
            </w:r>
            <w:r w:rsidRPr="00E02AA1">
              <w:t xml:space="preserve"> (various chains of events that could result in harm from the hazard)</w:t>
            </w:r>
          </w:p>
          <w:p w:rsidR="00000000" w:rsidRPr="00E02AA1" w:rsidP="00E02AA1">
            <w:pPr>
              <w:pStyle w:val="ListBullet"/>
            </w:pPr>
            <w:r w:rsidRPr="00E02AA1">
              <w:t>the likelihood that harm will occur</w:t>
            </w:r>
          </w:p>
          <w:p w:rsidR="00000000" w:rsidP="00E02AA1">
            <w:pPr>
              <w:pStyle w:val="BodyText"/>
              <w:rPr>
                <w:lang w:val="en-NZ"/>
              </w:rPr>
            </w:pPr>
          </w:p>
        </w:tc>
      </w:tr>
      <w:tr w:rsidTr="00AE4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AA1">
            <w:pPr>
              <w:pStyle w:val="BodyText"/>
              <w:rPr>
                <w:lang w:val="en-NZ"/>
              </w:rPr>
            </w:pPr>
            <w:r w:rsidRPr="00E02AA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02AA1" w:rsidP="00E02AA1">
            <w:pPr>
              <w:pStyle w:val="BodyText"/>
            </w:pPr>
            <w:r w:rsidRPr="00E02AA1">
              <w:t>All operations must be performed in accordance with relevant procedures.</w:t>
            </w:r>
          </w:p>
          <w:p w:rsidR="00000000" w:rsidRPr="00E02AA1" w:rsidP="00E02AA1">
            <w:pPr>
              <w:pStyle w:val="BodyText"/>
            </w:pPr>
          </w:p>
          <w:p w:rsidR="00000000" w:rsidRPr="00E02AA1" w:rsidP="00E02AA1">
            <w:pPr>
              <w:pStyle w:val="BodyText"/>
            </w:pPr>
            <w:r w:rsidRPr="00E02AA1">
              <w:t>Procedures are written, verbal, visual, computer-based or in some other form, and include one or more of the following:</w:t>
            </w:r>
          </w:p>
          <w:p w:rsidR="00000000" w:rsidRPr="00E02AA1" w:rsidP="00E02AA1">
            <w:pPr>
              <w:pStyle w:val="ListBullet"/>
            </w:pPr>
            <w:r w:rsidRPr="00E02AA1">
              <w:t>emergency procedures</w:t>
            </w:r>
          </w:p>
          <w:p w:rsidR="00000000" w:rsidRPr="00E02AA1" w:rsidP="00E02AA1">
            <w:pPr>
              <w:pStyle w:val="ListBullet"/>
            </w:pPr>
            <w:r w:rsidRPr="00E02AA1">
              <w:t>work instructions</w:t>
            </w:r>
          </w:p>
          <w:p w:rsidR="00000000" w:rsidRPr="00E02AA1" w:rsidP="00E02AA1">
            <w:pPr>
              <w:pStyle w:val="ListBullet"/>
            </w:pPr>
            <w:r w:rsidRPr="00E02AA1">
              <w:t>standard operating procedures (SOPs)</w:t>
            </w:r>
          </w:p>
          <w:p w:rsidR="00000000" w:rsidRPr="00E02AA1" w:rsidP="00E02AA1">
            <w:pPr>
              <w:pStyle w:val="ListBullet"/>
            </w:pPr>
            <w:r w:rsidRPr="00E02AA1">
              <w:t>safe work method statements (SWMS)</w:t>
            </w:r>
          </w:p>
          <w:p w:rsidR="00000000" w:rsidRPr="00E02AA1" w:rsidP="00E02AA1">
            <w:pPr>
              <w:pStyle w:val="ListBullet"/>
            </w:pPr>
            <w:r w:rsidRPr="00E02AA1">
              <w:t>formulas/recipes</w:t>
            </w:r>
          </w:p>
          <w:p w:rsidR="00000000" w:rsidRPr="00E02AA1" w:rsidP="00E02AA1">
            <w:pPr>
              <w:pStyle w:val="ListBullet"/>
            </w:pPr>
            <w:r w:rsidRPr="00E02AA1">
              <w:t>batch s</w:t>
            </w:r>
            <w:r w:rsidRPr="00E02AA1">
              <w:t>heets</w:t>
            </w:r>
          </w:p>
          <w:p w:rsidR="00000000" w:rsidRPr="00E02AA1" w:rsidP="00E02AA1">
            <w:pPr>
              <w:pStyle w:val="ListBullet"/>
            </w:pPr>
            <w:r w:rsidRPr="00E02AA1">
              <w:t>temporary instructions</w:t>
            </w:r>
          </w:p>
          <w:p w:rsidR="00000000" w:rsidRPr="00E02AA1" w:rsidP="00E02AA1">
            <w:pPr>
              <w:pStyle w:val="ListBullet"/>
            </w:pPr>
            <w:r w:rsidRPr="00E02AA1">
              <w:t>any similar instructions provided for the smooth running of the plant</w:t>
            </w:r>
          </w:p>
          <w:p w:rsidR="00000000" w:rsidRPr="00E02AA1" w:rsidP="00E02AA1">
            <w:pPr>
              <w:pStyle w:val="BodyText"/>
            </w:pPr>
          </w:p>
        </w:tc>
      </w:tr>
    </w:tbl>
    <w:p w:rsidR="00000000" w:rsidRPr="00E02AA1" w:rsidP="00E02AA1">
      <w:pPr>
        <w:pStyle w:val="BodyText"/>
      </w:pPr>
    </w:p>
    <w:p w:rsidR="00000000" w:rsidRPr="00E02AA1" w:rsidP="00E02AA1">
      <w:pPr>
        <w:pStyle w:val="AllowPageBreak"/>
      </w:pPr>
    </w:p>
    <w:p w:rsidR="00000000" w:rsidRPr="00E02AA1" w:rsidP="00E02AA1">
      <w:pPr>
        <w:pStyle w:val="Heading1"/>
      </w:pPr>
      <w:bookmarkStart w:id="9" w:name="O_908925"/>
      <w:bookmarkEnd w:id="9"/>
      <w:r w:rsidRPr="00E02AA1">
        <w:t>Unit Mapping Information</w:t>
      </w:r>
    </w:p>
    <w:p w:rsidR="00000000" w:rsidRPr="00E02AA1" w:rsidP="00AE46FD">
      <w:pPr>
        <w:pStyle w:val="BodyText"/>
      </w:pPr>
      <w:r w:rsidRPr="00E02AA1">
        <w:t>Release 1. Supersedes and is equivalent to PMAOMIR444B Develop incident containment tactics</w:t>
      </w:r>
    </w:p>
    <w:p w:rsidR="00000000" w:rsidRPr="00E02AA1" w:rsidP="00E02AA1">
      <w:pPr>
        <w:pStyle w:val="Heading1"/>
      </w:pPr>
      <w:bookmarkStart w:id="10" w:name="O_908918"/>
      <w:bookmarkEnd w:id="10"/>
      <w:r w:rsidRPr="00E02AA1">
        <w:t>Links</w:t>
      </w:r>
    </w:p>
    <w:p w:rsidR="00000000" w:rsidRPr="00E02AA1" w:rsidP="00AE46FD">
      <w:pPr>
        <w:pStyle w:val="BodyText"/>
      </w:pPr>
      <w:r w:rsidRPr="00E02AA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02E5C">
        <w:rPr>
          <w:rStyle w:val="Hyperlink"/>
        </w:rPr>
        <w:t>https://vetnet.gov.au/Pages/TrainingDocs.aspx?q=9fc2cf53-e570-4e9f-ad6a-b228ffdb6875</w:t>
      </w:r>
      <w:r>
        <w:fldChar w:fldCharType="end"/>
      </w:r>
    </w:p>
    <w:p w:rsidR="00000000" w:rsidRPr="00E02AA1" w:rsidP="00AE46FD">
      <w:pPr>
        <w:pStyle w:val="BodyText"/>
        <w:sectPr w:rsidSect="00E02AA1">
          <w:headerReference w:type="default" r:id="rId10"/>
          <w:footerReference w:type="default" r:id="rId11"/>
          <w:pgSz w:w="11908" w:h="16833"/>
          <w:pgMar w:top="1702" w:right="1418" w:bottom="1702" w:left="1418" w:header="992" w:footer="992" w:gutter="0"/>
          <w:cols w:space="720"/>
          <w:noEndnote/>
          <w:docGrid w:linePitch="299"/>
        </w:sectPr>
      </w:pPr>
    </w:p>
    <w:p w:rsidR="00000000" w:rsidRPr="00E02AA1" w:rsidP="00E02AA1">
      <w:pPr>
        <w:pStyle w:val="SuperHeading"/>
      </w:pPr>
      <w:r w:rsidRPr="00E02AA1">
        <w:t xml:space="preserve">Assessment </w:t>
      </w:r>
      <w:r w:rsidRPr="00E02AA1">
        <w:t>Requirements for PMAOMIR444 Develop incident containment tactics</w:t>
      </w:r>
    </w:p>
    <w:p w:rsidR="00000000" w:rsidRPr="00E02AA1" w:rsidP="00E02AA1">
      <w:pPr>
        <w:pStyle w:val="Heading1"/>
      </w:pPr>
      <w:bookmarkStart w:id="11" w:name="O_908920"/>
      <w:bookmarkEnd w:id="11"/>
      <w:r w:rsidRPr="00E02AA1">
        <w:t>Modification History</w:t>
      </w:r>
    </w:p>
    <w:p w:rsidR="00000000" w:rsidRPr="00E02AA1" w:rsidP="00AE46FD">
      <w:pPr>
        <w:pStyle w:val="BodyText"/>
      </w:pPr>
      <w:r w:rsidRPr="00E02AA1">
        <w:t>Release 1. Supersedes and is equivalent to PMAOMIR444B Develop incident containment tactics</w:t>
      </w:r>
    </w:p>
    <w:p w:rsidR="00000000" w:rsidRPr="00E02AA1" w:rsidP="00E02AA1">
      <w:pPr>
        <w:pStyle w:val="Heading1"/>
      </w:pPr>
      <w:bookmarkStart w:id="12" w:name="O_908923"/>
      <w:bookmarkEnd w:id="12"/>
      <w:r w:rsidRPr="00E02AA1">
        <w:t>Performance Evidence</w:t>
      </w:r>
    </w:p>
    <w:p w:rsidR="00000000" w:rsidRPr="00E02AA1" w:rsidP="00AE46FD">
      <w:pPr>
        <w:pStyle w:val="BodyText"/>
      </w:pPr>
      <w:r w:rsidRPr="00E02AA1">
        <w:t>Evidence required to dem</w:t>
      </w:r>
      <w:r w:rsidRPr="00E02AA1">
        <w:t>onstrate competence in this unit must be relevant to and satisfy the requirements of the elements and performance criteria, and include the ability to:</w:t>
      </w:r>
    </w:p>
    <w:p w:rsidR="00000000" w:rsidRPr="00E02AA1" w:rsidP="00E02AA1">
      <w:pPr>
        <w:pStyle w:val="ListBullet"/>
      </w:pPr>
      <w:r w:rsidRPr="00E02AA1">
        <w:t>collect and analyse information to evaluate and recommend containment tactics appropriate to specific c</w:t>
      </w:r>
      <w:r w:rsidRPr="00E02AA1">
        <w:t>ontext</w:t>
      </w:r>
    </w:p>
    <w:p w:rsidR="00000000" w:rsidRPr="00E02AA1" w:rsidP="00E02AA1">
      <w:pPr>
        <w:pStyle w:val="ListBullet"/>
      </w:pPr>
      <w:r w:rsidRPr="00E02AA1">
        <w:t xml:space="preserve">identify and control hazards and risks </w:t>
      </w:r>
    </w:p>
    <w:p w:rsidR="00000000" w:rsidRPr="00E02AA1" w:rsidP="00E02AA1">
      <w:pPr>
        <w:pStyle w:val="ListBullet"/>
      </w:pPr>
      <w:r w:rsidRPr="00E02AA1">
        <w:t>communicate effectively with team members, management and other stakeholders</w:t>
      </w:r>
    </w:p>
    <w:p w:rsidR="00000000" w:rsidRPr="00E02AA1" w:rsidP="00E02AA1">
      <w:pPr>
        <w:pStyle w:val="ListBullet"/>
      </w:pPr>
      <w:r w:rsidRPr="00E02AA1">
        <w:t>write clear and unambiguous procedures and training documents to support tactics.</w:t>
      </w:r>
    </w:p>
    <w:p w:rsidR="00000000" w:rsidRPr="00E02AA1" w:rsidP="00E02AA1">
      <w:pPr>
        <w:pStyle w:val="AllowPageBreak"/>
      </w:pPr>
    </w:p>
    <w:p w:rsidR="00000000" w:rsidRPr="00E02AA1" w:rsidP="00E02AA1">
      <w:pPr>
        <w:pStyle w:val="Heading1"/>
      </w:pPr>
      <w:bookmarkStart w:id="13" w:name="O_908922"/>
      <w:bookmarkEnd w:id="13"/>
      <w:r w:rsidRPr="00E02AA1">
        <w:t>Knowledge Evidence</w:t>
      </w:r>
    </w:p>
    <w:p w:rsidR="00000000" w:rsidRPr="00E02AA1" w:rsidP="00AE46FD">
      <w:pPr>
        <w:pStyle w:val="BodyText"/>
      </w:pPr>
      <w:r w:rsidRPr="00E02AA1">
        <w:t xml:space="preserve">Evidence must </w:t>
      </w:r>
      <w:r w:rsidRPr="00E02AA1">
        <w:t>be provided that demonstrates knowledge of:</w:t>
      </w:r>
    </w:p>
    <w:p w:rsidR="00000000" w:rsidRPr="00E02AA1" w:rsidP="00E02AA1">
      <w:pPr>
        <w:pStyle w:val="ListBullet"/>
      </w:pPr>
      <w:r w:rsidRPr="00E02AA1">
        <w:t>organisational procedures, including those covering:</w:t>
      </w:r>
    </w:p>
    <w:p w:rsidR="00000000" w:rsidRPr="00E02AA1" w:rsidP="00E02AA1">
      <w:pPr>
        <w:pStyle w:val="ListBullet2"/>
      </w:pPr>
      <w:r w:rsidRPr="00E02AA1">
        <w:t>safety, hazards and hazard control</w:t>
      </w:r>
    </w:p>
    <w:p w:rsidR="00000000" w:rsidRPr="00E02AA1" w:rsidP="00E02AA1">
      <w:pPr>
        <w:pStyle w:val="ListBullet2"/>
      </w:pPr>
      <w:r w:rsidRPr="00E02AA1">
        <w:t xml:space="preserve">incident, fire and accident </w:t>
      </w:r>
    </w:p>
    <w:p w:rsidR="00000000" w:rsidRPr="00E02AA1" w:rsidP="00E02AA1">
      <w:pPr>
        <w:pStyle w:val="ListBullet2"/>
      </w:pPr>
      <w:r w:rsidRPr="00E02AA1">
        <w:t>environmental protection</w:t>
      </w:r>
    </w:p>
    <w:p w:rsidR="00000000" w:rsidRPr="00E02AA1" w:rsidP="00E02AA1">
      <w:pPr>
        <w:pStyle w:val="ListBullet2"/>
      </w:pPr>
      <w:r w:rsidRPr="00E02AA1">
        <w:t>risk assessment/risk management</w:t>
      </w:r>
    </w:p>
    <w:p w:rsidR="00000000" w:rsidRPr="00E02AA1" w:rsidP="00E02AA1">
      <w:pPr>
        <w:pStyle w:val="ListBullet2"/>
      </w:pPr>
      <w:r w:rsidRPr="00E02AA1">
        <w:t>relevant facility fire management and safety systems</w:t>
      </w:r>
    </w:p>
    <w:p w:rsidR="00000000" w:rsidRPr="00E02AA1" w:rsidP="00E02AA1">
      <w:pPr>
        <w:pStyle w:val="ListBullet2"/>
      </w:pPr>
      <w:r w:rsidRPr="00E02AA1">
        <w:t>communication systems</w:t>
      </w:r>
    </w:p>
    <w:p w:rsidR="00000000" w:rsidRPr="00E02AA1" w:rsidP="00E02AA1">
      <w:pPr>
        <w:pStyle w:val="ListBullet2"/>
      </w:pPr>
      <w:r w:rsidRPr="00E02AA1">
        <w:t>emergency response plans</w:t>
      </w:r>
    </w:p>
    <w:p w:rsidR="00000000" w:rsidRPr="00E02AA1" w:rsidP="00E02AA1">
      <w:pPr>
        <w:pStyle w:val="ListBullet"/>
      </w:pPr>
      <w:r w:rsidRPr="00E02AA1">
        <w:t>types of incidents that can arise in the work environment</w:t>
      </w:r>
    </w:p>
    <w:p w:rsidR="00000000" w:rsidRPr="00E02AA1" w:rsidP="00E02AA1">
      <w:pPr>
        <w:pStyle w:val="ListBullet"/>
      </w:pPr>
      <w:r w:rsidRPr="00E02AA1">
        <w:t>related risks and potential impact on environment, local community and economy of the organisatio</w:t>
      </w:r>
      <w:r w:rsidRPr="00E02AA1">
        <w:t>n</w:t>
      </w:r>
    </w:p>
    <w:p w:rsidR="00000000" w:rsidRPr="00E02AA1" w:rsidP="00E02AA1">
      <w:pPr>
        <w:pStyle w:val="ListBullet"/>
      </w:pPr>
      <w:r w:rsidRPr="00E02AA1">
        <w:t>types of incident response and containment equipment and their application</w:t>
      </w:r>
    </w:p>
    <w:p w:rsidR="00000000" w:rsidRPr="00E02AA1" w:rsidP="00E02AA1">
      <w:pPr>
        <w:pStyle w:val="ListBullet"/>
      </w:pPr>
      <w:r w:rsidRPr="00E02AA1">
        <w:t>rescue techniques</w:t>
      </w:r>
    </w:p>
    <w:p w:rsidR="00000000" w:rsidRPr="00E02AA1" w:rsidP="00E02AA1">
      <w:pPr>
        <w:pStyle w:val="ListBullet"/>
      </w:pPr>
      <w:r w:rsidRPr="00E02AA1">
        <w:t>incident prediction</w:t>
      </w:r>
    </w:p>
    <w:p w:rsidR="00000000" w:rsidRPr="00E02AA1" w:rsidP="00E02AA1">
      <w:pPr>
        <w:pStyle w:val="ListBullet"/>
      </w:pPr>
      <w:r w:rsidRPr="00E02AA1">
        <w:t>intervention and control techniques for heating, fires and explosions</w:t>
      </w:r>
    </w:p>
    <w:p w:rsidR="00000000" w:rsidRPr="00E02AA1" w:rsidP="00E02AA1">
      <w:pPr>
        <w:pStyle w:val="ListBullet"/>
      </w:pPr>
      <w:r w:rsidRPr="00E02AA1">
        <w:t>incident resources and how to access them</w:t>
      </w:r>
    </w:p>
    <w:p w:rsidR="00000000" w:rsidRPr="00E02AA1" w:rsidP="00E02AA1">
      <w:pPr>
        <w:pStyle w:val="ListBullet"/>
      </w:pPr>
      <w:r w:rsidRPr="00E02AA1">
        <w:t>incident response and disaster planning processes and techniques</w:t>
      </w:r>
    </w:p>
    <w:p w:rsidR="00000000" w:rsidRPr="00E02AA1" w:rsidP="00E02AA1">
      <w:pPr>
        <w:pStyle w:val="ListBullet"/>
      </w:pPr>
      <w:r w:rsidRPr="00E02AA1">
        <w:t>hazard identification and control</w:t>
      </w:r>
    </w:p>
    <w:p w:rsidR="00000000" w:rsidRPr="00E02AA1" w:rsidP="00E02AA1">
      <w:pPr>
        <w:pStyle w:val="ListBullet"/>
      </w:pPr>
      <w:r w:rsidRPr="00E02AA1">
        <w:t>risk management principles and techniques</w:t>
      </w:r>
    </w:p>
    <w:p w:rsidR="00000000" w:rsidRPr="00E02AA1" w:rsidP="00E02AA1">
      <w:pPr>
        <w:pStyle w:val="ListBullet"/>
      </w:pPr>
      <w:r w:rsidRPr="00E02AA1">
        <w:t>structure, roles, capabilities and operational limitations of external resources and agencies</w:t>
      </w:r>
    </w:p>
    <w:p w:rsidR="00000000" w:rsidRPr="00E02AA1" w:rsidP="00E02AA1">
      <w:pPr>
        <w:pStyle w:val="ListBullet"/>
      </w:pPr>
      <w:r w:rsidRPr="00E02AA1">
        <w:t>insurance policies an</w:t>
      </w:r>
      <w:r w:rsidRPr="00E02AA1">
        <w:t>d considerations</w:t>
      </w:r>
    </w:p>
    <w:p w:rsidR="00000000" w:rsidRPr="00E02AA1" w:rsidP="00E02AA1">
      <w:pPr>
        <w:pStyle w:val="ListBullet"/>
      </w:pPr>
      <w:r w:rsidRPr="00E02AA1">
        <w:t>economic impact and considerations.</w:t>
      </w:r>
    </w:p>
    <w:p w:rsidR="00000000" w:rsidRPr="00E02AA1" w:rsidP="00E02AA1">
      <w:pPr>
        <w:pStyle w:val="AllowPageBreak"/>
      </w:pPr>
    </w:p>
    <w:p w:rsidR="00000000" w:rsidRPr="00E02AA1" w:rsidP="00E02AA1">
      <w:pPr>
        <w:pStyle w:val="Heading1"/>
      </w:pPr>
      <w:bookmarkStart w:id="14" w:name="O_908921"/>
      <w:bookmarkEnd w:id="14"/>
      <w:r w:rsidRPr="00E02AA1">
        <w:t>Assessment Conditions</w:t>
      </w:r>
    </w:p>
    <w:p w:rsidR="00000000" w:rsidRPr="00E02AA1" w:rsidP="00E02AA1">
      <w:pPr>
        <w:pStyle w:val="ListBullet"/>
      </w:pPr>
      <w:r w:rsidRPr="00E02AA1">
        <w:t xml:space="preserve">Competency must be achieved before performing this work unsupervised. Therefore this unit will typically </w:t>
      </w:r>
      <w:r w:rsidRPr="00E02AA1">
        <w:t>be assessed off the job. Where assessment is undertaken on</w:t>
      </w:r>
      <w:r w:rsidRPr="00E02AA1">
        <w:t xml:space="preserve"> the job, appropriate supervision and safety precautions must be provided.</w:t>
      </w:r>
    </w:p>
    <w:p w:rsidR="00000000" w:rsidRPr="00E02AA1" w:rsidP="00E02AA1">
      <w:pPr>
        <w:pStyle w:val="ListBullet"/>
      </w:pPr>
      <w:r w:rsidRPr="00E02AA1">
        <w:t xml:space="preserve">The unit should be assessed holistically and the judgement of competence based on a holistic assessment of the evidence. </w:t>
      </w:r>
    </w:p>
    <w:p w:rsidR="00000000" w:rsidRPr="00E02AA1" w:rsidP="00E02AA1">
      <w:pPr>
        <w:pStyle w:val="ListBullet"/>
      </w:pPr>
      <w:r w:rsidRPr="00E02AA1">
        <w:t>The collection of performance evidence:</w:t>
      </w:r>
    </w:p>
    <w:p w:rsidR="00000000" w:rsidRPr="00E02AA1" w:rsidP="00E02AA1">
      <w:pPr>
        <w:pStyle w:val="ListBullet2"/>
      </w:pPr>
      <w:r w:rsidRPr="00E02AA1">
        <w:t>should provide evi</w:t>
      </w:r>
      <w:r w:rsidRPr="00E02AA1">
        <w:t>dence of the ability to perform over the range of situations which might be expected to be encountered, including typical disruptions to normal, smooth work conditions</w:t>
      </w:r>
    </w:p>
    <w:p w:rsidR="00000000" w:rsidRPr="00E02AA1" w:rsidP="00E02AA1">
      <w:pPr>
        <w:pStyle w:val="ListBullet2"/>
      </w:pPr>
      <w:r w:rsidRPr="00E02AA1">
        <w:t>must include development of tactics associated with a simulated incident, the use of app</w:t>
      </w:r>
      <w:r w:rsidRPr="00E02AA1">
        <w:t>ropriate tools, equipment and safety gear requiring demonstration of preparation, operation, completion and responding to problems</w:t>
      </w:r>
    </w:p>
    <w:p w:rsidR="00000000" w:rsidRPr="00E02AA1" w:rsidP="00E02AA1">
      <w:pPr>
        <w:pStyle w:val="ListBullet2"/>
      </w:pPr>
      <w:r w:rsidRPr="00E02AA1">
        <w:t>may use industry-based simulation particularly where safety, lack of opportunity or significant cost is an issue.</w:t>
      </w:r>
    </w:p>
    <w:p w:rsidR="00000000" w:rsidRPr="00E02AA1" w:rsidP="00E02AA1">
      <w:pPr>
        <w:pStyle w:val="ListBullet"/>
      </w:pPr>
      <w:r w:rsidRPr="00E02AA1">
        <w:t xml:space="preserve">Off-the-job assessment must sufficiently reflect realistic operational workplace conditions that cover all aspects of workplace performance, including environment, task skills, task management skills, contingency management skills and job role environment </w:t>
      </w:r>
      <w:r w:rsidRPr="00E02AA1">
        <w:t xml:space="preserve">skills. </w:t>
      </w:r>
    </w:p>
    <w:p w:rsidR="00000000" w:rsidRPr="00E02AA1" w:rsidP="00E02AA1">
      <w:pPr>
        <w:pStyle w:val="ListBullet"/>
      </w:pPr>
      <w:r w:rsidRPr="00E02AA1">
        <w:t xml:space="preserve">Assessment in a simulated environment should use evidence collected from one or more of: </w:t>
      </w:r>
    </w:p>
    <w:p w:rsidR="00000000" w:rsidRPr="00E02AA1" w:rsidP="00E02AA1">
      <w:pPr>
        <w:pStyle w:val="ListBullet2"/>
      </w:pPr>
      <w:r w:rsidRPr="00E02AA1">
        <w:t>walk-throughs</w:t>
      </w:r>
    </w:p>
    <w:p w:rsidR="00000000" w:rsidRPr="00E02AA1" w:rsidP="00E02AA1">
      <w:pPr>
        <w:pStyle w:val="ListBullet2"/>
      </w:pPr>
      <w:r w:rsidRPr="00E02AA1">
        <w:t xml:space="preserve">demonstration of skills </w:t>
      </w:r>
    </w:p>
    <w:p w:rsidR="00000000" w:rsidRPr="00E02AA1" w:rsidP="00E02AA1">
      <w:pPr>
        <w:pStyle w:val="ListBullet2"/>
      </w:pPr>
      <w:r w:rsidRPr="00E02AA1">
        <w:t xml:space="preserve">industry based case studies/scenarios </w:t>
      </w:r>
    </w:p>
    <w:p w:rsidR="00000000" w:rsidRPr="00E02AA1" w:rsidP="00E02AA1">
      <w:pPr>
        <w:pStyle w:val="ListBullet2"/>
      </w:pPr>
      <w:r w:rsidRPr="00E02AA1">
        <w:t>‘what ifs’.</w:t>
      </w:r>
    </w:p>
    <w:p w:rsidR="00000000" w:rsidRPr="00E02AA1" w:rsidP="00E02AA1">
      <w:pPr>
        <w:pStyle w:val="ListBullet"/>
      </w:pPr>
      <w:r w:rsidRPr="00E02AA1">
        <w:t>Knowledge evidence may be collected concurrently with performance</w:t>
      </w:r>
      <w:r w:rsidRPr="00E02AA1">
        <w:t xml:space="preserve"> evidence (provided a record is kept) or through an independent process, such as workbooks, written assessments or interviews (provided a record is kept). </w:t>
      </w:r>
    </w:p>
    <w:p w:rsidR="00000000" w:rsidRPr="00E02AA1" w:rsidP="00E02AA1">
      <w:pPr>
        <w:pStyle w:val="ListBullet"/>
      </w:pPr>
      <w:r w:rsidRPr="00E02AA1">
        <w:t>Assessment processes and techniques must be appropriate to the language, literacy and numeracy requi</w:t>
      </w:r>
      <w:r w:rsidRPr="00E02AA1">
        <w:t>rements of the work being performed and the needs of the candidate.</w:t>
      </w:r>
    </w:p>
    <w:p w:rsidR="00000000" w:rsidRPr="00E02AA1" w:rsidP="00E02AA1">
      <w:pPr>
        <w:pStyle w:val="ListBullet"/>
      </w:pPr>
      <w:r w:rsidRPr="00E02AA1">
        <w:t>Conditions for assessment must include access to all tools, equipment, materials and documentation required, including relevant workplace procedures, product and manufacturing specificatio</w:t>
      </w:r>
      <w:r w:rsidRPr="00E02AA1">
        <w:t>ns associated with this unit.</w:t>
      </w:r>
    </w:p>
    <w:p w:rsidR="00000000" w:rsidRPr="00E02AA1" w:rsidP="00E02AA1">
      <w:pPr>
        <w:pStyle w:val="ListBullet"/>
      </w:pPr>
      <w:r w:rsidRPr="00E02AA1">
        <w:t>Foundation skills are integral to competent performance of the unit and should not be assessed separately.</w:t>
      </w:r>
    </w:p>
    <w:p w:rsidR="00000000" w:rsidRPr="00E02AA1" w:rsidP="00E02AA1">
      <w:pPr>
        <w:pStyle w:val="ListBullet"/>
      </w:pPr>
      <w:r w:rsidRPr="00E02AA1">
        <w:t>Assessors must satisfy the assessor competency requirements that are in place at the time of the assessment as set by t</w:t>
      </w:r>
      <w:r w:rsidRPr="00E02AA1">
        <w:t>he VET regulator.</w:t>
      </w:r>
    </w:p>
    <w:p w:rsidR="00000000" w:rsidRPr="00E02AA1" w:rsidP="00E02AA1">
      <w:pPr>
        <w:pStyle w:val="ListBullet"/>
      </w:pPr>
      <w:r w:rsidRPr="00E02AA1">
        <w:t>In addition, the assessor or anyone acting in subject matter expert role in assessment must demonstrate both technical competency and currency. If the assessor cannot demonstrate technical competency and currency they must assess with a s</w:t>
      </w:r>
      <w:r w:rsidRPr="00E02AA1">
        <w:t xml:space="preserve">ubject matter expert who does meet these requirements. </w:t>
      </w:r>
    </w:p>
    <w:p w:rsidR="00000000" w:rsidRPr="00E02AA1" w:rsidP="00E02AA1">
      <w:pPr>
        <w:pStyle w:val="ListBullet"/>
      </w:pPr>
      <w:r w:rsidRPr="00E02AA1">
        <w:t>Technical competence can be demonstrated through one or more of:</w:t>
      </w:r>
    </w:p>
    <w:p w:rsidR="00000000" w:rsidRPr="00E02AA1" w:rsidP="00E02AA1">
      <w:pPr>
        <w:pStyle w:val="ListBullet2"/>
      </w:pPr>
      <w:r w:rsidRPr="00E02AA1">
        <w:t xml:space="preserve">relevant VET or other qualification/Statement of Attainment </w:t>
      </w:r>
    </w:p>
    <w:p w:rsidR="00000000" w:rsidRPr="00E02AA1" w:rsidP="00E02AA1">
      <w:pPr>
        <w:pStyle w:val="ListBullet2"/>
      </w:pPr>
      <w:r w:rsidRPr="00E02AA1">
        <w:t xml:space="preserve">appropriate workplace experience undertaking the type of work being assessed under routine and non-routine conditions </w:t>
      </w:r>
    </w:p>
    <w:p w:rsidR="00000000" w:rsidRPr="00E02AA1" w:rsidP="00E02AA1">
      <w:pPr>
        <w:pStyle w:val="ListBullet2"/>
      </w:pPr>
      <w:r w:rsidRPr="00E02AA1">
        <w:t>appropriate workplace experience supervising/evaluating the type of work being assessed under routine and non-routine conditions</w:t>
      </w:r>
    </w:p>
    <w:p w:rsidR="00000000" w:rsidRPr="00E02AA1" w:rsidP="00E02AA1">
      <w:pPr>
        <w:pStyle w:val="ListBullet"/>
      </w:pPr>
      <w:r w:rsidRPr="00E02AA1">
        <w:t>Currenc</w:t>
      </w:r>
      <w:r w:rsidRPr="00E02AA1">
        <w:t>y can be demonstrated through one or more of:</w:t>
      </w:r>
    </w:p>
    <w:p w:rsidR="00000000" w:rsidRPr="00E02AA1" w:rsidP="00E02AA1">
      <w:pPr>
        <w:pStyle w:val="ListBullet2"/>
      </w:pPr>
      <w:r w:rsidRPr="00E02AA1">
        <w:t xml:space="preserve">being currently employed undertaking the type of work being assessed </w:t>
      </w:r>
    </w:p>
    <w:p w:rsidR="00000000" w:rsidRPr="00E02AA1" w:rsidP="00E02AA1">
      <w:pPr>
        <w:pStyle w:val="ListBullet2"/>
      </w:pPr>
      <w:r w:rsidRPr="00E02AA1">
        <w:t>being employed by the organisation undertaking the type of work being assessed and having maintained currency in accordance with that organ</w:t>
      </w:r>
      <w:r w:rsidRPr="00E02AA1">
        <w:t xml:space="preserve">isation’s policies and procedures </w:t>
      </w:r>
    </w:p>
    <w:p w:rsidR="00000000" w:rsidRPr="00E02AA1" w:rsidP="00E02AA1">
      <w:pPr>
        <w:pStyle w:val="ListBullet2"/>
      </w:pPr>
      <w:r w:rsidRPr="00E02AA1">
        <w:t xml:space="preserve">having consulted/had contact with an organisation undertaking the type of work being assessed within the last twelve months, the consultation/contact being related to assessment </w:t>
      </w:r>
    </w:p>
    <w:p w:rsidR="00000000" w:rsidRPr="00E02AA1" w:rsidP="00E02AA1">
      <w:pPr>
        <w:pStyle w:val="ListBullet2"/>
      </w:pPr>
      <w:r w:rsidRPr="00E02AA1">
        <w:t>conducting on-the-job training/assessments</w:t>
      </w:r>
      <w:r w:rsidRPr="00E02AA1">
        <w:t xml:space="preserve"> of the type of work being assessed </w:t>
      </w:r>
    </w:p>
    <w:p w:rsidR="00000000" w:rsidRPr="00E02AA1" w:rsidP="00E02AA1">
      <w:pPr>
        <w:pStyle w:val="ListBullet2"/>
      </w:pPr>
      <w:r w:rsidRPr="00E02AA1">
        <w:t>being an active member of a relevant professional body and participating in activities relevant to the assessment of this type of work</w:t>
      </w:r>
    </w:p>
    <w:p w:rsidR="00000000" w:rsidRPr="00E02AA1" w:rsidP="00E02AA1">
      <w:pPr>
        <w:pStyle w:val="AllowPageBreak"/>
      </w:pPr>
    </w:p>
    <w:p w:rsidR="00000000" w:rsidRPr="00E02AA1" w:rsidP="00E02AA1">
      <w:pPr>
        <w:pStyle w:val="Heading1"/>
      </w:pPr>
      <w:bookmarkStart w:id="15" w:name="O_908919"/>
      <w:bookmarkEnd w:id="15"/>
      <w:r w:rsidRPr="00E02AA1">
        <w:t>Links</w:t>
      </w:r>
    </w:p>
    <w:p w:rsidR="00000000" w:rsidRPr="00E02AA1" w:rsidP="00AE46FD">
      <w:pPr>
        <w:pStyle w:val="BodyText"/>
      </w:pPr>
      <w:r w:rsidRPr="00E02AA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02E5C">
        <w:rPr>
          <w:rStyle w:val="Hyperlink"/>
        </w:rPr>
        <w:t>https://vetnet.gov.au/Pages/TrainingDocs.aspx?q=9fc2cf53-e570-4e9f-ad6a-b228ffdb6875</w:t>
      </w:r>
      <w:r>
        <w:fldChar w:fldCharType="end"/>
      </w:r>
    </w:p>
    <w:p w:rsidR="00000000" w:rsidRPr="00E02AA1" w:rsidP="00E02AA1"/>
    <w:sectPr w:rsidSect="00E02A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1" w:rsidRPr="00AE46FD" w:rsidP="00AE4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FD" w:rsidP="00E02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E46FD" w:rsidP="00E02A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46FD" w:rsidP="00E02A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1" w:rsidP="00E02AA1">
    <w:pPr>
      <w:pStyle w:val="Footer"/>
      <w:framePr w:wrap="around"/>
    </w:pPr>
    <w:r>
      <w:fldChar w:fldCharType="begin"/>
    </w:r>
    <w:r>
      <w:instrText xml:space="preserve"> DOCPROPERTY  Subject  \* MERGEFORMAT </w:instrText>
    </w:r>
    <w:r>
      <w:fldChar w:fldCharType="separate"/>
    </w:r>
    <w:r w:rsidR="00AE46FD">
      <w:t>Approved</w:t>
    </w:r>
    <w:r w:rsidR="00AE46FD">
      <w:fldChar w:fldCharType="end"/>
    </w:r>
    <w:r>
      <w:tab/>
      <w:t xml:space="preserve">Page </w:t>
    </w:r>
    <w:r>
      <w:fldChar w:fldCharType="begin"/>
    </w:r>
    <w:r>
      <w:instrText xml:space="preserve"> PAGE  \* Arabic  \* MERGEFORMAT </w:instrText>
    </w:r>
    <w:r>
      <w:fldChar w:fldCharType="separate"/>
    </w:r>
    <w:r w:rsidR="00AE46F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46FD">
      <w:rPr>
        <w:noProof/>
      </w:rPr>
      <w:t>8</w:t>
    </w:r>
    <w:r>
      <w:rPr>
        <w:noProof/>
      </w:rPr>
      <w:fldChar w:fldCharType="end"/>
    </w:r>
  </w:p>
  <w:p w:rsidR="00E02AA1" w:rsidP="00E02AA1">
    <w:pPr>
      <w:pStyle w:val="Footer"/>
      <w:framePr w:wrap="around"/>
    </w:pPr>
    <w:r>
      <w:t xml:space="preserve">© Commonwealth of Australia, </w:t>
    </w:r>
    <w:r>
      <w:fldChar w:fldCharType="begin"/>
    </w:r>
    <w:r>
      <w:instrText xml:space="preserve"> DATE  \@ "yyyy"  \* MERGEFORMAT </w:instrText>
    </w:r>
    <w:r>
      <w:fldChar w:fldCharType="separate"/>
    </w:r>
    <w:r w:rsidR="00AE46FD">
      <w:rPr>
        <w:noProof/>
      </w:rPr>
      <w:t>2025</w:t>
    </w:r>
    <w:r>
      <w:fldChar w:fldCharType="end"/>
    </w:r>
    <w:r>
      <w:tab/>
    </w:r>
    <w:r>
      <w:fldChar w:fldCharType="begin"/>
    </w:r>
    <w:r>
      <w:instrText xml:space="preserve"> DOCPROPERTY  Author  \* MERGEFORMAT </w:instrText>
    </w:r>
    <w:r>
      <w:fldChar w:fldCharType="separate"/>
    </w:r>
    <w:r w:rsidR="00AE46FD">
      <w:t>Manufacturing Industry Skills Alliance</w:t>
    </w:r>
    <w:r w:rsidR="00AE46FD">
      <w:fldChar w:fldCharType="end"/>
    </w:r>
  </w:p>
  <w:p w:rsidR="00E02AA1" w:rsidP="00E02A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AA1" w:rsidRPr="00AE46FD" w:rsidP="00AE4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FD" w:rsidRPr="002D2AF8" w:rsidP="00E02AA1">
    <w:pPr>
      <w:pStyle w:val="Header"/>
      <w:framePr w:wrap="around"/>
    </w:pPr>
    <w:r>
      <w:fldChar w:fldCharType="begin"/>
    </w:r>
    <w:r>
      <w:instrText xml:space="preserve"> TITLE   \* MERGEFORMAT </w:instrText>
    </w:r>
    <w:r>
      <w:fldChar w:fldCharType="separate"/>
    </w:r>
    <w:r>
      <w:t>PMAOMIR444 Develop incident containment tactics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46FD" w:rsidP="00E02A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A1" w:rsidRPr="002D2AF8" w:rsidP="00E02AA1">
    <w:pPr>
      <w:pStyle w:val="Header"/>
      <w:framePr w:wrap="around"/>
    </w:pPr>
    <w:r>
      <w:fldChar w:fldCharType="begin"/>
    </w:r>
    <w:r>
      <w:instrText xml:space="preserve"> TITLE   \* MERGEFORMAT </w:instrText>
    </w:r>
    <w:r>
      <w:fldChar w:fldCharType="separate"/>
    </w:r>
    <w:r w:rsidR="00AE46FD">
      <w:t>PMAOMIR444 Develop incident containment tactics</w:t>
    </w:r>
    <w:r w:rsidR="00AE46FD">
      <w:fldChar w:fldCharType="end"/>
    </w:r>
    <w:r>
      <w:tab/>
      <w:t xml:space="preserve">Date this document was generated: </w:t>
    </w:r>
    <w:r>
      <w:fldChar w:fldCharType="begin"/>
    </w:r>
    <w:r>
      <w:instrText xml:space="preserve"> CREATEDATE  \@ "d MMMM yyyy"  \* MERGEFORMAT </w:instrText>
    </w:r>
    <w:r>
      <w:fldChar w:fldCharType="separate"/>
    </w:r>
    <w:r w:rsidR="00AE46FD">
      <w:rPr>
        <w:noProof/>
      </w:rPr>
      <w:t>2 March 2025</w:t>
    </w:r>
    <w:r>
      <w:fldChar w:fldCharType="end"/>
    </w:r>
  </w:p>
  <w:p w:rsidR="00E02AA1" w:rsidP="00E02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AE0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0E1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D4A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AA1"/>
    <w:pPr>
      <w:spacing w:before="360" w:after="60"/>
      <w:outlineLvl w:val="0"/>
    </w:pPr>
    <w:rPr>
      <w:sz w:val="32"/>
    </w:rPr>
  </w:style>
  <w:style w:type="paragraph" w:styleId="Heading2">
    <w:name w:val="heading 2"/>
    <w:basedOn w:val="HeadingBase"/>
    <w:next w:val="BodyText"/>
    <w:link w:val="Heading2Char"/>
    <w:qFormat/>
    <w:rsid w:val="00E02AA1"/>
    <w:pPr>
      <w:keepLines/>
      <w:spacing w:before="240" w:after="120"/>
      <w:outlineLvl w:val="1"/>
    </w:pPr>
    <w:rPr>
      <w:sz w:val="28"/>
      <w:szCs w:val="40"/>
    </w:rPr>
  </w:style>
  <w:style w:type="paragraph" w:styleId="Heading3">
    <w:name w:val="heading 3"/>
    <w:basedOn w:val="HeadingBase"/>
    <w:next w:val="BodyText"/>
    <w:link w:val="Heading3Char"/>
    <w:qFormat/>
    <w:rsid w:val="00E02AA1"/>
    <w:pPr>
      <w:spacing w:before="180" w:after="120"/>
      <w:outlineLvl w:val="2"/>
    </w:pPr>
    <w:rPr>
      <w:spacing w:val="-10"/>
      <w:kern w:val="32"/>
    </w:rPr>
  </w:style>
  <w:style w:type="paragraph" w:styleId="Heading4">
    <w:name w:val="heading 4"/>
    <w:basedOn w:val="HeadingBase"/>
    <w:next w:val="BodyText"/>
    <w:link w:val="Heading4Char"/>
    <w:qFormat/>
    <w:rsid w:val="00E02AA1"/>
    <w:pPr>
      <w:spacing w:before="160" w:after="120"/>
      <w:outlineLvl w:val="3"/>
    </w:pPr>
    <w:rPr>
      <w:sz w:val="22"/>
    </w:rPr>
  </w:style>
  <w:style w:type="paragraph" w:styleId="Heading5">
    <w:name w:val="heading 5"/>
    <w:basedOn w:val="HeadingBase"/>
    <w:next w:val="Normal"/>
    <w:link w:val="Heading5Char"/>
    <w:qFormat/>
    <w:rsid w:val="00E02AA1"/>
    <w:pPr>
      <w:spacing w:before="80"/>
      <w:outlineLvl w:val="4"/>
    </w:pPr>
    <w:rPr>
      <w:color w:val="918585"/>
      <w:sz w:val="20"/>
    </w:rPr>
  </w:style>
  <w:style w:type="paragraph" w:styleId="Heading6">
    <w:name w:val="heading 6"/>
    <w:basedOn w:val="HeadingBase"/>
    <w:next w:val="Normal"/>
    <w:link w:val="Heading6Char"/>
    <w:qFormat/>
    <w:rsid w:val="00E02AA1"/>
    <w:pPr>
      <w:spacing w:before="60"/>
      <w:outlineLvl w:val="5"/>
    </w:pPr>
    <w:rPr>
      <w:color w:val="918585"/>
      <w:sz w:val="20"/>
    </w:rPr>
  </w:style>
  <w:style w:type="paragraph" w:styleId="Heading7">
    <w:name w:val="heading 7"/>
    <w:basedOn w:val="Normal"/>
    <w:next w:val="Normal"/>
    <w:link w:val="Heading7Char"/>
    <w:qFormat/>
    <w:rsid w:val="00E02AA1"/>
    <w:pPr>
      <w:ind w:left="720"/>
      <w:outlineLvl w:val="6"/>
    </w:pPr>
    <w:rPr>
      <w:i/>
    </w:rPr>
  </w:style>
  <w:style w:type="paragraph" w:styleId="Heading8">
    <w:name w:val="heading 8"/>
    <w:basedOn w:val="Normal"/>
    <w:next w:val="Normal"/>
    <w:link w:val="Heading8Char"/>
    <w:qFormat/>
    <w:rsid w:val="00E02AA1"/>
    <w:pPr>
      <w:ind w:left="720"/>
      <w:outlineLvl w:val="7"/>
    </w:pPr>
    <w:rPr>
      <w:i/>
    </w:rPr>
  </w:style>
  <w:style w:type="paragraph" w:styleId="Heading9">
    <w:name w:val="heading 9"/>
    <w:basedOn w:val="Normal"/>
    <w:next w:val="Normal"/>
    <w:link w:val="Heading9Char"/>
    <w:qFormat/>
    <w:rsid w:val="00E02AA1"/>
    <w:pPr>
      <w:ind w:left="720"/>
      <w:outlineLvl w:val="8"/>
    </w:pPr>
    <w:rPr>
      <w:i/>
    </w:rPr>
  </w:style>
  <w:style w:type="character" w:default="1" w:styleId="DefaultParagraphFont">
    <w:name w:val="Default Paragraph Font"/>
    <w:uiPriority w:val="1"/>
    <w:unhideWhenUsed/>
    <w:rsid w:val="00E02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AA1"/>
  </w:style>
  <w:style w:type="character" w:customStyle="1" w:styleId="Heading1Char">
    <w:name w:val="Heading 1 Char"/>
    <w:basedOn w:val="DefaultParagraphFont"/>
    <w:link w:val="Heading1"/>
    <w:rsid w:val="00E02AA1"/>
    <w:rPr>
      <w:rFonts w:ascii="Times New Roman" w:eastAsia="Times New Roman" w:hAnsi="Times New Roman" w:cs="Times New Roman"/>
      <w:b/>
      <w:sz w:val="32"/>
      <w:szCs w:val="20"/>
      <w:lang w:eastAsia="en-US"/>
    </w:rPr>
  </w:style>
  <w:style w:type="paragraph" w:styleId="BodyText">
    <w:name w:val="Body Text"/>
    <w:basedOn w:val="Normal"/>
    <w:link w:val="BodyTextChar"/>
    <w:rsid w:val="00E02A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AA1"/>
    <w:rPr>
      <w:rFonts w:ascii="Times New Roman" w:eastAsia="Times New Roman" w:hAnsi="Times New Roman" w:cs="Times New Roman"/>
      <w:sz w:val="24"/>
      <w:lang w:eastAsia="en-US"/>
    </w:rPr>
  </w:style>
  <w:style w:type="paragraph" w:styleId="ListBullet">
    <w:name w:val="List Bullet"/>
    <w:basedOn w:val="List"/>
    <w:rsid w:val="00E02AA1"/>
    <w:pPr>
      <w:numPr>
        <w:numId w:val="12"/>
      </w:numPr>
      <w:tabs>
        <w:tab w:val="clear" w:pos="340"/>
      </w:tabs>
      <w:spacing w:before="40" w:after="40"/>
    </w:pPr>
  </w:style>
  <w:style w:type="character" w:customStyle="1" w:styleId="SpecialBold">
    <w:name w:val="Special Bold"/>
    <w:basedOn w:val="DefaultParagraphFont"/>
    <w:rsid w:val="00E02AA1"/>
    <w:rPr>
      <w:b/>
      <w:spacing w:val="0"/>
    </w:rPr>
  </w:style>
  <w:style w:type="paragraph" w:styleId="ListBullet2">
    <w:name w:val="List Bullet 2"/>
    <w:basedOn w:val="List2"/>
    <w:rsid w:val="00E02AA1"/>
    <w:pPr>
      <w:numPr>
        <w:numId w:val="13"/>
      </w:numPr>
      <w:tabs>
        <w:tab w:val="clear" w:pos="680"/>
      </w:tabs>
    </w:pPr>
  </w:style>
  <w:style w:type="paragraph" w:customStyle="1" w:styleId="SuperHeading">
    <w:name w:val="SuperHeading"/>
    <w:basedOn w:val="Normal"/>
    <w:rsid w:val="00E02AA1"/>
    <w:pPr>
      <w:spacing w:before="240" w:after="120"/>
      <w:outlineLvl w:val="0"/>
    </w:pPr>
    <w:rPr>
      <w:rFonts w:ascii="Times New Roman" w:hAnsi="Times New Roman"/>
      <w:b/>
      <w:sz w:val="32"/>
    </w:rPr>
  </w:style>
  <w:style w:type="paragraph" w:customStyle="1" w:styleId="AllowPageBreak">
    <w:name w:val="AllowPageBreak"/>
    <w:rsid w:val="00E02A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2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AA1"/>
    <w:rPr>
      <w:rFonts w:ascii="Courier New" w:eastAsia="Times New Roman" w:hAnsi="Courier New" w:cs="Times New Roman"/>
      <w:i/>
      <w:szCs w:val="20"/>
      <w:lang w:eastAsia="en-US"/>
    </w:rPr>
  </w:style>
  <w:style w:type="paragraph" w:customStyle="1" w:styleId="HeadingBase">
    <w:name w:val="Heading Base"/>
    <w:rsid w:val="00E02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AA1"/>
    <w:pPr>
      <w:tabs>
        <w:tab w:val="right" w:leader="dot" w:pos="9072"/>
      </w:tabs>
      <w:ind w:left="567"/>
    </w:pPr>
    <w:rPr>
      <w:szCs w:val="22"/>
    </w:rPr>
  </w:style>
  <w:style w:type="paragraph" w:customStyle="1" w:styleId="TOCBase">
    <w:name w:val="TOC Base"/>
    <w:rsid w:val="00E02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AA1"/>
    <w:pPr>
      <w:tabs>
        <w:tab w:val="right" w:leader="dot" w:pos="9072"/>
      </w:tabs>
      <w:spacing w:before="40" w:after="40"/>
      <w:ind w:left="284"/>
    </w:pPr>
    <w:rPr>
      <w:rFonts w:ascii="Times New Roman" w:hAnsi="Times New Roman"/>
    </w:rPr>
  </w:style>
  <w:style w:type="paragraph" w:styleId="TOC1">
    <w:name w:val="toc 1"/>
    <w:basedOn w:val="TOCBase"/>
    <w:next w:val="Normal"/>
    <w:rsid w:val="00E02A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AA1"/>
    <w:rPr>
      <w:rFonts w:ascii="Times New Roman" w:eastAsia="Times New Roman" w:hAnsi="Times New Roman" w:cs="Times New Roman"/>
      <w:sz w:val="16"/>
      <w:lang w:eastAsia="en-US"/>
    </w:rPr>
  </w:style>
  <w:style w:type="paragraph" w:styleId="Title">
    <w:name w:val="Title"/>
    <w:basedOn w:val="HeadingBase"/>
    <w:link w:val="TitleChar"/>
    <w:qFormat/>
    <w:rsid w:val="00E02AA1"/>
    <w:pPr>
      <w:spacing w:before="5040"/>
      <w:jc w:val="center"/>
    </w:pPr>
    <w:rPr>
      <w:sz w:val="48"/>
      <w:szCs w:val="72"/>
      <w:lang w:val="en-US"/>
    </w:rPr>
  </w:style>
  <w:style w:type="character" w:customStyle="1" w:styleId="TitleChar">
    <w:name w:val="Title Char"/>
    <w:basedOn w:val="DefaultParagraphFont"/>
    <w:link w:val="Title"/>
    <w:rsid w:val="00E02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AA1"/>
    <w:pPr>
      <w:tabs>
        <w:tab w:val="left" w:pos="3600"/>
        <w:tab w:val="left" w:pos="3958"/>
      </w:tabs>
    </w:pPr>
  </w:style>
  <w:style w:type="paragraph" w:styleId="List">
    <w:name w:val="List"/>
    <w:basedOn w:val="BodyText"/>
    <w:next w:val="BodyText"/>
    <w:rsid w:val="00E02AA1"/>
    <w:pPr>
      <w:tabs>
        <w:tab w:val="left" w:pos="340"/>
      </w:tabs>
      <w:spacing w:before="60" w:after="60"/>
      <w:ind w:left="340" w:hanging="340"/>
    </w:pPr>
  </w:style>
  <w:style w:type="paragraph" w:customStyle="1" w:styleId="Note">
    <w:name w:val="Note"/>
    <w:basedOn w:val="BodyText"/>
    <w:rsid w:val="00E02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AA1"/>
    <w:pPr>
      <w:framePr w:wrap="auto" w:hAnchor="text" w:y="6049"/>
    </w:pPr>
    <w:rPr>
      <w:color w:val="000000"/>
      <w:sz w:val="40"/>
    </w:rPr>
  </w:style>
  <w:style w:type="paragraph" w:customStyle="1" w:styleId="TOCTitle">
    <w:name w:val="TOCTitle"/>
    <w:basedOn w:val="Heading1"/>
    <w:rsid w:val="00E02AA1"/>
    <w:pPr>
      <w:spacing w:after="240"/>
      <w:jc w:val="center"/>
      <w:outlineLvl w:val="9"/>
    </w:pPr>
    <w:rPr>
      <w:caps/>
    </w:rPr>
  </w:style>
  <w:style w:type="paragraph" w:customStyle="1" w:styleId="Version">
    <w:name w:val="Version"/>
    <w:rsid w:val="00E02A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AA1"/>
    <w:pPr>
      <w:keepNext w:val="0"/>
      <w:tabs>
        <w:tab w:val="right" w:pos="4176"/>
      </w:tabs>
      <w:ind w:left="198" w:hanging="198"/>
    </w:pPr>
    <w:rPr>
      <w:rFonts w:ascii="Garamond" w:hAnsi="Garamond"/>
    </w:rPr>
  </w:style>
  <w:style w:type="paragraph" w:styleId="IndexHeading">
    <w:name w:val="index heading"/>
    <w:basedOn w:val="Normal"/>
    <w:next w:val="Index1"/>
    <w:semiHidden/>
    <w:rsid w:val="00E02AA1"/>
    <w:pPr>
      <w:spacing w:before="120" w:after="120"/>
    </w:pPr>
    <w:rPr>
      <w:rFonts w:ascii="Arial" w:hAnsi="Arial"/>
      <w:b/>
      <w:color w:val="918585"/>
      <w:sz w:val="24"/>
    </w:rPr>
  </w:style>
  <w:style w:type="paragraph" w:styleId="Header">
    <w:name w:val="header"/>
    <w:basedOn w:val="Normal"/>
    <w:link w:val="HeaderChar"/>
    <w:rsid w:val="00E02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AA1"/>
    <w:rPr>
      <w:rFonts w:ascii="Times New Roman" w:eastAsia="Times New Roman" w:hAnsi="Times New Roman" w:cs="Times New Roman"/>
      <w:sz w:val="16"/>
      <w:szCs w:val="20"/>
      <w:lang w:val="en-GB" w:eastAsia="en-US"/>
    </w:rPr>
  </w:style>
  <w:style w:type="paragraph" w:customStyle="1" w:styleId="Chapter">
    <w:name w:val="Chapter"/>
    <w:basedOn w:val="Normal"/>
    <w:rsid w:val="00E02AA1"/>
    <w:pPr>
      <w:spacing w:before="240"/>
    </w:pPr>
    <w:rPr>
      <w:rFonts w:ascii="Times New Roman" w:hAnsi="Times New Roman"/>
      <w:smallCaps/>
      <w:spacing w:val="80"/>
      <w:sz w:val="28"/>
    </w:rPr>
  </w:style>
  <w:style w:type="paragraph" w:customStyle="1" w:styleId="InChapter">
    <w:name w:val="InChapter"/>
    <w:basedOn w:val="Heading3"/>
    <w:rsid w:val="00E02AA1"/>
    <w:pPr>
      <w:spacing w:after="240"/>
      <w:outlineLvl w:val="9"/>
    </w:pPr>
    <w:rPr>
      <w:noProof/>
    </w:rPr>
  </w:style>
  <w:style w:type="paragraph" w:styleId="Index2">
    <w:name w:val="index 2"/>
    <w:basedOn w:val="Normal"/>
    <w:next w:val="Normal"/>
    <w:semiHidden/>
    <w:rsid w:val="00E02AA1"/>
    <w:pPr>
      <w:tabs>
        <w:tab w:val="right" w:pos="4176"/>
      </w:tabs>
      <w:ind w:left="568" w:hanging="284"/>
    </w:pPr>
    <w:rPr>
      <w:rFonts w:ascii="Garamond" w:hAnsi="Garamond"/>
    </w:rPr>
  </w:style>
  <w:style w:type="paragraph" w:customStyle="1" w:styleId="Byline">
    <w:name w:val="Byline"/>
    <w:rsid w:val="00E02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AA1"/>
    <w:pPr>
      <w:tabs>
        <w:tab w:val="clear" w:pos="3600"/>
        <w:tab w:val="clear" w:pos="3958"/>
      </w:tabs>
      <w:jc w:val="right"/>
    </w:pPr>
  </w:style>
  <w:style w:type="character" w:styleId="Emphasis">
    <w:name w:val="Emphasis"/>
    <w:basedOn w:val="DefaultParagraphFont"/>
    <w:qFormat/>
    <w:rsid w:val="00E02AA1"/>
    <w:rPr>
      <w:i/>
    </w:rPr>
  </w:style>
  <w:style w:type="paragraph" w:styleId="Caption">
    <w:name w:val="caption"/>
    <w:basedOn w:val="BodyText"/>
    <w:next w:val="Normal"/>
    <w:qFormat/>
    <w:rsid w:val="00E02AA1"/>
    <w:pPr>
      <w:framePr w:w="2268" w:hSpace="181" w:vSpace="181" w:wrap="around" w:vAnchor="text" w:hAnchor="page" w:x="1135" w:y="285" w:anchorLock="1"/>
    </w:pPr>
    <w:rPr>
      <w:i/>
    </w:rPr>
  </w:style>
  <w:style w:type="paragraph" w:customStyle="1" w:styleId="MiniTOCTitle">
    <w:name w:val="MiniTOCTitle"/>
    <w:basedOn w:val="Heading4"/>
    <w:rsid w:val="00E02AA1"/>
    <w:pPr>
      <w:spacing w:before="240"/>
      <w:outlineLvl w:val="9"/>
    </w:pPr>
    <w:rPr>
      <w:noProof/>
      <w:sz w:val="24"/>
    </w:rPr>
  </w:style>
  <w:style w:type="paragraph" w:customStyle="1" w:styleId="MiniTOCItem">
    <w:name w:val="MiniTOCItem"/>
    <w:basedOn w:val="ListBullet"/>
    <w:rsid w:val="00E02AA1"/>
    <w:pPr>
      <w:numPr>
        <w:numId w:val="0"/>
      </w:numPr>
      <w:tabs>
        <w:tab w:val="right" w:leader="dot" w:pos="6521"/>
      </w:tabs>
      <w:spacing w:before="0" w:after="0"/>
    </w:pPr>
  </w:style>
  <w:style w:type="paragraph" w:customStyle="1" w:styleId="TOFTitle">
    <w:name w:val="TOFTitle"/>
    <w:basedOn w:val="TOCTitle"/>
    <w:rsid w:val="00E02AA1"/>
  </w:style>
  <w:style w:type="paragraph" w:styleId="TableofFigures">
    <w:name w:val="table of figures"/>
    <w:basedOn w:val="Normal"/>
    <w:next w:val="Normal"/>
    <w:semiHidden/>
    <w:rsid w:val="00E02AA1"/>
    <w:pPr>
      <w:tabs>
        <w:tab w:val="right" w:leader="dot" w:pos="9072"/>
      </w:tabs>
      <w:ind w:left="970" w:hanging="403"/>
    </w:pPr>
    <w:rPr>
      <w:rFonts w:ascii="Times New Roman" w:hAnsi="Times New Roman"/>
      <w:b/>
    </w:rPr>
  </w:style>
  <w:style w:type="paragraph" w:styleId="ListNumber">
    <w:name w:val="List Number"/>
    <w:basedOn w:val="List"/>
    <w:rsid w:val="00E02AA1"/>
    <w:pPr>
      <w:numPr>
        <w:numId w:val="15"/>
      </w:numPr>
      <w:tabs>
        <w:tab w:val="clear" w:pos="340"/>
      </w:tabs>
    </w:pPr>
  </w:style>
  <w:style w:type="character" w:customStyle="1" w:styleId="WingdingSymbols">
    <w:name w:val="Wingding Symbols"/>
    <w:rsid w:val="00E02AA1"/>
    <w:rPr>
      <w:rFonts w:ascii="Wingdings" w:hAnsi="Wingdings"/>
    </w:rPr>
  </w:style>
  <w:style w:type="paragraph" w:customStyle="1" w:styleId="TableHeading">
    <w:name w:val="Table Heading"/>
    <w:basedOn w:val="HeadingBase"/>
    <w:rsid w:val="00E02AA1"/>
    <w:pPr>
      <w:keepLines/>
      <w:pBdr>
        <w:bottom w:val="single" w:sz="6" w:space="1" w:color="918585"/>
      </w:pBdr>
      <w:spacing w:before="240"/>
    </w:pPr>
  </w:style>
  <w:style w:type="character" w:customStyle="1" w:styleId="HotSpot">
    <w:name w:val="HotSpot"/>
    <w:rsid w:val="00E02AA1"/>
    <w:rPr>
      <w:color w:val="0033CC"/>
      <w:u w:val="none"/>
    </w:rPr>
  </w:style>
  <w:style w:type="paragraph" w:customStyle="1" w:styleId="BodyTextRight">
    <w:name w:val="Body Text Right"/>
    <w:basedOn w:val="BodyText"/>
    <w:rsid w:val="00E02AA1"/>
    <w:pPr>
      <w:spacing w:before="0" w:after="0"/>
      <w:jc w:val="right"/>
    </w:pPr>
  </w:style>
  <w:style w:type="paragraph" w:styleId="Index3">
    <w:name w:val="index 3"/>
    <w:basedOn w:val="ListNumber2"/>
    <w:next w:val="Normal"/>
    <w:semiHidden/>
    <w:rsid w:val="00E02AA1"/>
    <w:pPr>
      <w:numPr>
        <w:numId w:val="0"/>
      </w:numPr>
      <w:tabs>
        <w:tab w:val="right" w:leader="dot" w:pos="4176"/>
      </w:tabs>
    </w:pPr>
  </w:style>
  <w:style w:type="paragraph" w:styleId="ListNumber2">
    <w:name w:val="List Number 2"/>
    <w:basedOn w:val="List2"/>
    <w:rsid w:val="00E02AA1"/>
    <w:pPr>
      <w:numPr>
        <w:numId w:val="10"/>
      </w:numPr>
      <w:tabs>
        <w:tab w:val="clear" w:pos="1060"/>
      </w:tabs>
    </w:pPr>
  </w:style>
  <w:style w:type="paragraph" w:customStyle="1" w:styleId="MarginNote">
    <w:name w:val="Margin Note"/>
    <w:basedOn w:val="BodyText"/>
    <w:rsid w:val="00E02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AA1"/>
    <w:rPr>
      <w:sz w:val="32"/>
    </w:rPr>
  </w:style>
  <w:style w:type="paragraph" w:customStyle="1" w:styleId="HeadingProcedure">
    <w:name w:val="Heading Procedure"/>
    <w:basedOn w:val="HeadingBase"/>
    <w:next w:val="Normal"/>
    <w:rsid w:val="00E02AA1"/>
    <w:pPr>
      <w:tabs>
        <w:tab w:val="left" w:pos="0"/>
      </w:tabs>
      <w:spacing w:before="120" w:after="60"/>
    </w:pPr>
    <w:rPr>
      <w:i/>
      <w:color w:val="918585"/>
      <w:sz w:val="22"/>
    </w:rPr>
  </w:style>
  <w:style w:type="paragraph" w:customStyle="1" w:styleId="TableBodyText">
    <w:name w:val="Table Body Text"/>
    <w:basedOn w:val="BodyText"/>
    <w:rsid w:val="00E02AA1"/>
    <w:pPr>
      <w:spacing w:before="60" w:after="60"/>
    </w:pPr>
  </w:style>
  <w:style w:type="paragraph" w:styleId="ListContinue">
    <w:name w:val="List Continue"/>
    <w:basedOn w:val="List"/>
    <w:rsid w:val="00E02AA1"/>
    <w:pPr>
      <w:ind w:firstLine="0"/>
    </w:pPr>
  </w:style>
  <w:style w:type="paragraph" w:customStyle="1" w:styleId="ListNote">
    <w:name w:val="List Note"/>
    <w:basedOn w:val="List"/>
    <w:rsid w:val="00E02AA1"/>
    <w:pPr>
      <w:pBdr>
        <w:top w:val="single" w:sz="6" w:space="2" w:color="918585"/>
        <w:bottom w:val="single" w:sz="6" w:space="2" w:color="918585"/>
      </w:pBdr>
      <w:tabs>
        <w:tab w:val="left" w:pos="1021"/>
      </w:tabs>
      <w:ind w:firstLine="0"/>
    </w:pPr>
  </w:style>
  <w:style w:type="paragraph" w:customStyle="1" w:styleId="Warning">
    <w:name w:val="Warning"/>
    <w:basedOn w:val="BodyText"/>
    <w:rsid w:val="00E02AA1"/>
    <w:pPr>
      <w:shd w:val="clear" w:color="auto" w:fill="D9D9D9"/>
      <w:tabs>
        <w:tab w:val="left" w:pos="992"/>
      </w:tabs>
      <w:ind w:left="119" w:right="119"/>
    </w:pPr>
    <w:rPr>
      <w:sz w:val="20"/>
    </w:rPr>
  </w:style>
  <w:style w:type="paragraph" w:customStyle="1" w:styleId="MarginIcons">
    <w:name w:val="Margin Icons"/>
    <w:basedOn w:val="BodyText"/>
    <w:rsid w:val="00E02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AA1"/>
    <w:rPr>
      <w:rFonts w:ascii="Courier New" w:hAnsi="Courier New"/>
    </w:rPr>
  </w:style>
  <w:style w:type="paragraph" w:customStyle="1" w:styleId="NoteBullet">
    <w:name w:val="Note Bullet"/>
    <w:basedOn w:val="Note"/>
    <w:rsid w:val="00E02AA1"/>
    <w:pPr>
      <w:tabs>
        <w:tab w:val="clear" w:pos="680"/>
      </w:tabs>
      <w:spacing w:before="60" w:after="60"/>
    </w:pPr>
  </w:style>
  <w:style w:type="paragraph" w:customStyle="1" w:styleId="SubHeading2">
    <w:name w:val="SubHeading2"/>
    <w:basedOn w:val="HeadingBase"/>
    <w:rsid w:val="00E02AA1"/>
    <w:pPr>
      <w:spacing w:before="240" w:after="60"/>
    </w:pPr>
    <w:rPr>
      <w:sz w:val="20"/>
    </w:rPr>
  </w:style>
  <w:style w:type="paragraph" w:customStyle="1" w:styleId="SubHeading1">
    <w:name w:val="SubHeading1"/>
    <w:basedOn w:val="HeadingBase"/>
    <w:rsid w:val="00E02AA1"/>
    <w:pPr>
      <w:spacing w:before="240" w:after="60"/>
    </w:pPr>
    <w:rPr>
      <w:color w:val="918585"/>
      <w:sz w:val="22"/>
    </w:rPr>
  </w:style>
  <w:style w:type="paragraph" w:customStyle="1" w:styleId="SideHeading">
    <w:name w:val="Side Heading"/>
    <w:basedOn w:val="HeadingBase"/>
    <w:rsid w:val="00E02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AA1"/>
    <w:pPr>
      <w:tabs>
        <w:tab w:val="num" w:pos="360"/>
      </w:tabs>
    </w:pPr>
  </w:style>
  <w:style w:type="paragraph" w:styleId="PlainText">
    <w:name w:val="Plain Text"/>
    <w:basedOn w:val="Normal"/>
    <w:link w:val="PlainTextChar"/>
    <w:rsid w:val="00E02AA1"/>
    <w:rPr>
      <w:sz w:val="20"/>
    </w:rPr>
  </w:style>
  <w:style w:type="character" w:customStyle="1" w:styleId="PlainTextChar">
    <w:name w:val="Plain Text Char"/>
    <w:basedOn w:val="DefaultParagraphFont"/>
    <w:link w:val="PlainText"/>
    <w:rsid w:val="00E02AA1"/>
    <w:rPr>
      <w:rFonts w:ascii="Courier New" w:eastAsia="Times New Roman" w:hAnsi="Courier New" w:cs="Times New Roman"/>
      <w:sz w:val="20"/>
      <w:szCs w:val="20"/>
      <w:lang w:eastAsia="en-US"/>
    </w:rPr>
  </w:style>
  <w:style w:type="character" w:customStyle="1" w:styleId="MenuOption">
    <w:name w:val="Menu Option"/>
    <w:basedOn w:val="DefaultParagraphFont"/>
    <w:rsid w:val="00E02AA1"/>
    <w:rPr>
      <w:b/>
      <w:smallCaps/>
    </w:rPr>
  </w:style>
  <w:style w:type="paragraph" w:customStyle="1" w:styleId="TableListNumber">
    <w:name w:val="Table List Number"/>
    <w:basedOn w:val="ListNumber"/>
    <w:rsid w:val="00E02AA1"/>
    <w:pPr>
      <w:numPr>
        <w:numId w:val="0"/>
      </w:numPr>
    </w:pPr>
  </w:style>
  <w:style w:type="paragraph" w:styleId="TOC4">
    <w:name w:val="toc 4"/>
    <w:basedOn w:val="TOCBase"/>
    <w:next w:val="Normal"/>
    <w:semiHidden/>
    <w:rsid w:val="00E02AA1"/>
    <w:pPr>
      <w:tabs>
        <w:tab w:val="right" w:leader="dot" w:pos="9071"/>
      </w:tabs>
      <w:ind w:left="1701"/>
    </w:pPr>
  </w:style>
  <w:style w:type="paragraph" w:customStyle="1" w:styleId="ListAlpha">
    <w:name w:val="List Alpha"/>
    <w:basedOn w:val="List"/>
    <w:rsid w:val="00E02AA1"/>
    <w:pPr>
      <w:numPr>
        <w:numId w:val="9"/>
      </w:numPr>
    </w:pPr>
  </w:style>
  <w:style w:type="paragraph" w:customStyle="1" w:styleId="ListAlpha2">
    <w:name w:val="List Alpha 2"/>
    <w:basedOn w:val="List2"/>
    <w:rsid w:val="00E02AA1"/>
    <w:pPr>
      <w:numPr>
        <w:numId w:val="8"/>
      </w:numPr>
    </w:pPr>
  </w:style>
  <w:style w:type="paragraph" w:styleId="List2">
    <w:name w:val="List 2"/>
    <w:basedOn w:val="BodyText"/>
    <w:rsid w:val="00E02AA1"/>
    <w:pPr>
      <w:tabs>
        <w:tab w:val="left" w:pos="680"/>
      </w:tabs>
      <w:spacing w:before="60" w:after="60"/>
      <w:ind w:left="680" w:hanging="340"/>
    </w:pPr>
  </w:style>
  <w:style w:type="paragraph" w:styleId="List3">
    <w:name w:val="List 3"/>
    <w:basedOn w:val="BodyText"/>
    <w:rsid w:val="00E02AA1"/>
    <w:pPr>
      <w:tabs>
        <w:tab w:val="left" w:pos="1021"/>
      </w:tabs>
      <w:spacing w:before="60" w:after="60"/>
      <w:ind w:left="1020" w:hanging="340"/>
    </w:pPr>
  </w:style>
  <w:style w:type="paragraph" w:styleId="List4">
    <w:name w:val="List 4"/>
    <w:basedOn w:val="BodyText"/>
    <w:rsid w:val="00E02AA1"/>
    <w:pPr>
      <w:tabs>
        <w:tab w:val="left" w:pos="1361"/>
      </w:tabs>
      <w:spacing w:before="60" w:after="60"/>
      <w:ind w:left="1361" w:hanging="340"/>
    </w:pPr>
  </w:style>
  <w:style w:type="paragraph" w:styleId="List5">
    <w:name w:val="List 5"/>
    <w:basedOn w:val="BodyText"/>
    <w:rsid w:val="00E02AA1"/>
    <w:pPr>
      <w:tabs>
        <w:tab w:val="left" w:pos="1701"/>
      </w:tabs>
      <w:spacing w:before="60" w:after="60"/>
      <w:ind w:left="1701" w:hanging="340"/>
    </w:pPr>
  </w:style>
  <w:style w:type="paragraph" w:styleId="ListBullet3">
    <w:name w:val="List Bullet 3"/>
    <w:basedOn w:val="List3"/>
    <w:rsid w:val="00E02AA1"/>
    <w:pPr>
      <w:numPr>
        <w:numId w:val="14"/>
      </w:numPr>
      <w:tabs>
        <w:tab w:val="clear" w:pos="1021"/>
      </w:tabs>
      <w:ind w:left="1037" w:hanging="357"/>
    </w:pPr>
  </w:style>
  <w:style w:type="paragraph" w:styleId="ListBullet4">
    <w:name w:val="List Bullet 4"/>
    <w:basedOn w:val="List4"/>
    <w:rsid w:val="00E02AA1"/>
    <w:pPr>
      <w:numPr>
        <w:numId w:val="3"/>
      </w:numPr>
      <w:tabs>
        <w:tab w:val="clear" w:pos="1361"/>
      </w:tabs>
    </w:pPr>
  </w:style>
  <w:style w:type="paragraph" w:styleId="ListBullet5">
    <w:name w:val="List Bullet 5"/>
    <w:basedOn w:val="List5"/>
    <w:rsid w:val="00E02AA1"/>
    <w:pPr>
      <w:numPr>
        <w:numId w:val="4"/>
      </w:numPr>
    </w:pPr>
  </w:style>
  <w:style w:type="paragraph" w:styleId="ListContinue2">
    <w:name w:val="List Continue 2"/>
    <w:basedOn w:val="List2"/>
    <w:rsid w:val="00E02AA1"/>
    <w:pPr>
      <w:ind w:firstLine="0"/>
    </w:pPr>
  </w:style>
  <w:style w:type="paragraph" w:styleId="ListContinue3">
    <w:name w:val="List Continue 3"/>
    <w:basedOn w:val="List3"/>
    <w:rsid w:val="00E02AA1"/>
    <w:pPr>
      <w:ind w:left="1021" w:firstLine="0"/>
    </w:pPr>
  </w:style>
  <w:style w:type="paragraph" w:styleId="ListContinue4">
    <w:name w:val="List Continue 4"/>
    <w:basedOn w:val="List4"/>
    <w:rsid w:val="00E02AA1"/>
    <w:pPr>
      <w:ind w:firstLine="0"/>
    </w:pPr>
  </w:style>
  <w:style w:type="paragraph" w:styleId="ListContinue5">
    <w:name w:val="List Continue 5"/>
    <w:basedOn w:val="List5"/>
    <w:rsid w:val="00E02AA1"/>
    <w:pPr>
      <w:ind w:firstLine="0"/>
    </w:pPr>
  </w:style>
  <w:style w:type="paragraph" w:styleId="ListNumber3">
    <w:name w:val="List Number 3"/>
    <w:basedOn w:val="List3"/>
    <w:rsid w:val="00E02AA1"/>
    <w:pPr>
      <w:numPr>
        <w:numId w:val="5"/>
      </w:numPr>
    </w:pPr>
  </w:style>
  <w:style w:type="paragraph" w:styleId="ListNumber4">
    <w:name w:val="List Number 4"/>
    <w:basedOn w:val="List4"/>
    <w:rsid w:val="00E02AA1"/>
    <w:pPr>
      <w:numPr>
        <w:numId w:val="6"/>
      </w:numPr>
    </w:pPr>
  </w:style>
  <w:style w:type="paragraph" w:styleId="ListNumber5">
    <w:name w:val="List Number 5"/>
    <w:basedOn w:val="List5"/>
    <w:rsid w:val="00E02AA1"/>
    <w:pPr>
      <w:numPr>
        <w:numId w:val="7"/>
      </w:numPr>
    </w:pPr>
  </w:style>
  <w:style w:type="paragraph" w:styleId="BlockText">
    <w:name w:val="Block Text"/>
    <w:basedOn w:val="Normal"/>
    <w:rsid w:val="00E02AA1"/>
    <w:pPr>
      <w:spacing w:after="120"/>
      <w:ind w:left="1440" w:right="1440"/>
    </w:pPr>
  </w:style>
  <w:style w:type="character" w:customStyle="1" w:styleId="Subscript">
    <w:name w:val="Subscript"/>
    <w:basedOn w:val="DefaultParagraphFont"/>
    <w:rsid w:val="00E02AA1"/>
    <w:rPr>
      <w:sz w:val="16"/>
      <w:vertAlign w:val="subscript"/>
    </w:rPr>
  </w:style>
  <w:style w:type="character" w:customStyle="1" w:styleId="Superscript">
    <w:name w:val="Superscript"/>
    <w:basedOn w:val="DefaultParagraphFont"/>
    <w:rsid w:val="00E02AA1"/>
    <w:rPr>
      <w:sz w:val="16"/>
      <w:vertAlign w:val="superscript"/>
    </w:rPr>
  </w:style>
  <w:style w:type="character" w:customStyle="1" w:styleId="Symbols">
    <w:name w:val="Symbols"/>
    <w:basedOn w:val="DefaultParagraphFont"/>
    <w:rsid w:val="00E02AA1"/>
    <w:rPr>
      <w:rFonts w:ascii="Symbol" w:hAnsi="Symbol"/>
    </w:rPr>
  </w:style>
  <w:style w:type="character" w:customStyle="1" w:styleId="MenuOptions">
    <w:name w:val="Menu Options"/>
    <w:basedOn w:val="DefaultParagraphFont"/>
    <w:rsid w:val="00E02AA1"/>
    <w:rPr>
      <w:rFonts w:ascii="Arial Narrow" w:hAnsi="Arial Narrow"/>
      <w:smallCaps/>
    </w:rPr>
  </w:style>
  <w:style w:type="character" w:customStyle="1" w:styleId="Buttons">
    <w:name w:val="Buttons"/>
    <w:basedOn w:val="DefaultParagraphFont"/>
    <w:rsid w:val="00E02AA1"/>
    <w:rPr>
      <w:b/>
    </w:rPr>
  </w:style>
  <w:style w:type="character" w:customStyle="1" w:styleId="Underlined">
    <w:name w:val="Underlined"/>
    <w:basedOn w:val="DefaultParagraphFont"/>
    <w:rsid w:val="00E02AA1"/>
    <w:rPr>
      <w:u w:val="single"/>
    </w:rPr>
  </w:style>
  <w:style w:type="paragraph" w:customStyle="1" w:styleId="TableBodyTextRight">
    <w:name w:val="Table Body Text Right"/>
    <w:basedOn w:val="TableBodyText"/>
    <w:rsid w:val="00E02AA1"/>
    <w:pPr>
      <w:widowControl w:val="0"/>
      <w:autoSpaceDE w:val="0"/>
      <w:autoSpaceDN w:val="0"/>
      <w:adjustRightInd w:val="0"/>
      <w:jc w:val="right"/>
    </w:pPr>
    <w:rPr>
      <w:rFonts w:cs="Arial"/>
      <w:szCs w:val="18"/>
    </w:rPr>
  </w:style>
  <w:style w:type="paragraph" w:customStyle="1" w:styleId="CopyrightText">
    <w:name w:val="Copyright Text"/>
    <w:basedOn w:val="BodyText"/>
    <w:rsid w:val="00E02AA1"/>
    <w:rPr>
      <w:sz w:val="18"/>
    </w:rPr>
  </w:style>
  <w:style w:type="paragraph" w:customStyle="1" w:styleId="BodySmallRight">
    <w:name w:val="Body Small Right"/>
    <w:basedOn w:val="BodyTextRight"/>
    <w:rsid w:val="00E02AA1"/>
    <w:rPr>
      <w:sz w:val="18"/>
      <w:szCs w:val="18"/>
    </w:rPr>
  </w:style>
  <w:style w:type="paragraph" w:customStyle="1" w:styleId="MarginEdition">
    <w:name w:val="Margin Edition"/>
    <w:basedOn w:val="MarginNote"/>
    <w:rsid w:val="00E02AA1"/>
    <w:pPr>
      <w:spacing w:before="0" w:after="0"/>
    </w:pPr>
    <w:rPr>
      <w:rFonts w:ascii="Times New Roman" w:hAnsi="Times New Roman"/>
      <w:color w:val="999999"/>
    </w:rPr>
  </w:style>
  <w:style w:type="paragraph" w:customStyle="1" w:styleId="Spacer">
    <w:name w:val="Spacer"/>
    <w:basedOn w:val="Normal"/>
    <w:rsid w:val="00E02AA1"/>
    <w:rPr>
      <w:sz w:val="2"/>
      <w:szCs w:val="2"/>
    </w:rPr>
  </w:style>
  <w:style w:type="character" w:customStyle="1" w:styleId="Small">
    <w:name w:val="Small"/>
    <w:basedOn w:val="DefaultParagraphFont"/>
    <w:rsid w:val="00E02AA1"/>
    <w:rPr>
      <w:sz w:val="16"/>
    </w:rPr>
  </w:style>
  <w:style w:type="paragraph" w:customStyle="1" w:styleId="WideTable">
    <w:name w:val="Wide Table"/>
    <w:basedOn w:val="Normal"/>
    <w:rsid w:val="00E02AA1"/>
    <w:pPr>
      <w:ind w:left="-1418"/>
    </w:pPr>
    <w:rPr>
      <w:sz w:val="2"/>
      <w:szCs w:val="2"/>
    </w:rPr>
  </w:style>
  <w:style w:type="character" w:styleId="PageNumber">
    <w:name w:val="page number"/>
    <w:basedOn w:val="DefaultParagraphFont"/>
    <w:rsid w:val="00E02AA1"/>
  </w:style>
  <w:style w:type="paragraph" w:styleId="Quote">
    <w:name w:val="Quote"/>
    <w:basedOn w:val="Heading1"/>
    <w:link w:val="QuoteChar"/>
    <w:qFormat/>
    <w:rsid w:val="00E02AA1"/>
    <w:rPr>
      <w:b w:val="0"/>
      <w:sz w:val="72"/>
      <w:szCs w:val="72"/>
      <w:lang w:val="en-NZ"/>
    </w:rPr>
  </w:style>
  <w:style w:type="character" w:customStyle="1" w:styleId="QuoteChar">
    <w:name w:val="Quote Char"/>
    <w:basedOn w:val="DefaultParagraphFont"/>
    <w:link w:val="Quote"/>
    <w:rsid w:val="00E02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AA1"/>
    <w:pPr>
      <w:pageBreakBefore/>
    </w:pPr>
  </w:style>
  <w:style w:type="paragraph" w:customStyle="1" w:styleId="Border">
    <w:name w:val="Border"/>
    <w:basedOn w:val="Normal"/>
    <w:qFormat/>
    <w:rsid w:val="00E02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AA1"/>
    <w:rPr>
      <w:b/>
      <w:bCs/>
      <w:i/>
      <w:iCs/>
      <w:color w:val="auto"/>
    </w:rPr>
  </w:style>
  <w:style w:type="paragraph" w:styleId="IntenseQuote">
    <w:name w:val="Intense Quote"/>
    <w:basedOn w:val="Normal"/>
    <w:next w:val="Normal"/>
    <w:link w:val="IntenseQuoteChar"/>
    <w:uiPriority w:val="30"/>
    <w:qFormat/>
    <w:rsid w:val="00E02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AA1"/>
    <w:rPr>
      <w:smallCaps/>
      <w:color w:val="auto"/>
      <w:u w:val="single"/>
    </w:rPr>
  </w:style>
  <w:style w:type="character" w:styleId="IntenseReference">
    <w:name w:val="Intense Reference"/>
    <w:basedOn w:val="DefaultParagraphFont"/>
    <w:uiPriority w:val="32"/>
    <w:qFormat/>
    <w:rsid w:val="00E02AA1"/>
    <w:rPr>
      <w:b/>
      <w:bCs/>
      <w:smallCaps/>
      <w:color w:val="auto"/>
      <w:spacing w:val="5"/>
      <w:u w:val="single"/>
    </w:rPr>
  </w:style>
  <w:style w:type="paragraph" w:customStyle="1" w:styleId="2ColumnHeading">
    <w:name w:val="2Column Heading"/>
    <w:basedOn w:val="BodyText"/>
    <w:qFormat/>
    <w:rsid w:val="00E02AA1"/>
    <w:pPr>
      <w:spacing w:after="60"/>
      <w:ind w:left="-2268"/>
    </w:pPr>
    <w:rPr>
      <w:b/>
    </w:rPr>
  </w:style>
  <w:style w:type="paragraph" w:customStyle="1" w:styleId="Heading1TOC">
    <w:name w:val="Heading1 TOC"/>
    <w:basedOn w:val="Normal"/>
    <w:qFormat/>
    <w:rsid w:val="00E02AA1"/>
    <w:pPr>
      <w:spacing w:before="240" w:after="120"/>
    </w:pPr>
    <w:rPr>
      <w:rFonts w:ascii="Times New Roman" w:hAnsi="Times New Roman"/>
      <w:b/>
      <w:sz w:val="32"/>
    </w:rPr>
  </w:style>
  <w:style w:type="paragraph" w:customStyle="1" w:styleId="Heading2TOC">
    <w:name w:val="Heading2 TOC"/>
    <w:basedOn w:val="Normal"/>
    <w:qFormat/>
    <w:rsid w:val="00E02AA1"/>
    <w:pPr>
      <w:spacing w:before="240" w:after="60"/>
    </w:pPr>
    <w:rPr>
      <w:rFonts w:ascii="Times New Roman" w:hAnsi="Times New Roman"/>
      <w:b/>
      <w:sz w:val="28"/>
    </w:rPr>
  </w:style>
  <w:style w:type="character" w:customStyle="1" w:styleId="Underline">
    <w:name w:val="Underline"/>
    <w:basedOn w:val="DefaultParagraphFont"/>
    <w:qFormat/>
    <w:rsid w:val="00E02AA1"/>
    <w:rPr>
      <w:u w:val="single"/>
    </w:rPr>
  </w:style>
  <w:style w:type="character" w:customStyle="1" w:styleId="BoldandItalics">
    <w:name w:val="Bold and Italics"/>
    <w:qFormat/>
    <w:rsid w:val="00E02AA1"/>
    <w:rPr>
      <w:b/>
      <w:i/>
      <w:u w:val="none"/>
    </w:rPr>
  </w:style>
  <w:style w:type="paragraph" w:styleId="BalloonText">
    <w:name w:val="Balloon Text"/>
    <w:basedOn w:val="Normal"/>
    <w:link w:val="BalloonTextChar"/>
    <w:rsid w:val="00E02AA1"/>
    <w:rPr>
      <w:rFonts w:ascii="Tahoma" w:hAnsi="Tahoma" w:cs="Tahoma"/>
      <w:sz w:val="16"/>
      <w:szCs w:val="16"/>
    </w:rPr>
  </w:style>
  <w:style w:type="character" w:customStyle="1" w:styleId="BalloonTextChar">
    <w:name w:val="Balloon Text Char"/>
    <w:basedOn w:val="DefaultParagraphFont"/>
    <w:link w:val="BalloonText"/>
    <w:rsid w:val="00E02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A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AA1"/>
    <w:rPr>
      <w:b/>
      <w:color w:val="660033"/>
      <w:spacing w:val="0"/>
    </w:rPr>
  </w:style>
  <w:style w:type="paragraph" w:customStyle="1" w:styleId="Nameditemlist">
    <w:name w:val="Named item list"/>
    <w:basedOn w:val="BodyText"/>
    <w:qFormat/>
    <w:rsid w:val="00E02AA1"/>
    <w:pPr>
      <w:tabs>
        <w:tab w:val="left" w:pos="2835"/>
      </w:tabs>
      <w:ind w:left="2835" w:hanging="2835"/>
    </w:pPr>
  </w:style>
  <w:style w:type="paragraph" w:customStyle="1" w:styleId="BodyTextnopadding">
    <w:name w:val="Body Text no padding"/>
    <w:basedOn w:val="BodyText"/>
    <w:qFormat/>
    <w:rsid w:val="00E02AA1"/>
    <w:pPr>
      <w:spacing w:before="0" w:after="0"/>
    </w:pPr>
  </w:style>
  <w:style w:type="paragraph" w:customStyle="1" w:styleId="BodyTextBold">
    <w:name w:val="Body Text Bold"/>
    <w:basedOn w:val="BodyText"/>
    <w:qFormat/>
    <w:rsid w:val="00E02AA1"/>
    <w:rPr>
      <w:b/>
    </w:rPr>
  </w:style>
  <w:style w:type="character" w:styleId="Hyperlink">
    <w:name w:val="Hyperlink"/>
    <w:basedOn w:val="DefaultParagraphFont"/>
    <w:uiPriority w:val="99"/>
    <w:unhideWhenUsed/>
    <w:rsid w:val="00AE46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1870</Words>
  <Characters>12102</Characters>
  <Application>Microsoft Office Word</Application>
  <DocSecurity>0</DocSecurity>
  <Lines>403</Lines>
  <Paragraphs>273</Paragraphs>
  <ScaleCrop>false</ScaleCrop>
  <Company>Author-it Software Corporation Ltd.</Company>
  <LinksUpToDate>false</LinksUpToDate>
  <CharactersWithSpaces>13699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PMAOMIR444 Develop incident containment tactics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