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4576" w:rsidP="00B845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PMAOMIR444 Develop incident containment tactics</w:t>
      </w:r>
      <w:r>
        <w:fldChar w:fldCharType="end"/>
      </w:r>
    </w:p>
    <w:p w:rsidR="00B84576" w:rsidP="00B84576">
      <w:pPr>
        <w:pStyle w:val="Version"/>
        <w:sectPr w:rsidSect="007E4C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4C0A" w:rsidP="007E4C0A">
      <w:pPr>
        <w:pStyle w:val="SuperHeading"/>
      </w:pPr>
      <w:r w:rsidRPr="007E4C0A">
        <w:t>Assessment Requirements for PMAOMIR444 Develop incident containment tactics</w:t>
      </w:r>
    </w:p>
    <w:p w:rsidR="00000000" w:rsidRPr="007E4C0A" w:rsidP="007E4C0A">
      <w:pPr>
        <w:pStyle w:val="Heading1"/>
      </w:pPr>
      <w:bookmarkStart w:id="1" w:name="O_908920"/>
      <w:bookmarkEnd w:id="1"/>
      <w:r w:rsidRPr="007E4C0A">
        <w:t>Modification History</w:t>
      </w:r>
    </w:p>
    <w:p w:rsidR="00000000" w:rsidRPr="007E4C0A" w:rsidP="00B84576">
      <w:pPr>
        <w:pStyle w:val="BodyText"/>
      </w:pPr>
      <w:r w:rsidRPr="007E4C0A">
        <w:t>Release 1. Supersedes and is equivalent to PMAOMIR444B Develop incident containment tactics</w:t>
      </w:r>
    </w:p>
    <w:p w:rsidR="00000000" w:rsidRPr="007E4C0A" w:rsidP="007E4C0A">
      <w:pPr>
        <w:pStyle w:val="Heading1"/>
      </w:pPr>
      <w:bookmarkStart w:id="2" w:name="O_908923"/>
      <w:bookmarkEnd w:id="2"/>
      <w:r w:rsidRPr="007E4C0A">
        <w:t>Performance Evidence</w:t>
      </w:r>
    </w:p>
    <w:p w:rsidR="00000000" w:rsidRPr="007E4C0A" w:rsidP="00B84576">
      <w:pPr>
        <w:pStyle w:val="BodyText"/>
      </w:pPr>
      <w:r w:rsidRPr="007E4C0A">
        <w:t>Evidence required to demonstrate competence in this unit must be relevant to and satisfy the requirements of the elements and performance criteria, and include the ability to:</w:t>
      </w:r>
    </w:p>
    <w:p w:rsidR="00000000" w:rsidRPr="007E4C0A" w:rsidP="007E4C0A">
      <w:pPr>
        <w:pStyle w:val="ListBullet"/>
      </w:pPr>
      <w:r w:rsidRPr="007E4C0A">
        <w:t>collect and analyse information to evaluate and recommend containment tactics a</w:t>
      </w:r>
      <w:r w:rsidRPr="007E4C0A">
        <w:t>ppropriate to specific context</w:t>
      </w:r>
    </w:p>
    <w:p w:rsidR="00000000" w:rsidRPr="007E4C0A" w:rsidP="007E4C0A">
      <w:pPr>
        <w:pStyle w:val="ListBullet"/>
      </w:pPr>
      <w:r w:rsidRPr="007E4C0A">
        <w:t xml:space="preserve">identify and control hazards and risks </w:t>
      </w:r>
    </w:p>
    <w:p w:rsidR="00000000" w:rsidRPr="007E4C0A" w:rsidP="007E4C0A">
      <w:pPr>
        <w:pStyle w:val="ListBullet"/>
      </w:pPr>
      <w:r w:rsidRPr="007E4C0A">
        <w:t>communicate effectively with team members, management and other stakeholders</w:t>
      </w:r>
    </w:p>
    <w:p w:rsidR="00000000" w:rsidRPr="007E4C0A" w:rsidP="007E4C0A">
      <w:pPr>
        <w:pStyle w:val="ListBullet"/>
      </w:pPr>
      <w:r w:rsidRPr="007E4C0A">
        <w:t>write clear and unambiguous procedures and training documents to support tactics.</w:t>
      </w:r>
    </w:p>
    <w:p w:rsidR="00000000" w:rsidRPr="007E4C0A" w:rsidP="007E4C0A">
      <w:pPr>
        <w:pStyle w:val="AllowPageBreak"/>
      </w:pPr>
    </w:p>
    <w:p w:rsidR="00000000" w:rsidRPr="007E4C0A" w:rsidP="007E4C0A">
      <w:pPr>
        <w:pStyle w:val="Heading1"/>
      </w:pPr>
      <w:bookmarkStart w:id="3" w:name="O_908922"/>
      <w:bookmarkEnd w:id="3"/>
      <w:r w:rsidRPr="007E4C0A">
        <w:t>Knowledge</w:t>
      </w:r>
      <w:r w:rsidRPr="007E4C0A">
        <w:t xml:space="preserve"> Evidence</w:t>
      </w:r>
    </w:p>
    <w:p w:rsidR="00000000" w:rsidRPr="007E4C0A" w:rsidP="00B84576">
      <w:pPr>
        <w:pStyle w:val="BodyText"/>
      </w:pPr>
      <w:r w:rsidRPr="007E4C0A">
        <w:t>Evidence must be provided that demonstrates knowledge of:</w:t>
      </w:r>
    </w:p>
    <w:p w:rsidR="00000000" w:rsidRPr="007E4C0A" w:rsidP="007E4C0A">
      <w:pPr>
        <w:pStyle w:val="ListBullet"/>
      </w:pPr>
      <w:r w:rsidRPr="007E4C0A">
        <w:t>organisational procedures, including those covering:</w:t>
      </w:r>
    </w:p>
    <w:p w:rsidR="00000000" w:rsidRPr="007E4C0A" w:rsidP="007E4C0A">
      <w:pPr>
        <w:pStyle w:val="ListBullet2"/>
      </w:pPr>
      <w:r w:rsidRPr="007E4C0A">
        <w:t>safety, hazards and hazard control</w:t>
      </w:r>
    </w:p>
    <w:p w:rsidR="00000000" w:rsidRPr="007E4C0A" w:rsidP="007E4C0A">
      <w:pPr>
        <w:pStyle w:val="ListBullet2"/>
      </w:pPr>
      <w:r w:rsidRPr="007E4C0A">
        <w:t xml:space="preserve">incident, fire and accident </w:t>
      </w:r>
    </w:p>
    <w:p w:rsidR="00000000" w:rsidRPr="007E4C0A" w:rsidP="007E4C0A">
      <w:pPr>
        <w:pStyle w:val="ListBullet2"/>
      </w:pPr>
      <w:r w:rsidRPr="007E4C0A">
        <w:t>environmental protection</w:t>
      </w:r>
    </w:p>
    <w:p w:rsidR="00000000" w:rsidRPr="007E4C0A" w:rsidP="007E4C0A">
      <w:pPr>
        <w:pStyle w:val="ListBullet2"/>
      </w:pPr>
      <w:r w:rsidRPr="007E4C0A">
        <w:t>risk assessment/risk management</w:t>
      </w:r>
    </w:p>
    <w:p w:rsidR="00000000" w:rsidRPr="007E4C0A" w:rsidP="007E4C0A">
      <w:pPr>
        <w:pStyle w:val="ListBullet2"/>
      </w:pPr>
      <w:r w:rsidRPr="007E4C0A">
        <w:t>relevant facility fire management and safety systems</w:t>
      </w:r>
    </w:p>
    <w:p w:rsidR="00000000" w:rsidRPr="007E4C0A" w:rsidP="007E4C0A">
      <w:pPr>
        <w:pStyle w:val="ListBullet2"/>
      </w:pPr>
      <w:r w:rsidRPr="007E4C0A">
        <w:t>communication systems</w:t>
      </w:r>
    </w:p>
    <w:p w:rsidR="00000000" w:rsidRPr="007E4C0A" w:rsidP="007E4C0A">
      <w:pPr>
        <w:pStyle w:val="ListBullet2"/>
      </w:pPr>
      <w:r w:rsidRPr="007E4C0A">
        <w:t>emergency response plans</w:t>
      </w:r>
    </w:p>
    <w:p w:rsidR="00000000" w:rsidRPr="007E4C0A" w:rsidP="007E4C0A">
      <w:pPr>
        <w:pStyle w:val="ListBullet"/>
      </w:pPr>
      <w:r w:rsidRPr="007E4C0A">
        <w:t>types of incidents that can arise in the work environment</w:t>
      </w:r>
    </w:p>
    <w:p w:rsidR="00000000" w:rsidRPr="007E4C0A" w:rsidP="007E4C0A">
      <w:pPr>
        <w:pStyle w:val="ListBullet"/>
      </w:pPr>
      <w:r w:rsidRPr="007E4C0A">
        <w:t>related risks and potential impact on environment, local community and economy of the organisatio</w:t>
      </w:r>
      <w:r w:rsidRPr="007E4C0A">
        <w:t>n</w:t>
      </w:r>
    </w:p>
    <w:p w:rsidR="00000000" w:rsidRPr="007E4C0A" w:rsidP="007E4C0A">
      <w:pPr>
        <w:pStyle w:val="ListBullet"/>
      </w:pPr>
      <w:r w:rsidRPr="007E4C0A">
        <w:t>types of incident response and containment equipment and their application</w:t>
      </w:r>
    </w:p>
    <w:p w:rsidR="00000000" w:rsidRPr="007E4C0A" w:rsidP="007E4C0A">
      <w:pPr>
        <w:pStyle w:val="ListBullet"/>
      </w:pPr>
      <w:r w:rsidRPr="007E4C0A">
        <w:t>rescue techniques</w:t>
      </w:r>
    </w:p>
    <w:p w:rsidR="00000000" w:rsidRPr="007E4C0A" w:rsidP="007E4C0A">
      <w:pPr>
        <w:pStyle w:val="ListBullet"/>
      </w:pPr>
      <w:r w:rsidRPr="007E4C0A">
        <w:t>incident prediction</w:t>
      </w:r>
    </w:p>
    <w:p w:rsidR="00000000" w:rsidRPr="007E4C0A" w:rsidP="007E4C0A">
      <w:pPr>
        <w:pStyle w:val="ListBullet"/>
      </w:pPr>
      <w:r w:rsidRPr="007E4C0A">
        <w:t>intervention and control techniques for heating, fires and explosions</w:t>
      </w:r>
    </w:p>
    <w:p w:rsidR="00000000" w:rsidRPr="007E4C0A" w:rsidP="007E4C0A">
      <w:pPr>
        <w:pStyle w:val="ListBullet"/>
      </w:pPr>
      <w:r w:rsidRPr="007E4C0A">
        <w:t>incident resources and how to access them</w:t>
      </w:r>
    </w:p>
    <w:p w:rsidR="00000000" w:rsidRPr="007E4C0A" w:rsidP="007E4C0A">
      <w:pPr>
        <w:pStyle w:val="ListBullet"/>
      </w:pPr>
      <w:r w:rsidRPr="007E4C0A">
        <w:t>incident response and disaste</w:t>
      </w:r>
      <w:r w:rsidRPr="007E4C0A">
        <w:t>r planning processes and techniques</w:t>
      </w:r>
    </w:p>
    <w:p w:rsidR="00000000" w:rsidRPr="007E4C0A" w:rsidP="007E4C0A">
      <w:pPr>
        <w:pStyle w:val="ListBullet"/>
      </w:pPr>
      <w:r w:rsidRPr="007E4C0A">
        <w:t>hazard identification and control</w:t>
      </w:r>
    </w:p>
    <w:p w:rsidR="00000000" w:rsidRPr="007E4C0A" w:rsidP="007E4C0A">
      <w:pPr>
        <w:pStyle w:val="ListBullet"/>
      </w:pPr>
      <w:r w:rsidRPr="007E4C0A">
        <w:t>risk management principles and techniques</w:t>
      </w:r>
    </w:p>
    <w:p w:rsidR="00000000" w:rsidRPr="007E4C0A" w:rsidP="007E4C0A">
      <w:pPr>
        <w:pStyle w:val="ListBullet"/>
      </w:pPr>
      <w:r w:rsidRPr="007E4C0A">
        <w:t>structure, roles, capabilities and operational limitations of external resources and agencies</w:t>
      </w:r>
    </w:p>
    <w:p w:rsidR="00000000" w:rsidRPr="007E4C0A" w:rsidP="007E4C0A">
      <w:pPr>
        <w:pStyle w:val="ListBullet"/>
      </w:pPr>
      <w:r w:rsidRPr="007E4C0A">
        <w:t>insurance policies and considerations</w:t>
      </w:r>
    </w:p>
    <w:p w:rsidR="00000000" w:rsidRPr="007E4C0A" w:rsidP="007E4C0A">
      <w:pPr>
        <w:pStyle w:val="ListBullet"/>
      </w:pPr>
      <w:r w:rsidRPr="007E4C0A">
        <w:t>economic impact and considerations.</w:t>
      </w:r>
    </w:p>
    <w:p w:rsidR="00000000" w:rsidRPr="007E4C0A" w:rsidP="007E4C0A">
      <w:pPr>
        <w:pStyle w:val="AllowPageBreak"/>
      </w:pPr>
    </w:p>
    <w:p w:rsidR="00000000" w:rsidRPr="007E4C0A" w:rsidP="007E4C0A">
      <w:pPr>
        <w:pStyle w:val="Heading1"/>
      </w:pPr>
      <w:bookmarkStart w:id="4" w:name="O_908921"/>
      <w:bookmarkEnd w:id="4"/>
      <w:r w:rsidRPr="007E4C0A">
        <w:t>Assessment Conditions</w:t>
      </w:r>
    </w:p>
    <w:p w:rsidR="00000000" w:rsidRPr="007E4C0A" w:rsidP="007E4C0A">
      <w:pPr>
        <w:pStyle w:val="ListBullet"/>
      </w:pPr>
      <w:r w:rsidRPr="007E4C0A">
        <w:t>Competency must be achieved before performing this work unsupervised. Therefore this unit will typically be assessed off the job. Where assessment is undertaken on the job, appropr</w:t>
      </w:r>
      <w:r w:rsidRPr="007E4C0A">
        <w:t>iate supervision and safety precautions must be provided.</w:t>
      </w:r>
    </w:p>
    <w:p w:rsidR="00000000" w:rsidRPr="007E4C0A" w:rsidP="007E4C0A">
      <w:pPr>
        <w:pStyle w:val="ListBullet"/>
      </w:pPr>
      <w:r w:rsidRPr="007E4C0A">
        <w:t xml:space="preserve">The unit should be assessed holistically and the judgement of competence based on a holistic assessment of the evidence. </w:t>
      </w:r>
    </w:p>
    <w:p w:rsidR="00000000" w:rsidRPr="007E4C0A" w:rsidP="007E4C0A">
      <w:pPr>
        <w:pStyle w:val="ListBullet"/>
      </w:pPr>
      <w:r w:rsidRPr="007E4C0A">
        <w:t>The collection of performance evidence:</w:t>
      </w:r>
    </w:p>
    <w:p w:rsidR="00000000" w:rsidRPr="007E4C0A" w:rsidP="007E4C0A">
      <w:pPr>
        <w:pStyle w:val="ListBullet2"/>
      </w:pPr>
      <w:r w:rsidRPr="007E4C0A">
        <w:t>should provide evidence of the abil</w:t>
      </w:r>
      <w:r w:rsidRPr="007E4C0A">
        <w:t>ity to perform over the range of situations which might be expected to be encountered, including typical disruptions to normal, smooth work conditions</w:t>
      </w:r>
    </w:p>
    <w:p w:rsidR="00000000" w:rsidRPr="007E4C0A" w:rsidP="007E4C0A">
      <w:pPr>
        <w:pStyle w:val="ListBullet2"/>
      </w:pPr>
      <w:r w:rsidRPr="007E4C0A">
        <w:t>must include development of tactics associated with a simulated incident, the use of appropriate tools, e</w:t>
      </w:r>
      <w:r w:rsidRPr="007E4C0A">
        <w:t>quipment and safety gear requiring demonstration of preparation, operation, completion and responding to problems</w:t>
      </w:r>
    </w:p>
    <w:p w:rsidR="00000000" w:rsidRPr="007E4C0A" w:rsidP="007E4C0A">
      <w:pPr>
        <w:pStyle w:val="ListBullet2"/>
      </w:pPr>
      <w:r w:rsidRPr="007E4C0A">
        <w:t>may use industry-based simulation particularly where safety, lack of opportunity or significant cost is an issue.</w:t>
      </w:r>
    </w:p>
    <w:p w:rsidR="00000000" w:rsidRPr="007E4C0A" w:rsidP="007E4C0A">
      <w:pPr>
        <w:pStyle w:val="ListBullet"/>
      </w:pPr>
      <w:r w:rsidRPr="007E4C0A">
        <w:t>Off-the-job assessment must</w:t>
      </w:r>
      <w:r w:rsidRPr="007E4C0A">
        <w:t xml:space="preserve"> sufficiently reflect realistic operational workplace conditions that cover all aspects of workplace performance, including environment, task skills, task management skills, contingency management skills and job role environment skills. </w:t>
      </w:r>
    </w:p>
    <w:p w:rsidR="00000000" w:rsidRPr="007E4C0A" w:rsidP="007E4C0A">
      <w:pPr>
        <w:pStyle w:val="ListBullet"/>
      </w:pPr>
      <w:r w:rsidRPr="007E4C0A">
        <w:t>Assessment in a si</w:t>
      </w:r>
      <w:r w:rsidRPr="007E4C0A">
        <w:t xml:space="preserve">mulated environment should use evidence collected from one or more of: </w:t>
      </w:r>
    </w:p>
    <w:p w:rsidR="00000000" w:rsidRPr="007E4C0A" w:rsidP="007E4C0A">
      <w:pPr>
        <w:pStyle w:val="ListBullet2"/>
      </w:pPr>
      <w:r w:rsidRPr="007E4C0A">
        <w:t>walk-throughs</w:t>
      </w:r>
    </w:p>
    <w:p w:rsidR="00000000" w:rsidRPr="007E4C0A" w:rsidP="007E4C0A">
      <w:pPr>
        <w:pStyle w:val="ListBullet2"/>
      </w:pPr>
      <w:r w:rsidRPr="007E4C0A">
        <w:t xml:space="preserve">demonstration of skills </w:t>
      </w:r>
    </w:p>
    <w:p w:rsidR="00000000" w:rsidRPr="007E4C0A" w:rsidP="007E4C0A">
      <w:pPr>
        <w:pStyle w:val="ListBullet2"/>
      </w:pPr>
      <w:r w:rsidRPr="007E4C0A">
        <w:t xml:space="preserve">industry based case studies/scenarios </w:t>
      </w:r>
    </w:p>
    <w:p w:rsidR="00000000" w:rsidRPr="007E4C0A" w:rsidP="007E4C0A">
      <w:pPr>
        <w:pStyle w:val="ListBullet2"/>
      </w:pPr>
      <w:r w:rsidRPr="007E4C0A">
        <w:t>‘what ifs’.</w:t>
      </w:r>
    </w:p>
    <w:p w:rsidR="00000000" w:rsidRPr="007E4C0A" w:rsidP="007E4C0A">
      <w:pPr>
        <w:pStyle w:val="ListBullet"/>
      </w:pPr>
      <w:r w:rsidRPr="007E4C0A">
        <w:t xml:space="preserve">Knowledge evidence may be collected concurrently with performance evidence (provided a record is kept) or through an independent process, such as workbooks, written assessments or interviews (provided a record is kept). </w:t>
      </w:r>
    </w:p>
    <w:p w:rsidR="00000000" w:rsidRPr="007E4C0A" w:rsidP="007E4C0A">
      <w:pPr>
        <w:pStyle w:val="ListBullet"/>
      </w:pPr>
      <w:r w:rsidRPr="007E4C0A">
        <w:t>Assessment processes and techniques</w:t>
      </w:r>
      <w:r w:rsidRPr="007E4C0A">
        <w:t xml:space="preserve"> must be appropriate to the language, literacy and numeracy requirements of the work being performed and the needs of the candidate.</w:t>
      </w:r>
    </w:p>
    <w:p w:rsidR="00000000" w:rsidRPr="007E4C0A" w:rsidP="007E4C0A">
      <w:pPr>
        <w:pStyle w:val="ListBullet"/>
      </w:pPr>
      <w:r w:rsidRPr="007E4C0A">
        <w:t>Conditions for assessment must include access to all tools, equipment, materials and documentation required, including rele</w:t>
      </w:r>
      <w:r w:rsidRPr="007E4C0A">
        <w:t>vant workplace procedures, product and manufacturing specifications associated with this unit.</w:t>
      </w:r>
    </w:p>
    <w:p w:rsidR="00000000" w:rsidRPr="007E4C0A" w:rsidP="007E4C0A">
      <w:pPr>
        <w:pStyle w:val="ListBullet"/>
      </w:pPr>
      <w:r w:rsidRPr="007E4C0A">
        <w:t>Foundation skills are integral to competent performance of the unit and should not be assessed separately.</w:t>
      </w:r>
    </w:p>
    <w:p w:rsidR="00000000" w:rsidRPr="007E4C0A" w:rsidP="007E4C0A">
      <w:pPr>
        <w:pStyle w:val="ListBullet"/>
      </w:pPr>
      <w:r w:rsidRPr="007E4C0A">
        <w:t>Assessors must satisfy the assessor competency require</w:t>
      </w:r>
      <w:r w:rsidRPr="007E4C0A">
        <w:t>ments that are in place at the time of the assessment as set by the VET regulator.</w:t>
      </w:r>
    </w:p>
    <w:p w:rsidR="00000000" w:rsidRPr="007E4C0A" w:rsidP="007E4C0A">
      <w:pPr>
        <w:pStyle w:val="ListBullet"/>
      </w:pPr>
      <w:r w:rsidRPr="007E4C0A">
        <w:t>In addition, the assessor or anyone acting in subject matter expert role in assessment must demonstrate both technical competency and currency. If the assessor cannot demons</w:t>
      </w:r>
      <w:r w:rsidRPr="007E4C0A">
        <w:t xml:space="preserve">trate technical competency and currency they must assess with a subject matter expert who does meet these requirements. </w:t>
      </w:r>
    </w:p>
    <w:p w:rsidR="00000000" w:rsidRPr="007E4C0A" w:rsidP="007E4C0A">
      <w:pPr>
        <w:pStyle w:val="ListBullet"/>
      </w:pPr>
      <w:r w:rsidRPr="007E4C0A">
        <w:t>Technical competence can be demonstrated through one or more of:</w:t>
      </w:r>
    </w:p>
    <w:p w:rsidR="00000000" w:rsidRPr="007E4C0A" w:rsidP="007E4C0A">
      <w:pPr>
        <w:pStyle w:val="ListBullet2"/>
      </w:pPr>
      <w:r w:rsidRPr="007E4C0A">
        <w:t xml:space="preserve">relevant VET or other qualification/Statement of Attainment </w:t>
      </w:r>
    </w:p>
    <w:p w:rsidR="00000000" w:rsidRPr="007E4C0A" w:rsidP="007E4C0A">
      <w:pPr>
        <w:pStyle w:val="ListBullet2"/>
      </w:pPr>
      <w:r w:rsidRPr="007E4C0A">
        <w:t>appropri</w:t>
      </w:r>
      <w:r w:rsidRPr="007E4C0A">
        <w:t xml:space="preserve">ate workplace experience undertaking the type of work being assessed under routine and non-routine conditions </w:t>
      </w:r>
    </w:p>
    <w:p w:rsidR="00000000" w:rsidRPr="007E4C0A" w:rsidP="007E4C0A">
      <w:pPr>
        <w:pStyle w:val="ListBullet2"/>
      </w:pPr>
      <w:r w:rsidRPr="007E4C0A">
        <w:t>appropriate workplace experience supervising/evaluating the type of work being assessed under routine and non-routine conditions</w:t>
      </w:r>
    </w:p>
    <w:p w:rsidR="00000000" w:rsidRPr="007E4C0A" w:rsidP="007E4C0A">
      <w:pPr>
        <w:pStyle w:val="ListBullet"/>
      </w:pPr>
      <w:r w:rsidRPr="007E4C0A">
        <w:t>Currency can be</w:t>
      </w:r>
      <w:r w:rsidRPr="007E4C0A">
        <w:t xml:space="preserve"> demonstrated through one or more of:</w:t>
      </w:r>
    </w:p>
    <w:p w:rsidR="00000000" w:rsidRPr="007E4C0A" w:rsidP="007E4C0A">
      <w:pPr>
        <w:pStyle w:val="ListBullet2"/>
      </w:pPr>
      <w:r w:rsidRPr="007E4C0A">
        <w:t xml:space="preserve">being currently employed undertaking the type of work being assessed </w:t>
      </w:r>
    </w:p>
    <w:p w:rsidR="00000000" w:rsidRPr="007E4C0A" w:rsidP="007E4C0A">
      <w:pPr>
        <w:pStyle w:val="ListBullet2"/>
      </w:pPr>
      <w:r w:rsidRPr="007E4C0A">
        <w:t>being employed by the organisation undertaking the type of work being assessed and having maintained currency in accordance with that organisation’</w:t>
      </w:r>
      <w:r w:rsidRPr="007E4C0A">
        <w:t xml:space="preserve">s policies and procedures </w:t>
      </w:r>
    </w:p>
    <w:p w:rsidR="00000000" w:rsidRPr="007E4C0A" w:rsidP="007E4C0A">
      <w:pPr>
        <w:pStyle w:val="ListBullet2"/>
      </w:pPr>
      <w:r w:rsidRPr="007E4C0A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7E4C0A" w:rsidP="007E4C0A">
      <w:pPr>
        <w:pStyle w:val="ListBullet2"/>
      </w:pPr>
      <w:r w:rsidRPr="007E4C0A">
        <w:t xml:space="preserve">conducting on-the-job training/assessments of the </w:t>
      </w:r>
      <w:r w:rsidRPr="007E4C0A">
        <w:t xml:space="preserve">type of work being assessed </w:t>
      </w:r>
    </w:p>
    <w:p w:rsidR="00000000" w:rsidRPr="007E4C0A" w:rsidP="007E4C0A">
      <w:pPr>
        <w:pStyle w:val="ListBullet2"/>
      </w:pPr>
      <w:r w:rsidRPr="007E4C0A">
        <w:t>being an active member of a relevant professional body and participating in activities relevant to the assessment of this type of work</w:t>
      </w:r>
    </w:p>
    <w:p w:rsidR="00000000" w:rsidRPr="007E4C0A" w:rsidP="007E4C0A">
      <w:pPr>
        <w:pStyle w:val="AllowPageBreak"/>
      </w:pPr>
    </w:p>
    <w:p w:rsidR="00000000" w:rsidRPr="007E4C0A" w:rsidP="007E4C0A">
      <w:pPr>
        <w:pStyle w:val="Heading1"/>
      </w:pPr>
      <w:bookmarkStart w:id="5" w:name="O_908919"/>
      <w:bookmarkEnd w:id="5"/>
      <w:r w:rsidRPr="007E4C0A">
        <w:t>Links</w:t>
      </w:r>
    </w:p>
    <w:p w:rsidR="00000000" w:rsidRPr="007E4C0A" w:rsidP="00B84576">
      <w:pPr>
        <w:pStyle w:val="BodyText"/>
      </w:pPr>
      <w:r w:rsidRPr="007E4C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E10826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7E4C0A" w:rsidP="007E4C0A"/>
    <w:sectPr w:rsidSect="007E4C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C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C0A" w:rsidRPr="00B84576" w:rsidP="00B845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C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576" w:rsidP="007E4C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4576" w:rsidP="007E4C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84576" w:rsidP="007E4C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C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5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4C0A" w:rsidRPr="00B84576" w:rsidP="00B845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C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576" w:rsidRPr="002D2AF8" w:rsidP="007E4C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PMAOMIR444 Develop incident containment tactics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84576" w:rsidP="007E4C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5A43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14D4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C6C8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C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4C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4C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4C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4C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4C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4C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4C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4C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4C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4C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4C0A"/>
  </w:style>
  <w:style w:type="character" w:customStyle="1" w:styleId="Heading1Char">
    <w:name w:val="Heading 1 Char"/>
    <w:basedOn w:val="DefaultParagraphFont"/>
    <w:link w:val="Heading1"/>
    <w:rsid w:val="007E4C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4C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4C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4C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4C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4C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4C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4C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4C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4C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4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4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4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4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4C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4C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4C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4C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4C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4C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4C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4C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4C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4C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4C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4C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4C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4C0A"/>
    <w:rPr>
      <w:b/>
      <w:spacing w:val="0"/>
    </w:rPr>
  </w:style>
  <w:style w:type="paragraph" w:customStyle="1" w:styleId="SuperTitle">
    <w:name w:val="SuperTitle"/>
    <w:basedOn w:val="Title"/>
    <w:rsid w:val="007E4C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4C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4C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4C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4C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4C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4C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4C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4C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4C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4C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4C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4C0A"/>
    <w:rPr>
      <w:i/>
    </w:rPr>
  </w:style>
  <w:style w:type="paragraph" w:styleId="Caption">
    <w:name w:val="caption"/>
    <w:basedOn w:val="BodyText"/>
    <w:next w:val="Normal"/>
    <w:qFormat/>
    <w:rsid w:val="007E4C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4C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4C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4C0A"/>
  </w:style>
  <w:style w:type="paragraph" w:styleId="TableofFigures">
    <w:name w:val="table of figures"/>
    <w:basedOn w:val="Normal"/>
    <w:next w:val="Normal"/>
    <w:semiHidden/>
    <w:rsid w:val="007E4C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4C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4C0A"/>
    <w:rPr>
      <w:rFonts w:ascii="Wingdings" w:hAnsi="Wingdings"/>
    </w:rPr>
  </w:style>
  <w:style w:type="paragraph" w:customStyle="1" w:styleId="TableHeading">
    <w:name w:val="Table Heading"/>
    <w:basedOn w:val="HeadingBase"/>
    <w:rsid w:val="007E4C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4C0A"/>
    <w:rPr>
      <w:color w:val="0033CC"/>
      <w:u w:val="none"/>
    </w:rPr>
  </w:style>
  <w:style w:type="paragraph" w:customStyle="1" w:styleId="BodyTextRight">
    <w:name w:val="Body Text Right"/>
    <w:basedOn w:val="BodyText"/>
    <w:rsid w:val="007E4C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4C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4C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4C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4C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4C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4C0A"/>
    <w:rPr>
      <w:sz w:val="32"/>
    </w:rPr>
  </w:style>
  <w:style w:type="paragraph" w:customStyle="1" w:styleId="HeadingProcedure">
    <w:name w:val="Heading Procedure"/>
    <w:basedOn w:val="HeadingBase"/>
    <w:next w:val="Normal"/>
    <w:rsid w:val="007E4C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4C0A"/>
    <w:pPr>
      <w:spacing w:before="60" w:after="60"/>
    </w:pPr>
  </w:style>
  <w:style w:type="paragraph" w:styleId="ListContinue">
    <w:name w:val="List Continue"/>
    <w:basedOn w:val="List"/>
    <w:rsid w:val="007E4C0A"/>
    <w:pPr>
      <w:ind w:firstLine="0"/>
    </w:pPr>
  </w:style>
  <w:style w:type="paragraph" w:customStyle="1" w:styleId="ListNote">
    <w:name w:val="List Note"/>
    <w:basedOn w:val="List"/>
    <w:rsid w:val="007E4C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4C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4C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4C0A"/>
    <w:rPr>
      <w:rFonts w:ascii="Courier New" w:hAnsi="Courier New"/>
    </w:rPr>
  </w:style>
  <w:style w:type="paragraph" w:customStyle="1" w:styleId="NoteBullet">
    <w:name w:val="Note Bullet"/>
    <w:basedOn w:val="Note"/>
    <w:rsid w:val="007E4C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4C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4C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4C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4C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4C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4C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4C0A"/>
    <w:rPr>
      <w:b/>
      <w:smallCaps/>
    </w:rPr>
  </w:style>
  <w:style w:type="paragraph" w:customStyle="1" w:styleId="TableListNumber">
    <w:name w:val="Table List Number"/>
    <w:basedOn w:val="ListNumber"/>
    <w:rsid w:val="007E4C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4C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4C0A"/>
    <w:pPr>
      <w:numPr>
        <w:numId w:val="9"/>
      </w:numPr>
    </w:pPr>
  </w:style>
  <w:style w:type="paragraph" w:customStyle="1" w:styleId="ListAlpha2">
    <w:name w:val="List Alpha 2"/>
    <w:basedOn w:val="List2"/>
    <w:rsid w:val="007E4C0A"/>
    <w:pPr>
      <w:numPr>
        <w:numId w:val="8"/>
      </w:numPr>
    </w:pPr>
  </w:style>
  <w:style w:type="paragraph" w:styleId="List2">
    <w:name w:val="List 2"/>
    <w:basedOn w:val="BodyText"/>
    <w:rsid w:val="007E4C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4C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4C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4C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4C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4C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4C0A"/>
    <w:pPr>
      <w:numPr>
        <w:numId w:val="4"/>
      </w:numPr>
    </w:pPr>
  </w:style>
  <w:style w:type="paragraph" w:styleId="ListContinue2">
    <w:name w:val="List Continue 2"/>
    <w:basedOn w:val="List2"/>
    <w:rsid w:val="007E4C0A"/>
    <w:pPr>
      <w:ind w:firstLine="0"/>
    </w:pPr>
  </w:style>
  <w:style w:type="paragraph" w:styleId="ListContinue3">
    <w:name w:val="List Continue 3"/>
    <w:basedOn w:val="List3"/>
    <w:rsid w:val="007E4C0A"/>
    <w:pPr>
      <w:ind w:left="1021" w:firstLine="0"/>
    </w:pPr>
  </w:style>
  <w:style w:type="paragraph" w:styleId="ListContinue4">
    <w:name w:val="List Continue 4"/>
    <w:basedOn w:val="List4"/>
    <w:rsid w:val="007E4C0A"/>
    <w:pPr>
      <w:ind w:firstLine="0"/>
    </w:pPr>
  </w:style>
  <w:style w:type="paragraph" w:styleId="ListContinue5">
    <w:name w:val="List Continue 5"/>
    <w:basedOn w:val="List5"/>
    <w:rsid w:val="007E4C0A"/>
    <w:pPr>
      <w:ind w:firstLine="0"/>
    </w:pPr>
  </w:style>
  <w:style w:type="paragraph" w:styleId="ListNumber3">
    <w:name w:val="List Number 3"/>
    <w:basedOn w:val="List3"/>
    <w:rsid w:val="007E4C0A"/>
    <w:pPr>
      <w:numPr>
        <w:numId w:val="5"/>
      </w:numPr>
    </w:pPr>
  </w:style>
  <w:style w:type="paragraph" w:styleId="ListNumber4">
    <w:name w:val="List Number 4"/>
    <w:basedOn w:val="List4"/>
    <w:rsid w:val="007E4C0A"/>
    <w:pPr>
      <w:numPr>
        <w:numId w:val="6"/>
      </w:numPr>
    </w:pPr>
  </w:style>
  <w:style w:type="paragraph" w:styleId="ListNumber5">
    <w:name w:val="List Number 5"/>
    <w:basedOn w:val="List5"/>
    <w:rsid w:val="007E4C0A"/>
    <w:pPr>
      <w:numPr>
        <w:numId w:val="7"/>
      </w:numPr>
    </w:pPr>
  </w:style>
  <w:style w:type="paragraph" w:styleId="BlockText">
    <w:name w:val="Block Text"/>
    <w:basedOn w:val="Normal"/>
    <w:rsid w:val="007E4C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4C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4C0A"/>
    <w:rPr>
      <w:sz w:val="16"/>
      <w:vertAlign w:val="superscript"/>
    </w:rPr>
  </w:style>
  <w:style w:type="character" w:customStyle="1" w:styleId="Symbols">
    <w:name w:val="Symbols"/>
    <w:basedOn w:val="DefaultParagraphFont"/>
    <w:rsid w:val="007E4C0A"/>
    <w:rPr>
      <w:rFonts w:ascii="Symbol" w:hAnsi="Symbol"/>
    </w:rPr>
  </w:style>
  <w:style w:type="character" w:customStyle="1" w:styleId="MenuOptions">
    <w:name w:val="Menu Options"/>
    <w:basedOn w:val="DefaultParagraphFont"/>
    <w:rsid w:val="007E4C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4C0A"/>
    <w:rPr>
      <w:b/>
    </w:rPr>
  </w:style>
  <w:style w:type="character" w:customStyle="1" w:styleId="Underlined">
    <w:name w:val="Underlined"/>
    <w:basedOn w:val="DefaultParagraphFont"/>
    <w:rsid w:val="007E4C0A"/>
    <w:rPr>
      <w:u w:val="single"/>
    </w:rPr>
  </w:style>
  <w:style w:type="paragraph" w:customStyle="1" w:styleId="TableBodyTextRight">
    <w:name w:val="Table Body Text Right"/>
    <w:basedOn w:val="TableBodyText"/>
    <w:rsid w:val="007E4C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4C0A"/>
    <w:rPr>
      <w:sz w:val="18"/>
    </w:rPr>
  </w:style>
  <w:style w:type="paragraph" w:customStyle="1" w:styleId="BodySmallRight">
    <w:name w:val="Body Small Right"/>
    <w:basedOn w:val="BodyTextRight"/>
    <w:rsid w:val="007E4C0A"/>
    <w:rPr>
      <w:sz w:val="18"/>
      <w:szCs w:val="18"/>
    </w:rPr>
  </w:style>
  <w:style w:type="paragraph" w:customStyle="1" w:styleId="MarginEdition">
    <w:name w:val="Margin Edition"/>
    <w:basedOn w:val="MarginNote"/>
    <w:rsid w:val="007E4C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4C0A"/>
    <w:rPr>
      <w:sz w:val="2"/>
      <w:szCs w:val="2"/>
    </w:rPr>
  </w:style>
  <w:style w:type="character" w:customStyle="1" w:styleId="Small">
    <w:name w:val="Small"/>
    <w:basedOn w:val="DefaultParagraphFont"/>
    <w:rsid w:val="007E4C0A"/>
    <w:rPr>
      <w:sz w:val="16"/>
    </w:rPr>
  </w:style>
  <w:style w:type="paragraph" w:customStyle="1" w:styleId="WideTable">
    <w:name w:val="Wide Table"/>
    <w:basedOn w:val="Normal"/>
    <w:rsid w:val="007E4C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4C0A"/>
  </w:style>
  <w:style w:type="paragraph" w:styleId="Quote">
    <w:name w:val="Quote"/>
    <w:basedOn w:val="Heading1"/>
    <w:link w:val="QuoteChar"/>
    <w:qFormat/>
    <w:rsid w:val="007E4C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4C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4C0A"/>
    <w:pPr>
      <w:pageBreakBefore/>
    </w:pPr>
  </w:style>
  <w:style w:type="paragraph" w:customStyle="1" w:styleId="Border">
    <w:name w:val="Border"/>
    <w:basedOn w:val="Normal"/>
    <w:qFormat/>
    <w:rsid w:val="007E4C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4C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C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C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4C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4C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4C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4C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4C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4C0A"/>
    <w:rPr>
      <w:u w:val="single"/>
    </w:rPr>
  </w:style>
  <w:style w:type="character" w:customStyle="1" w:styleId="BoldandItalics">
    <w:name w:val="Bold and Italics"/>
    <w:qFormat/>
    <w:rsid w:val="007E4C0A"/>
    <w:rPr>
      <w:b/>
      <w:i/>
      <w:u w:val="none"/>
    </w:rPr>
  </w:style>
  <w:style w:type="paragraph" w:styleId="BalloonText">
    <w:name w:val="Balloon Text"/>
    <w:basedOn w:val="Normal"/>
    <w:link w:val="BalloonTextChar"/>
    <w:rsid w:val="007E4C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4C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4C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4C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4C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4C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4C0A"/>
    <w:pPr>
      <w:spacing w:before="0" w:after="0"/>
    </w:pPr>
  </w:style>
  <w:style w:type="paragraph" w:customStyle="1" w:styleId="BodyTextBold">
    <w:name w:val="Body Text Bold"/>
    <w:basedOn w:val="BodyText"/>
    <w:qFormat/>
    <w:rsid w:val="007E4C0A"/>
    <w:rPr>
      <w:b/>
    </w:rPr>
  </w:style>
  <w:style w:type="character" w:styleId="Hyperlink">
    <w:name w:val="Hyperlink"/>
    <w:basedOn w:val="DefaultParagraphFont"/>
    <w:uiPriority w:val="99"/>
    <w:unhideWhenUsed/>
    <w:rsid w:val="00B845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4986</Characters>
  <Application>Microsoft Office Word</Application>
  <DocSecurity>0</DocSecurity>
  <Lines>110</Lines>
  <Paragraphs>76</Paragraphs>
  <ScaleCrop>false</ScaleCrop>
  <Company>Author-it Software Corporation Ltd.</Company>
  <LinksUpToDate>false</LinksUpToDate>
  <CharactersWithSpaces>5669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PMAOMIR444 Develop incident containment tactics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2023-02-03T05:34:00Z</dcterms:created>
  <dcterms:modified xsi:type="dcterms:W3CDTF">2023-02-03T05:34:00Z</dcterms:modified>
</cp:coreProperties>
</file>