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6D2" w:rsidP="00301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PMAOMIR430 Conduct and assess incident exercises</w:t>
      </w:r>
      <w:r>
        <w:fldChar w:fldCharType="end"/>
      </w:r>
    </w:p>
    <w:p w:rsidR="003016D2" w:rsidP="003016D2">
      <w:pPr>
        <w:pStyle w:val="Version"/>
        <w:sectPr w:rsidSect="00EA3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AA5" w:rsidP="00EA3AA5">
      <w:pPr>
        <w:pStyle w:val="SuperHeading"/>
      </w:pPr>
      <w:r w:rsidRPr="00EA3AA5">
        <w:t>Assessment Requirements for PMAOMIR430 Conduct and assess incident exercises</w:t>
      </w:r>
    </w:p>
    <w:p w:rsidR="00000000" w:rsidRPr="00EA3AA5" w:rsidP="00EA3AA5">
      <w:pPr>
        <w:pStyle w:val="Heading1"/>
      </w:pPr>
      <w:bookmarkStart w:id="1" w:name="O_908901"/>
      <w:bookmarkEnd w:id="1"/>
      <w:r w:rsidRPr="00EA3AA5">
        <w:t>Modification History</w:t>
      </w:r>
    </w:p>
    <w:p w:rsidR="00000000" w:rsidRPr="00EA3AA5" w:rsidP="003016D2">
      <w:pPr>
        <w:pStyle w:val="BodyText"/>
      </w:pPr>
      <w:r w:rsidRPr="00EA3AA5">
        <w:t>Release 1. Supersedes and is equivalent to PMAOMIR430B Conduct and assess incident exercises</w:t>
      </w:r>
    </w:p>
    <w:p w:rsidR="00000000" w:rsidRPr="00EA3AA5" w:rsidP="00EA3AA5">
      <w:pPr>
        <w:pStyle w:val="Heading1"/>
      </w:pPr>
      <w:bookmarkStart w:id="2" w:name="O_908904"/>
      <w:bookmarkEnd w:id="2"/>
      <w:r w:rsidRPr="00EA3AA5">
        <w:t>Performance Evidence</w:t>
      </w:r>
    </w:p>
    <w:p w:rsidR="00000000" w:rsidRPr="00EA3AA5" w:rsidP="003016D2">
      <w:pPr>
        <w:pStyle w:val="BodyText"/>
      </w:pPr>
      <w:r w:rsidRPr="00EA3AA5">
        <w:t>Evidence required to demonstrate competence in this unit must be relevant to and satisfy the requirements of the elements and performance criteria, and include the ability to:</w:t>
      </w:r>
    </w:p>
    <w:p w:rsidR="00000000" w:rsidRPr="00EA3AA5" w:rsidP="00EA3AA5">
      <w:pPr>
        <w:pStyle w:val="ListBullet"/>
      </w:pPr>
      <w:r w:rsidRPr="00EA3AA5">
        <w:t>identify need and objectives for exercises</w:t>
      </w:r>
    </w:p>
    <w:p w:rsidR="00000000" w:rsidRPr="00EA3AA5" w:rsidP="00EA3AA5">
      <w:pPr>
        <w:pStyle w:val="ListBullet"/>
      </w:pPr>
      <w:r w:rsidRPr="00EA3AA5">
        <w:t xml:space="preserve">plan, design and evaluate exercises </w:t>
      </w:r>
      <w:r w:rsidRPr="00EA3AA5">
        <w:t>that are based on, and are reasonable facsimiles of, industrial incidents and are relevant to the exercise objectives</w:t>
      </w:r>
    </w:p>
    <w:p w:rsidR="00000000" w:rsidRPr="00EA3AA5" w:rsidP="00EA3AA5">
      <w:pPr>
        <w:pStyle w:val="ListBullet"/>
      </w:pPr>
      <w:r w:rsidRPr="00EA3AA5">
        <w:t>identify and address health, safety and environment (HSE) issues</w:t>
      </w:r>
    </w:p>
    <w:p w:rsidR="00000000" w:rsidRPr="00EA3AA5" w:rsidP="00EA3AA5">
      <w:pPr>
        <w:pStyle w:val="ListBullet"/>
      </w:pPr>
      <w:r w:rsidRPr="00EA3AA5">
        <w:t xml:space="preserve">manage and monitor conduct of scheduled and unscheduled exercises </w:t>
      </w:r>
    </w:p>
    <w:p w:rsidR="00000000" w:rsidRPr="00EA3AA5" w:rsidP="00EA3AA5">
      <w:pPr>
        <w:pStyle w:val="ListBullet"/>
      </w:pPr>
      <w:r w:rsidRPr="00EA3AA5">
        <w:t>evalua</w:t>
      </w:r>
      <w:r w:rsidRPr="00EA3AA5">
        <w:t>te exercise outcomes in terms of whether:</w:t>
      </w:r>
    </w:p>
    <w:p w:rsidR="00000000" w:rsidRPr="00EA3AA5" w:rsidP="00EA3AA5">
      <w:pPr>
        <w:pStyle w:val="ListBullet2"/>
      </w:pPr>
      <w:r w:rsidRPr="00EA3AA5">
        <w:t>the exercise was carried out in accordance with expectations</w:t>
      </w:r>
    </w:p>
    <w:p w:rsidR="00000000" w:rsidRPr="00EA3AA5" w:rsidP="00EA3AA5">
      <w:pPr>
        <w:pStyle w:val="ListBullet2"/>
      </w:pPr>
      <w:r w:rsidRPr="00EA3AA5">
        <w:t>there were unintended or inappropriate outcomes</w:t>
      </w:r>
    </w:p>
    <w:p w:rsidR="00000000" w:rsidRPr="00EA3AA5" w:rsidP="00EA3AA5">
      <w:pPr>
        <w:pStyle w:val="ListBullet2"/>
      </w:pPr>
      <w:r w:rsidRPr="00EA3AA5">
        <w:t xml:space="preserve">incident response procedures failed/ were inappropriate </w:t>
      </w:r>
    </w:p>
    <w:p w:rsidR="00000000" w:rsidRPr="00EA3AA5" w:rsidP="00EA3AA5">
      <w:pPr>
        <w:pStyle w:val="ListBullet2"/>
      </w:pPr>
      <w:r w:rsidRPr="00EA3AA5">
        <w:t>there were mismatches between equipment and incident requirements</w:t>
      </w:r>
    </w:p>
    <w:p w:rsidR="00000000" w:rsidRPr="00EA3AA5" w:rsidP="00EA3AA5">
      <w:pPr>
        <w:pStyle w:val="ListBullet2"/>
      </w:pPr>
      <w:r w:rsidRPr="00EA3AA5">
        <w:t>feedback at the conclusion of the exercise was appropriate and adequate</w:t>
      </w:r>
    </w:p>
    <w:p w:rsidR="00000000" w:rsidRPr="00EA3AA5" w:rsidP="00EA3AA5">
      <w:pPr>
        <w:pStyle w:val="ListBullet2"/>
      </w:pPr>
      <w:r w:rsidRPr="00EA3AA5">
        <w:t>an injury occurred during the conducting of the training exercise</w:t>
      </w:r>
    </w:p>
    <w:p w:rsidR="00000000" w:rsidRPr="00EA3AA5" w:rsidP="00EA3AA5">
      <w:pPr>
        <w:pStyle w:val="ListBullet2"/>
      </w:pPr>
      <w:r w:rsidRPr="00EA3AA5">
        <w:t>improvements could/must be made</w:t>
      </w:r>
    </w:p>
    <w:p w:rsidR="00000000" w:rsidRPr="00EA3AA5" w:rsidP="00EA3AA5">
      <w:pPr>
        <w:pStyle w:val="ListBullet"/>
      </w:pPr>
      <w:r w:rsidRPr="00EA3AA5">
        <w:t xml:space="preserve">provide briefings, </w:t>
      </w:r>
      <w:r w:rsidRPr="00EA3AA5">
        <w:t>debriefings and feedback.</w:t>
      </w:r>
    </w:p>
    <w:p w:rsidR="00000000" w:rsidRPr="00EA3AA5" w:rsidP="00EA3AA5">
      <w:pPr>
        <w:pStyle w:val="AllowPageBreak"/>
      </w:pPr>
    </w:p>
    <w:p w:rsidR="00000000" w:rsidRPr="00EA3AA5" w:rsidP="00EA3AA5">
      <w:pPr>
        <w:pStyle w:val="Heading1"/>
      </w:pPr>
      <w:bookmarkStart w:id="3" w:name="O_908903"/>
      <w:bookmarkEnd w:id="3"/>
      <w:r w:rsidRPr="00EA3AA5">
        <w:t>Knowledge Evidence</w:t>
      </w:r>
    </w:p>
    <w:p w:rsidR="00000000" w:rsidRPr="00EA3AA5" w:rsidP="003016D2">
      <w:pPr>
        <w:pStyle w:val="BodyText"/>
      </w:pPr>
      <w:r w:rsidRPr="00EA3AA5">
        <w:t>Evidence must be provided that demonstrates knowledge of:</w:t>
      </w:r>
    </w:p>
    <w:p w:rsidR="00000000" w:rsidRPr="00EA3AA5" w:rsidP="00EA3AA5">
      <w:pPr>
        <w:pStyle w:val="ListBullet"/>
      </w:pPr>
      <w:r w:rsidRPr="00EA3AA5">
        <w:t>organisational procedures, including those covering:</w:t>
      </w:r>
    </w:p>
    <w:p w:rsidR="00000000" w:rsidRPr="00EA3AA5" w:rsidP="00EA3AA5">
      <w:pPr>
        <w:pStyle w:val="ListBullet2"/>
      </w:pPr>
      <w:r w:rsidRPr="00EA3AA5">
        <w:t>safety, hazards and hazard control</w:t>
      </w:r>
    </w:p>
    <w:p w:rsidR="00000000" w:rsidRPr="00EA3AA5" w:rsidP="00EA3AA5">
      <w:pPr>
        <w:pStyle w:val="ListBullet2"/>
      </w:pPr>
      <w:r w:rsidRPr="00EA3AA5">
        <w:t xml:space="preserve">incident, fire and accident </w:t>
      </w:r>
    </w:p>
    <w:p w:rsidR="00000000" w:rsidRPr="00EA3AA5" w:rsidP="00EA3AA5">
      <w:pPr>
        <w:pStyle w:val="ListBullet2"/>
      </w:pPr>
      <w:r w:rsidRPr="00EA3AA5">
        <w:t>environmental pro</w:t>
      </w:r>
      <w:r w:rsidRPr="00EA3AA5">
        <w:t>tection</w:t>
      </w:r>
    </w:p>
    <w:p w:rsidR="00000000" w:rsidRPr="00EA3AA5" w:rsidP="00EA3AA5">
      <w:pPr>
        <w:pStyle w:val="ListBullet2"/>
      </w:pPr>
      <w:r w:rsidRPr="00EA3AA5">
        <w:t>risk assessment/risk management</w:t>
      </w:r>
    </w:p>
    <w:p w:rsidR="00000000" w:rsidRPr="00EA3AA5" w:rsidP="00EA3AA5">
      <w:pPr>
        <w:pStyle w:val="ListBullet2"/>
      </w:pPr>
      <w:r w:rsidRPr="00EA3AA5">
        <w:t>relevant facility fire management and safety systems</w:t>
      </w:r>
    </w:p>
    <w:p w:rsidR="00000000" w:rsidRPr="00EA3AA5" w:rsidP="00EA3AA5">
      <w:pPr>
        <w:pStyle w:val="ListBullet2"/>
      </w:pPr>
      <w:r w:rsidRPr="00EA3AA5">
        <w:t>communication systems</w:t>
      </w:r>
    </w:p>
    <w:p w:rsidR="00000000" w:rsidRPr="00EA3AA5" w:rsidP="00EA3AA5">
      <w:pPr>
        <w:pStyle w:val="ListBullet2"/>
      </w:pPr>
      <w:r w:rsidRPr="00EA3AA5">
        <w:t>emergency response plans</w:t>
      </w:r>
    </w:p>
    <w:p w:rsidR="00000000" w:rsidRPr="00EA3AA5" w:rsidP="00EA3AA5">
      <w:pPr>
        <w:pStyle w:val="ListBullet"/>
      </w:pPr>
      <w:r w:rsidRPr="00EA3AA5">
        <w:t>incident management concepts and principles</w:t>
      </w:r>
    </w:p>
    <w:p w:rsidR="00000000" w:rsidRPr="00EA3AA5" w:rsidP="00EA3AA5">
      <w:pPr>
        <w:pStyle w:val="ListBullet"/>
      </w:pPr>
      <w:r w:rsidRPr="00EA3AA5">
        <w:t>problem solving and decision making techniques</w:t>
      </w:r>
    </w:p>
    <w:p w:rsidR="00000000" w:rsidRPr="00EA3AA5" w:rsidP="00EA3AA5">
      <w:pPr>
        <w:pStyle w:val="ListBullet"/>
      </w:pPr>
      <w:r w:rsidRPr="00EA3AA5">
        <w:t>assessment and review techniques</w:t>
      </w:r>
    </w:p>
    <w:p w:rsidR="00000000" w:rsidRPr="00EA3AA5" w:rsidP="00EA3AA5">
      <w:pPr>
        <w:pStyle w:val="ListBullet"/>
      </w:pPr>
      <w:r w:rsidRPr="00EA3AA5">
        <w:t>project management principles.</w:t>
      </w:r>
    </w:p>
    <w:p w:rsidR="00000000" w:rsidRPr="00EA3AA5" w:rsidP="00EA3AA5">
      <w:pPr>
        <w:pStyle w:val="AllowPageBreak"/>
      </w:pPr>
    </w:p>
    <w:p w:rsidR="00000000" w:rsidRPr="00EA3AA5" w:rsidP="00EA3AA5">
      <w:pPr>
        <w:pStyle w:val="Heading1"/>
      </w:pPr>
      <w:bookmarkStart w:id="4" w:name="O_908902"/>
      <w:bookmarkEnd w:id="4"/>
      <w:r w:rsidRPr="00EA3AA5">
        <w:t>Assessment Conditions</w:t>
      </w:r>
    </w:p>
    <w:p w:rsidR="00000000" w:rsidRPr="00EA3AA5" w:rsidP="00EA3AA5">
      <w:pPr>
        <w:pStyle w:val="ListBullet"/>
      </w:pPr>
      <w:r w:rsidRPr="00EA3AA5">
        <w:t xml:space="preserve">The unit should be assessed holistically and the judgement of competence based on a holistic assessment of the evidence. </w:t>
      </w:r>
    </w:p>
    <w:p w:rsidR="00000000" w:rsidRPr="00EA3AA5" w:rsidP="00EA3AA5">
      <w:pPr>
        <w:pStyle w:val="ListBullet"/>
      </w:pPr>
      <w:r w:rsidRPr="00EA3AA5">
        <w:t xml:space="preserve">The collection of performance </w:t>
      </w:r>
      <w:r w:rsidRPr="00EA3AA5">
        <w:t>evidence is best done from a report and/or folio of evidence drawn from:</w:t>
      </w:r>
    </w:p>
    <w:p w:rsidR="00000000" w:rsidRPr="00EA3AA5" w:rsidP="00EA3AA5">
      <w:pPr>
        <w:pStyle w:val="ListBullet2"/>
      </w:pPr>
      <w:r w:rsidRPr="00EA3AA5">
        <w:t>a single project which provides sufficient evidence of the requirements of all the elements and performance criteria</w:t>
      </w:r>
    </w:p>
    <w:p w:rsidR="00000000" w:rsidRPr="00EA3AA5" w:rsidP="00EA3AA5">
      <w:pPr>
        <w:pStyle w:val="ListBullet2"/>
      </w:pPr>
      <w:r w:rsidRPr="00EA3AA5">
        <w:t>multiple smaller projects which together provide sufficient evide</w:t>
      </w:r>
      <w:r w:rsidRPr="00EA3AA5">
        <w:t>nce of the requirements of all the elements and performance criteria.</w:t>
      </w:r>
    </w:p>
    <w:p w:rsidR="00000000" w:rsidRPr="00EA3AA5" w:rsidP="00EA3AA5">
      <w:pPr>
        <w:pStyle w:val="ListBullet"/>
      </w:pPr>
      <w:r w:rsidRPr="00EA3AA5">
        <w:t>A third-party report, or similar, may be needed to testify to the work done by the individual, particularly when the project has been done as part of a project team.</w:t>
      </w:r>
    </w:p>
    <w:p w:rsidR="00000000" w:rsidRPr="00EA3AA5" w:rsidP="00EA3AA5">
      <w:pPr>
        <w:pStyle w:val="ListBullet"/>
      </w:pPr>
      <w:r w:rsidRPr="00EA3AA5">
        <w:t>Assessment should u</w:t>
      </w:r>
      <w:r w:rsidRPr="00EA3AA5">
        <w:t>se a real project in an operational workplace. Where this is not possible or practical, assessment must occur using a sufficiently rigorous simulated environment reflecting realistic operational workplace conditions. This must cover all aspects of workplac</w:t>
      </w:r>
      <w:r w:rsidRPr="00EA3AA5">
        <w:t>e performance, including environment, task skills, task management skills, contingency management skills and job role environment skills.</w:t>
      </w:r>
    </w:p>
    <w:p w:rsidR="00000000" w:rsidRPr="00EA3AA5" w:rsidP="00EA3AA5">
      <w:pPr>
        <w:pStyle w:val="ListBullet"/>
      </w:pPr>
      <w:r w:rsidRPr="00EA3AA5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EA3AA5" w:rsidP="00EA3AA5">
      <w:pPr>
        <w:pStyle w:val="ListBullet"/>
      </w:pPr>
      <w:r w:rsidRPr="00EA3AA5">
        <w:t>Assessment processes and techniques m</w:t>
      </w:r>
      <w:r w:rsidRPr="00EA3AA5">
        <w:t>ust be appropriate to the language, literacy and numeracy requirements of the work being performed and the needs of the candidate.</w:t>
      </w:r>
    </w:p>
    <w:p w:rsidR="00000000" w:rsidRPr="00EA3AA5" w:rsidP="00EA3AA5">
      <w:pPr>
        <w:pStyle w:val="ListBullet"/>
      </w:pPr>
      <w:r w:rsidRPr="00EA3AA5">
        <w:t>Conditions for assessment must include access to all tools, equipment, materials and documentation required, including releva</w:t>
      </w:r>
      <w:r w:rsidRPr="00EA3AA5">
        <w:t>nt workplace procedures, product and manufacturing specifications associated with this unit.</w:t>
      </w:r>
    </w:p>
    <w:p w:rsidR="00000000" w:rsidRPr="00EA3AA5" w:rsidP="00EA3AA5">
      <w:pPr>
        <w:pStyle w:val="ListBullet"/>
      </w:pPr>
      <w:r w:rsidRPr="00EA3AA5">
        <w:t>Foundation skills are integral to competent performance of the unit and should not be assessed separately.</w:t>
      </w:r>
    </w:p>
    <w:p w:rsidR="00000000" w:rsidRPr="00EA3AA5" w:rsidP="00EA3AA5">
      <w:pPr>
        <w:pStyle w:val="ListBullet"/>
      </w:pPr>
      <w:r w:rsidRPr="00EA3AA5">
        <w:t>Assessors must satisfy the assessor competency requireme</w:t>
      </w:r>
      <w:r w:rsidRPr="00EA3AA5">
        <w:t>nts that are in place at the time of the assessment as set by the VET regulator.</w:t>
      </w:r>
    </w:p>
    <w:p w:rsidR="00000000" w:rsidRPr="00EA3AA5" w:rsidP="00EA3AA5">
      <w:pPr>
        <w:pStyle w:val="ListBullet"/>
      </w:pPr>
      <w:r w:rsidRPr="00EA3AA5">
        <w:t>In addition, the assessor or anyone acting in subject matter expert role in assessment must demonstrate both technical competency and currency. If the assessor cannot demonstr</w:t>
      </w:r>
      <w:r w:rsidRPr="00EA3AA5">
        <w:t xml:space="preserve">ate technical competency and currency they must assess with a subject matter expert who does meet these requirements. </w:t>
      </w:r>
    </w:p>
    <w:p w:rsidR="00000000" w:rsidRPr="00EA3AA5" w:rsidP="00EA3AA5">
      <w:pPr>
        <w:pStyle w:val="ListBullet"/>
      </w:pPr>
      <w:r w:rsidRPr="00EA3AA5">
        <w:t>Technical competence can be demonstrated through one or more of:</w:t>
      </w:r>
    </w:p>
    <w:p w:rsidR="00000000" w:rsidRPr="00EA3AA5" w:rsidP="00EA3AA5">
      <w:pPr>
        <w:pStyle w:val="ListBullet2"/>
      </w:pPr>
      <w:r w:rsidRPr="00EA3AA5">
        <w:t xml:space="preserve">relevant VET or other qualification/Statement of Attainment </w:t>
      </w:r>
    </w:p>
    <w:p w:rsidR="00000000" w:rsidRPr="00EA3AA5" w:rsidP="00EA3AA5">
      <w:pPr>
        <w:pStyle w:val="ListBullet2"/>
      </w:pPr>
      <w:r w:rsidRPr="00EA3AA5">
        <w:t>appropriat</w:t>
      </w:r>
      <w:r w:rsidRPr="00EA3AA5">
        <w:t xml:space="preserve">e workplace experience undertaking the type of work being assessed under routine and non-routine conditions </w:t>
      </w:r>
    </w:p>
    <w:p w:rsidR="00000000" w:rsidRPr="00EA3AA5" w:rsidP="00EA3AA5">
      <w:pPr>
        <w:pStyle w:val="ListBullet2"/>
      </w:pPr>
      <w:r w:rsidRPr="00EA3AA5">
        <w:t>appropriate workplace experience supervising/evaluating the type of work being assessed under routine and non-routine conditions</w:t>
      </w:r>
    </w:p>
    <w:p w:rsidR="00000000" w:rsidRPr="00EA3AA5" w:rsidP="00EA3AA5">
      <w:pPr>
        <w:pStyle w:val="ListBullet"/>
      </w:pPr>
      <w:r w:rsidRPr="00EA3AA5">
        <w:t>Currency can be d</w:t>
      </w:r>
      <w:r w:rsidRPr="00EA3AA5">
        <w:t>emonstrated through one or more of:</w:t>
      </w:r>
    </w:p>
    <w:p w:rsidR="00000000" w:rsidRPr="00EA3AA5" w:rsidP="00EA3AA5">
      <w:pPr>
        <w:pStyle w:val="ListBullet2"/>
      </w:pPr>
      <w:r w:rsidRPr="00EA3AA5">
        <w:t xml:space="preserve">being currently employed undertaking the type of work being assessed </w:t>
      </w:r>
    </w:p>
    <w:p w:rsidR="00000000" w:rsidRPr="00EA3AA5" w:rsidP="00EA3AA5">
      <w:pPr>
        <w:pStyle w:val="ListBullet2"/>
      </w:pPr>
      <w:r w:rsidRPr="00EA3AA5">
        <w:t xml:space="preserve">being employed by the organisation undertaking the type of work being assessed and having maintained currency in accordance with that organisation’s </w:t>
      </w:r>
      <w:r w:rsidRPr="00EA3AA5">
        <w:t xml:space="preserve">policies and procedures </w:t>
      </w:r>
    </w:p>
    <w:p w:rsidR="00000000" w:rsidRPr="00EA3AA5" w:rsidP="00EA3AA5">
      <w:pPr>
        <w:pStyle w:val="ListBullet2"/>
      </w:pPr>
      <w:r w:rsidRPr="00EA3AA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A3AA5" w:rsidP="00EA3AA5">
      <w:pPr>
        <w:pStyle w:val="ListBullet2"/>
      </w:pPr>
      <w:r w:rsidRPr="00EA3AA5">
        <w:t>conducting on-the-job training/assessments of the ty</w:t>
      </w:r>
      <w:r w:rsidRPr="00EA3AA5">
        <w:t xml:space="preserve">pe of work being assessed </w:t>
      </w:r>
    </w:p>
    <w:p w:rsidR="00000000" w:rsidRPr="00EA3AA5" w:rsidP="00EA3AA5">
      <w:pPr>
        <w:pStyle w:val="ListBullet2"/>
      </w:pPr>
      <w:r w:rsidRPr="00EA3AA5">
        <w:t>being an active member of a relevant professional body and participating in activities relevant to the assessment of this type of work</w:t>
      </w:r>
    </w:p>
    <w:p w:rsidR="00000000" w:rsidRPr="00EA3AA5" w:rsidP="00EA3AA5">
      <w:pPr>
        <w:pStyle w:val="AllowPageBreak"/>
      </w:pPr>
    </w:p>
    <w:p w:rsidR="00000000" w:rsidRPr="00EA3AA5" w:rsidP="00EA3AA5">
      <w:pPr>
        <w:pStyle w:val="Heading1"/>
      </w:pPr>
      <w:bookmarkStart w:id="5" w:name="O_908900"/>
      <w:bookmarkEnd w:id="5"/>
      <w:r w:rsidRPr="00EA3AA5">
        <w:t>Links</w:t>
      </w:r>
    </w:p>
    <w:p w:rsidR="00000000" w:rsidRPr="00EA3AA5" w:rsidP="003016D2">
      <w:pPr>
        <w:pStyle w:val="BodyText"/>
      </w:pPr>
      <w:r w:rsidRPr="00EA3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514B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A3AA5" w:rsidP="00EA3AA5"/>
    <w:sectPr w:rsidSect="00EA3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5" w:rsidRPr="003016D2" w:rsidP="00301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D2" w:rsidP="00EA3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AA5" w:rsidRPr="003016D2" w:rsidP="00301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D2" w:rsidRPr="002D2AF8" w:rsidP="00EA3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PMAOMIR430 Conduct and assess incident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016D2" w:rsidP="00EA3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AA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ED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9EB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AA5"/>
  </w:style>
  <w:style w:type="character" w:customStyle="1" w:styleId="Heading1Char">
    <w:name w:val="Heading 1 Char"/>
    <w:basedOn w:val="DefaultParagraphFont"/>
    <w:link w:val="Heading1"/>
    <w:rsid w:val="00EA3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A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A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AA5"/>
    <w:rPr>
      <w:b/>
      <w:spacing w:val="0"/>
    </w:rPr>
  </w:style>
  <w:style w:type="paragraph" w:customStyle="1" w:styleId="SuperTitle">
    <w:name w:val="SuperTitle"/>
    <w:basedOn w:val="Title"/>
    <w:rsid w:val="00EA3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AA5"/>
    <w:rPr>
      <w:i/>
    </w:rPr>
  </w:style>
  <w:style w:type="paragraph" w:styleId="Caption">
    <w:name w:val="caption"/>
    <w:basedOn w:val="BodyText"/>
    <w:next w:val="Normal"/>
    <w:qFormat/>
    <w:rsid w:val="00EA3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AA5"/>
  </w:style>
  <w:style w:type="paragraph" w:styleId="TableofFigures">
    <w:name w:val="table of figures"/>
    <w:basedOn w:val="Normal"/>
    <w:next w:val="Normal"/>
    <w:semiHidden/>
    <w:rsid w:val="00EA3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AA5"/>
    <w:rPr>
      <w:rFonts w:ascii="Wingdings" w:hAnsi="Wingdings"/>
    </w:rPr>
  </w:style>
  <w:style w:type="paragraph" w:customStyle="1" w:styleId="TableHeading">
    <w:name w:val="Table Heading"/>
    <w:basedOn w:val="HeadingBase"/>
    <w:rsid w:val="00EA3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AA5"/>
    <w:rPr>
      <w:color w:val="0033CC"/>
      <w:u w:val="none"/>
    </w:rPr>
  </w:style>
  <w:style w:type="paragraph" w:customStyle="1" w:styleId="BodyTextRight">
    <w:name w:val="Body Text Right"/>
    <w:basedOn w:val="BodyText"/>
    <w:rsid w:val="00EA3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AA5"/>
    <w:rPr>
      <w:sz w:val="32"/>
    </w:rPr>
  </w:style>
  <w:style w:type="paragraph" w:customStyle="1" w:styleId="HeadingProcedure">
    <w:name w:val="Heading Procedure"/>
    <w:basedOn w:val="HeadingBase"/>
    <w:next w:val="Normal"/>
    <w:rsid w:val="00EA3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AA5"/>
    <w:pPr>
      <w:spacing w:before="60" w:after="60"/>
    </w:pPr>
  </w:style>
  <w:style w:type="paragraph" w:styleId="ListContinue">
    <w:name w:val="List Continue"/>
    <w:basedOn w:val="List"/>
    <w:rsid w:val="00EA3AA5"/>
    <w:pPr>
      <w:ind w:firstLine="0"/>
    </w:pPr>
  </w:style>
  <w:style w:type="paragraph" w:customStyle="1" w:styleId="ListNote">
    <w:name w:val="List Note"/>
    <w:basedOn w:val="List"/>
    <w:rsid w:val="00EA3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AA5"/>
    <w:rPr>
      <w:rFonts w:ascii="Courier New" w:hAnsi="Courier New"/>
    </w:rPr>
  </w:style>
  <w:style w:type="paragraph" w:customStyle="1" w:styleId="NoteBullet">
    <w:name w:val="Note Bullet"/>
    <w:basedOn w:val="Note"/>
    <w:rsid w:val="00EA3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AA5"/>
    <w:rPr>
      <w:b/>
      <w:smallCaps/>
    </w:rPr>
  </w:style>
  <w:style w:type="paragraph" w:customStyle="1" w:styleId="TableListNumber">
    <w:name w:val="Table List Number"/>
    <w:basedOn w:val="ListNumber"/>
    <w:rsid w:val="00EA3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AA5"/>
    <w:pPr>
      <w:numPr>
        <w:numId w:val="9"/>
      </w:numPr>
    </w:pPr>
  </w:style>
  <w:style w:type="paragraph" w:customStyle="1" w:styleId="ListAlpha2">
    <w:name w:val="List Alpha 2"/>
    <w:basedOn w:val="List2"/>
    <w:rsid w:val="00EA3AA5"/>
    <w:pPr>
      <w:numPr>
        <w:numId w:val="8"/>
      </w:numPr>
    </w:pPr>
  </w:style>
  <w:style w:type="paragraph" w:styleId="List2">
    <w:name w:val="List 2"/>
    <w:basedOn w:val="BodyText"/>
    <w:rsid w:val="00EA3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AA5"/>
    <w:pPr>
      <w:numPr>
        <w:numId w:val="4"/>
      </w:numPr>
    </w:pPr>
  </w:style>
  <w:style w:type="paragraph" w:styleId="ListContinue2">
    <w:name w:val="List Continue 2"/>
    <w:basedOn w:val="List2"/>
    <w:rsid w:val="00EA3AA5"/>
    <w:pPr>
      <w:ind w:firstLine="0"/>
    </w:pPr>
  </w:style>
  <w:style w:type="paragraph" w:styleId="ListContinue3">
    <w:name w:val="List Continue 3"/>
    <w:basedOn w:val="List3"/>
    <w:rsid w:val="00EA3AA5"/>
    <w:pPr>
      <w:ind w:left="1021" w:firstLine="0"/>
    </w:pPr>
  </w:style>
  <w:style w:type="paragraph" w:styleId="ListContinue4">
    <w:name w:val="List Continue 4"/>
    <w:basedOn w:val="List4"/>
    <w:rsid w:val="00EA3AA5"/>
    <w:pPr>
      <w:ind w:firstLine="0"/>
    </w:pPr>
  </w:style>
  <w:style w:type="paragraph" w:styleId="ListContinue5">
    <w:name w:val="List Continue 5"/>
    <w:basedOn w:val="List5"/>
    <w:rsid w:val="00EA3AA5"/>
    <w:pPr>
      <w:ind w:firstLine="0"/>
    </w:pPr>
  </w:style>
  <w:style w:type="paragraph" w:styleId="ListNumber3">
    <w:name w:val="List Number 3"/>
    <w:basedOn w:val="List3"/>
    <w:rsid w:val="00EA3AA5"/>
    <w:pPr>
      <w:numPr>
        <w:numId w:val="5"/>
      </w:numPr>
    </w:pPr>
  </w:style>
  <w:style w:type="paragraph" w:styleId="ListNumber4">
    <w:name w:val="List Number 4"/>
    <w:basedOn w:val="List4"/>
    <w:rsid w:val="00EA3AA5"/>
    <w:pPr>
      <w:numPr>
        <w:numId w:val="6"/>
      </w:numPr>
    </w:pPr>
  </w:style>
  <w:style w:type="paragraph" w:styleId="ListNumber5">
    <w:name w:val="List Number 5"/>
    <w:basedOn w:val="List5"/>
    <w:rsid w:val="00EA3AA5"/>
    <w:pPr>
      <w:numPr>
        <w:numId w:val="7"/>
      </w:numPr>
    </w:pPr>
  </w:style>
  <w:style w:type="paragraph" w:styleId="BlockText">
    <w:name w:val="Block Text"/>
    <w:basedOn w:val="Normal"/>
    <w:rsid w:val="00EA3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AA5"/>
    <w:rPr>
      <w:sz w:val="16"/>
      <w:vertAlign w:val="superscript"/>
    </w:rPr>
  </w:style>
  <w:style w:type="character" w:customStyle="1" w:styleId="Symbols">
    <w:name w:val="Symbols"/>
    <w:basedOn w:val="DefaultParagraphFont"/>
    <w:rsid w:val="00EA3AA5"/>
    <w:rPr>
      <w:rFonts w:ascii="Symbol" w:hAnsi="Symbol"/>
    </w:rPr>
  </w:style>
  <w:style w:type="character" w:customStyle="1" w:styleId="MenuOptions">
    <w:name w:val="Menu Options"/>
    <w:basedOn w:val="DefaultParagraphFont"/>
    <w:rsid w:val="00EA3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AA5"/>
    <w:rPr>
      <w:b/>
    </w:rPr>
  </w:style>
  <w:style w:type="character" w:customStyle="1" w:styleId="Underlined">
    <w:name w:val="Underlined"/>
    <w:basedOn w:val="DefaultParagraphFont"/>
    <w:rsid w:val="00EA3AA5"/>
    <w:rPr>
      <w:u w:val="single"/>
    </w:rPr>
  </w:style>
  <w:style w:type="paragraph" w:customStyle="1" w:styleId="TableBodyTextRight">
    <w:name w:val="Table Body Text Right"/>
    <w:basedOn w:val="TableBodyText"/>
    <w:rsid w:val="00EA3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AA5"/>
    <w:rPr>
      <w:sz w:val="18"/>
    </w:rPr>
  </w:style>
  <w:style w:type="paragraph" w:customStyle="1" w:styleId="BodySmallRight">
    <w:name w:val="Body Small Right"/>
    <w:basedOn w:val="BodyTextRight"/>
    <w:rsid w:val="00EA3AA5"/>
    <w:rPr>
      <w:sz w:val="18"/>
      <w:szCs w:val="18"/>
    </w:rPr>
  </w:style>
  <w:style w:type="paragraph" w:customStyle="1" w:styleId="MarginEdition">
    <w:name w:val="Margin Edition"/>
    <w:basedOn w:val="MarginNote"/>
    <w:rsid w:val="00EA3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AA5"/>
    <w:rPr>
      <w:sz w:val="2"/>
      <w:szCs w:val="2"/>
    </w:rPr>
  </w:style>
  <w:style w:type="character" w:customStyle="1" w:styleId="Small">
    <w:name w:val="Small"/>
    <w:basedOn w:val="DefaultParagraphFont"/>
    <w:rsid w:val="00EA3AA5"/>
    <w:rPr>
      <w:sz w:val="16"/>
    </w:rPr>
  </w:style>
  <w:style w:type="paragraph" w:customStyle="1" w:styleId="WideTable">
    <w:name w:val="Wide Table"/>
    <w:basedOn w:val="Normal"/>
    <w:rsid w:val="00EA3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AA5"/>
  </w:style>
  <w:style w:type="paragraph" w:styleId="Quote">
    <w:name w:val="Quote"/>
    <w:basedOn w:val="Heading1"/>
    <w:link w:val="QuoteChar"/>
    <w:qFormat/>
    <w:rsid w:val="00EA3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AA5"/>
    <w:pPr>
      <w:pageBreakBefore/>
    </w:pPr>
  </w:style>
  <w:style w:type="paragraph" w:customStyle="1" w:styleId="Border">
    <w:name w:val="Border"/>
    <w:basedOn w:val="Normal"/>
    <w:qFormat/>
    <w:rsid w:val="00EA3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AA5"/>
    <w:rPr>
      <w:u w:val="single"/>
    </w:rPr>
  </w:style>
  <w:style w:type="character" w:customStyle="1" w:styleId="BoldandItalics">
    <w:name w:val="Bold and Italics"/>
    <w:qFormat/>
    <w:rsid w:val="00EA3AA5"/>
    <w:rPr>
      <w:b/>
      <w:i/>
      <w:u w:val="none"/>
    </w:rPr>
  </w:style>
  <w:style w:type="paragraph" w:styleId="BalloonText">
    <w:name w:val="Balloon Text"/>
    <w:basedOn w:val="Normal"/>
    <w:link w:val="BalloonTextChar"/>
    <w:rsid w:val="00EA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AA5"/>
    <w:pPr>
      <w:spacing w:before="0" w:after="0"/>
    </w:pPr>
  </w:style>
  <w:style w:type="paragraph" w:customStyle="1" w:styleId="BodyTextBold">
    <w:name w:val="Body Text Bold"/>
    <w:basedOn w:val="BodyText"/>
    <w:qFormat/>
    <w:rsid w:val="00EA3AA5"/>
    <w:rPr>
      <w:b/>
    </w:rPr>
  </w:style>
  <w:style w:type="character" w:styleId="Hyperlink">
    <w:name w:val="Hyperlink"/>
    <w:basedOn w:val="DefaultParagraphFont"/>
    <w:uiPriority w:val="99"/>
    <w:unhideWhenUsed/>
    <w:rsid w:val="00301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4684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PMAOMIR430 Conduct and assess incident exercises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