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BEB" w:rsidP="00B77B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PMAOMIR424 Develop and maintain community relationships</w:t>
      </w:r>
      <w:r>
        <w:fldChar w:fldCharType="end"/>
      </w:r>
    </w:p>
    <w:p w:rsidR="00B77BEB" w:rsidP="00B77BEB">
      <w:pPr>
        <w:pStyle w:val="Version"/>
        <w:sectPr w:rsidSect="008527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27A4" w:rsidP="008527A4">
      <w:pPr>
        <w:pStyle w:val="SuperHeading"/>
      </w:pPr>
      <w:r w:rsidRPr="008527A4">
        <w:t>Assessment Requirements for PMAOMIR424 Develop and maintain community relationships</w:t>
      </w:r>
    </w:p>
    <w:p w:rsidR="00000000" w:rsidRPr="008527A4" w:rsidP="008527A4">
      <w:pPr>
        <w:pStyle w:val="Heading1"/>
      </w:pPr>
      <w:bookmarkStart w:id="1" w:name="O_908882"/>
      <w:bookmarkEnd w:id="1"/>
      <w:r w:rsidRPr="008527A4">
        <w:t>Modification History</w:t>
      </w:r>
    </w:p>
    <w:p w:rsidR="00000000" w:rsidRPr="008527A4" w:rsidP="00B77BEB">
      <w:pPr>
        <w:pStyle w:val="BodyText"/>
      </w:pPr>
      <w:r w:rsidRPr="008527A4">
        <w:t>Release 1. Supersedes and is equivalent to PMAOMIR424B Develop and maintain community relationships</w:t>
      </w:r>
    </w:p>
    <w:p w:rsidR="00000000" w:rsidRPr="008527A4" w:rsidP="008527A4">
      <w:pPr>
        <w:pStyle w:val="Heading1"/>
      </w:pPr>
      <w:bookmarkStart w:id="2" w:name="O_908885"/>
      <w:bookmarkEnd w:id="2"/>
      <w:r w:rsidRPr="008527A4">
        <w:t>Performance Evidence</w:t>
      </w:r>
    </w:p>
    <w:p w:rsidR="00000000" w:rsidRPr="008527A4" w:rsidP="00B77BEB">
      <w:pPr>
        <w:pStyle w:val="BodyText"/>
      </w:pPr>
      <w:r w:rsidRPr="008527A4">
        <w:t>Evidence required to demonstrate competence in this unit must be relevant to and satisfy the requirements of the elements and performance criteria, and include the ability to:</w:t>
      </w:r>
    </w:p>
    <w:p w:rsidR="00000000" w:rsidRPr="008527A4" w:rsidP="008527A4">
      <w:pPr>
        <w:pStyle w:val="ListBullet"/>
      </w:pPr>
      <w:r w:rsidRPr="008527A4">
        <w:t>identify and communicate and consult effectively with dive</w:t>
      </w:r>
      <w:r w:rsidRPr="008527A4">
        <w:t>rse stakeholders</w:t>
      </w:r>
    </w:p>
    <w:p w:rsidR="00000000" w:rsidRPr="008527A4" w:rsidP="008527A4">
      <w:pPr>
        <w:pStyle w:val="ListBullet"/>
      </w:pPr>
      <w:r w:rsidRPr="008527A4">
        <w:t>identify and plan for information to be communicated</w:t>
      </w:r>
    </w:p>
    <w:p w:rsidR="00000000" w:rsidRPr="008527A4" w:rsidP="008527A4">
      <w:pPr>
        <w:pStyle w:val="ListBullet"/>
      </w:pPr>
      <w:r w:rsidRPr="008527A4">
        <w:t>facilitate activities with diverse stakeholders</w:t>
      </w:r>
    </w:p>
    <w:p w:rsidR="00000000" w:rsidRPr="008527A4" w:rsidP="008527A4">
      <w:pPr>
        <w:pStyle w:val="ListBullet"/>
      </w:pPr>
      <w:r w:rsidRPr="008527A4">
        <w:t xml:space="preserve">write materials that convey desired messages in appropriate format and style for range of stakeholders </w:t>
      </w:r>
    </w:p>
    <w:p w:rsidR="00000000" w:rsidRPr="008527A4" w:rsidP="008527A4">
      <w:pPr>
        <w:pStyle w:val="ListBullet"/>
      </w:pPr>
      <w:r w:rsidRPr="008527A4">
        <w:t>identify measures and apply them t</w:t>
      </w:r>
      <w:r w:rsidRPr="008527A4">
        <w:t>o evaluation of activities.</w:t>
      </w:r>
    </w:p>
    <w:p w:rsidR="00000000" w:rsidRPr="008527A4" w:rsidP="008527A4">
      <w:pPr>
        <w:pStyle w:val="AllowPageBreak"/>
      </w:pPr>
    </w:p>
    <w:p w:rsidR="00000000" w:rsidRPr="008527A4" w:rsidP="008527A4">
      <w:pPr>
        <w:pStyle w:val="Heading1"/>
      </w:pPr>
      <w:bookmarkStart w:id="3" w:name="O_908884"/>
      <w:bookmarkEnd w:id="3"/>
      <w:r w:rsidRPr="008527A4">
        <w:t>Knowledge Evidence</w:t>
      </w:r>
    </w:p>
    <w:p w:rsidR="00000000" w:rsidRPr="008527A4" w:rsidP="00B77BEB">
      <w:pPr>
        <w:pStyle w:val="BodyText"/>
      </w:pPr>
      <w:r w:rsidRPr="008527A4">
        <w:t>Evidence must be provided that demonstrates knowledge of:</w:t>
      </w:r>
    </w:p>
    <w:p w:rsidR="00000000" w:rsidRPr="008527A4" w:rsidP="008527A4">
      <w:pPr>
        <w:pStyle w:val="ListBullet"/>
      </w:pPr>
      <w:r w:rsidRPr="008527A4">
        <w:t>organisation social and ecological objectives</w:t>
      </w:r>
    </w:p>
    <w:p w:rsidR="00000000" w:rsidRPr="008527A4" w:rsidP="008527A4">
      <w:pPr>
        <w:pStyle w:val="ListBullet"/>
      </w:pPr>
      <w:r w:rsidRPr="008527A4">
        <w:t>organisational procedures, including those covering:</w:t>
      </w:r>
    </w:p>
    <w:p w:rsidR="00000000" w:rsidRPr="008527A4" w:rsidP="008527A4">
      <w:pPr>
        <w:pStyle w:val="ListBullet2"/>
      </w:pPr>
      <w:r w:rsidRPr="008527A4">
        <w:t xml:space="preserve">incident, fire and accident </w:t>
      </w:r>
    </w:p>
    <w:p w:rsidR="00000000" w:rsidRPr="008527A4" w:rsidP="008527A4">
      <w:pPr>
        <w:pStyle w:val="ListBullet2"/>
      </w:pPr>
      <w:r w:rsidRPr="008527A4">
        <w:t>communication systems</w:t>
      </w:r>
    </w:p>
    <w:p w:rsidR="00000000" w:rsidRPr="008527A4" w:rsidP="008527A4">
      <w:pPr>
        <w:pStyle w:val="ListBullet2"/>
      </w:pPr>
      <w:r w:rsidRPr="008527A4">
        <w:t>emergency response plans</w:t>
      </w:r>
    </w:p>
    <w:p w:rsidR="00000000" w:rsidRPr="008527A4" w:rsidP="008527A4">
      <w:pPr>
        <w:pStyle w:val="ListBullet2"/>
      </w:pPr>
      <w:r w:rsidRPr="008527A4">
        <w:t>reporting and information storage</w:t>
      </w:r>
    </w:p>
    <w:p w:rsidR="00000000" w:rsidRPr="008527A4" w:rsidP="008527A4">
      <w:pPr>
        <w:pStyle w:val="ListBullet2"/>
      </w:pPr>
      <w:r w:rsidRPr="008527A4">
        <w:t xml:space="preserve">approvals and release of information </w:t>
      </w:r>
    </w:p>
    <w:p w:rsidR="00000000" w:rsidRPr="008527A4" w:rsidP="008527A4">
      <w:pPr>
        <w:pStyle w:val="ListBullet"/>
      </w:pPr>
      <w:r w:rsidRPr="008527A4">
        <w:t>community members and organisations who are likely to be stakeholders</w:t>
      </w:r>
    </w:p>
    <w:p w:rsidR="00000000" w:rsidRPr="008527A4" w:rsidP="008527A4">
      <w:pPr>
        <w:pStyle w:val="ListBullet"/>
      </w:pPr>
      <w:r w:rsidRPr="008527A4">
        <w:t>incident response plans and management systems</w:t>
      </w:r>
    </w:p>
    <w:p w:rsidR="00000000" w:rsidRPr="008527A4" w:rsidP="008527A4">
      <w:pPr>
        <w:pStyle w:val="ListBullet"/>
      </w:pPr>
      <w:r w:rsidRPr="008527A4">
        <w:t>promotional techniq</w:t>
      </w:r>
      <w:r w:rsidRPr="008527A4">
        <w:t>ues and methods</w:t>
      </w:r>
    </w:p>
    <w:p w:rsidR="00000000" w:rsidRPr="008527A4" w:rsidP="008527A4">
      <w:pPr>
        <w:pStyle w:val="ListBullet"/>
      </w:pPr>
      <w:r w:rsidRPr="008527A4">
        <w:t>negotiation techniques</w:t>
      </w:r>
    </w:p>
    <w:p w:rsidR="00000000" w:rsidRPr="008527A4" w:rsidP="008527A4">
      <w:pPr>
        <w:pStyle w:val="ListBullet"/>
      </w:pPr>
      <w:r w:rsidRPr="008527A4">
        <w:t xml:space="preserve">group facilitation techniques </w:t>
      </w:r>
    </w:p>
    <w:p w:rsidR="00000000" w:rsidRPr="008527A4" w:rsidP="008527A4">
      <w:pPr>
        <w:pStyle w:val="ListBullet"/>
      </w:pPr>
      <w:r w:rsidRPr="008527A4">
        <w:t xml:space="preserve">group dynamics </w:t>
      </w:r>
    </w:p>
    <w:p w:rsidR="00000000" w:rsidRPr="008527A4" w:rsidP="008527A4">
      <w:pPr>
        <w:pStyle w:val="ListBullet"/>
      </w:pPr>
      <w:r w:rsidRPr="008527A4">
        <w:t>a range of presentation strategies and techniques.</w:t>
      </w:r>
    </w:p>
    <w:p w:rsidR="00000000" w:rsidRPr="008527A4" w:rsidP="008527A4">
      <w:pPr>
        <w:pStyle w:val="AllowPageBreak"/>
      </w:pPr>
    </w:p>
    <w:p w:rsidR="00000000" w:rsidRPr="008527A4" w:rsidP="008527A4">
      <w:pPr>
        <w:pStyle w:val="Heading1"/>
      </w:pPr>
      <w:bookmarkStart w:id="4" w:name="O_908883"/>
      <w:bookmarkEnd w:id="4"/>
      <w:r w:rsidRPr="008527A4">
        <w:t>Assessment Conditions</w:t>
      </w:r>
    </w:p>
    <w:p w:rsidR="00000000" w:rsidRPr="008527A4" w:rsidP="008527A4">
      <w:pPr>
        <w:pStyle w:val="ListBullet"/>
      </w:pPr>
      <w:r w:rsidRPr="008527A4">
        <w:t xml:space="preserve">The unit should be assessed holistically and the judgement of competence based </w:t>
      </w:r>
      <w:r w:rsidRPr="008527A4">
        <w:t xml:space="preserve">on a holistic assessment of the evidence. </w:t>
      </w:r>
    </w:p>
    <w:p w:rsidR="00000000" w:rsidRPr="008527A4" w:rsidP="008527A4">
      <w:pPr>
        <w:pStyle w:val="ListBullet"/>
      </w:pPr>
      <w:r w:rsidRPr="008527A4">
        <w:t>The collection of performance evidence is best done from a report and/or folio of evidence drawn from:</w:t>
      </w:r>
    </w:p>
    <w:p w:rsidR="00000000" w:rsidRPr="008527A4" w:rsidP="008527A4">
      <w:pPr>
        <w:pStyle w:val="ListBullet2"/>
      </w:pPr>
      <w:r w:rsidRPr="008527A4">
        <w:t xml:space="preserve">a single project which provides sufficient evidence of the requirements of all the elements and </w:t>
      </w:r>
      <w:r w:rsidRPr="008527A4">
        <w:t>performance criteria</w:t>
      </w:r>
    </w:p>
    <w:p w:rsidR="00000000" w:rsidRPr="008527A4" w:rsidP="008527A4">
      <w:pPr>
        <w:pStyle w:val="ListBullet2"/>
      </w:pPr>
      <w:r w:rsidRPr="008527A4">
        <w:t>multiple smaller projects which together provide sufficient evidence of the requirements of all the elements and performance criteria.</w:t>
      </w:r>
    </w:p>
    <w:p w:rsidR="00000000" w:rsidRPr="008527A4" w:rsidP="008527A4">
      <w:pPr>
        <w:pStyle w:val="ListBullet"/>
      </w:pPr>
      <w:r w:rsidRPr="008527A4">
        <w:t>A third-party report, or similar, may be needed to testify to the work done by the individual, part</w:t>
      </w:r>
      <w:r w:rsidRPr="008527A4">
        <w:t>icularly when the project has been done as part of a project team.</w:t>
      </w:r>
    </w:p>
    <w:p w:rsidR="00000000" w:rsidRPr="008527A4" w:rsidP="008527A4">
      <w:pPr>
        <w:pStyle w:val="ListBullet"/>
      </w:pPr>
      <w:r w:rsidRPr="008527A4">
        <w:t>Assessment should use a real project in an operational workplace. Where this is not possible or practical, assessment must occur using a sufficiently rigorous simulated environment reflecti</w:t>
      </w:r>
      <w:r w:rsidRPr="008527A4">
        <w:t>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8527A4" w:rsidP="008527A4">
      <w:pPr>
        <w:pStyle w:val="ListBullet"/>
      </w:pPr>
      <w:r w:rsidRPr="008527A4">
        <w:t>Knowledge evidence may be collec</w:t>
      </w:r>
      <w:r w:rsidRPr="008527A4">
        <w:t>ted concurrently with performance evidence (provided a record is kept) or through an independent process, such as workbooks, written assessments or interviews (provided a record is kept).</w:t>
      </w:r>
    </w:p>
    <w:p w:rsidR="00000000" w:rsidRPr="008527A4" w:rsidP="008527A4">
      <w:pPr>
        <w:pStyle w:val="ListBullet"/>
      </w:pPr>
      <w:r w:rsidRPr="008527A4">
        <w:t>Assessment processes and techniques must be appropriate to the langu</w:t>
      </w:r>
      <w:r w:rsidRPr="008527A4">
        <w:t>age, literacy and numeracy requirements of the work being performed and the needs of the candidate.</w:t>
      </w:r>
    </w:p>
    <w:p w:rsidR="00000000" w:rsidRPr="008527A4" w:rsidP="008527A4">
      <w:pPr>
        <w:pStyle w:val="ListBullet"/>
      </w:pPr>
      <w:r w:rsidRPr="008527A4">
        <w:t>Conditions for assessment must include access to all tools, equipment, materials and documentation required, including relevant workplace procedures, produc</w:t>
      </w:r>
      <w:r w:rsidRPr="008527A4">
        <w:t>t and manufacturing specifications associated with this unit.</w:t>
      </w:r>
    </w:p>
    <w:p w:rsidR="00000000" w:rsidRPr="008527A4" w:rsidP="008527A4">
      <w:pPr>
        <w:pStyle w:val="ListBullet"/>
      </w:pPr>
      <w:r w:rsidRPr="008527A4">
        <w:t>Foundation skills are integral to competent performance of the unit and should not be assessed separately.</w:t>
      </w:r>
    </w:p>
    <w:p w:rsidR="00000000" w:rsidRPr="008527A4" w:rsidP="008527A4">
      <w:pPr>
        <w:pStyle w:val="ListBullet"/>
      </w:pPr>
      <w:r w:rsidRPr="008527A4">
        <w:t>Assessors must satisfy the assessor competency requirements that are in place at the ti</w:t>
      </w:r>
      <w:r w:rsidRPr="008527A4">
        <w:t>me of the assessment as set by the VET regulator.</w:t>
      </w:r>
    </w:p>
    <w:p w:rsidR="00000000" w:rsidRPr="008527A4" w:rsidP="008527A4">
      <w:pPr>
        <w:pStyle w:val="ListBullet"/>
      </w:pPr>
      <w:r w:rsidRPr="008527A4">
        <w:t>In addition, the assessor or anyone acting in subject matter expert role in assessment must demonstrate both technical competency and currency. If the assessor cannot demonstrate technical competency and cu</w:t>
      </w:r>
      <w:r w:rsidRPr="008527A4">
        <w:t xml:space="preserve">rrency they must assess with a subject matter expert who does meet these requirements. </w:t>
      </w:r>
    </w:p>
    <w:p w:rsidR="00000000" w:rsidRPr="008527A4" w:rsidP="008527A4">
      <w:pPr>
        <w:pStyle w:val="ListBullet"/>
      </w:pPr>
      <w:r w:rsidRPr="008527A4">
        <w:t>Technical competence can be demonstrated through one or more of:</w:t>
      </w:r>
    </w:p>
    <w:p w:rsidR="00000000" w:rsidRPr="008527A4" w:rsidP="008527A4">
      <w:pPr>
        <w:pStyle w:val="ListBullet2"/>
      </w:pPr>
      <w:r w:rsidRPr="008527A4">
        <w:t xml:space="preserve">relevant VET or other qualification/Statement of Attainment </w:t>
      </w:r>
    </w:p>
    <w:p w:rsidR="00000000" w:rsidRPr="008527A4" w:rsidP="008527A4">
      <w:pPr>
        <w:pStyle w:val="ListBullet2"/>
      </w:pPr>
      <w:r w:rsidRPr="008527A4">
        <w:t>appropriate workplace experience undertak</w:t>
      </w:r>
      <w:r w:rsidRPr="008527A4">
        <w:t xml:space="preserve">ing the type of work being assessed under routine and non-routine conditions </w:t>
      </w:r>
    </w:p>
    <w:p w:rsidR="00000000" w:rsidRPr="008527A4" w:rsidP="008527A4">
      <w:pPr>
        <w:pStyle w:val="ListBullet2"/>
      </w:pPr>
      <w:r w:rsidRPr="008527A4">
        <w:t>appropriate workplace experience supervising/evaluating the type of work being assessed under routine and non-routine conditions</w:t>
      </w:r>
    </w:p>
    <w:p w:rsidR="00000000" w:rsidRPr="008527A4" w:rsidP="008527A4">
      <w:pPr>
        <w:pStyle w:val="ListBullet"/>
      </w:pPr>
      <w:r w:rsidRPr="008527A4">
        <w:t>Currency can be demonstrated through one or more of:</w:t>
      </w:r>
    </w:p>
    <w:p w:rsidR="00000000" w:rsidRPr="008527A4" w:rsidP="008527A4">
      <w:pPr>
        <w:pStyle w:val="ListBullet2"/>
      </w:pPr>
      <w:r w:rsidRPr="008527A4">
        <w:t xml:space="preserve">being currently employed undertaking the type of work being assessed </w:t>
      </w:r>
    </w:p>
    <w:p w:rsidR="00000000" w:rsidRPr="008527A4" w:rsidP="008527A4">
      <w:pPr>
        <w:pStyle w:val="ListBullet2"/>
      </w:pPr>
      <w:r w:rsidRPr="008527A4">
        <w:t>being employed by the organisation undertaking the type of work being assessed and having maintained currency in accordance with tha</w:t>
      </w:r>
      <w:r w:rsidRPr="008527A4">
        <w:t xml:space="preserve">t organisation’s policies and procedures </w:t>
      </w:r>
    </w:p>
    <w:p w:rsidR="00000000" w:rsidRPr="008527A4" w:rsidP="008527A4">
      <w:pPr>
        <w:pStyle w:val="ListBullet2"/>
      </w:pPr>
      <w:r w:rsidRPr="008527A4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8527A4" w:rsidP="008527A4">
      <w:pPr>
        <w:pStyle w:val="ListBullet2"/>
      </w:pPr>
      <w:r w:rsidRPr="008527A4">
        <w:t>conducting on-the-job training/asse</w:t>
      </w:r>
      <w:r w:rsidRPr="008527A4">
        <w:t xml:space="preserve">ssments of the type of work being assessed </w:t>
      </w:r>
    </w:p>
    <w:p w:rsidR="00000000" w:rsidRPr="008527A4" w:rsidP="008527A4">
      <w:pPr>
        <w:pStyle w:val="ListBullet2"/>
      </w:pPr>
      <w:r w:rsidRPr="008527A4">
        <w:t>being an active member of a relevant professional body and participating in activities relevant to the assessment of this type of work</w:t>
      </w:r>
    </w:p>
    <w:p w:rsidR="00000000" w:rsidRPr="008527A4" w:rsidP="008527A4">
      <w:pPr>
        <w:pStyle w:val="AllowPageBreak"/>
      </w:pPr>
    </w:p>
    <w:p w:rsidR="00000000" w:rsidRPr="008527A4" w:rsidP="008527A4">
      <w:pPr>
        <w:pStyle w:val="Heading1"/>
      </w:pPr>
      <w:bookmarkStart w:id="5" w:name="O_908881"/>
      <w:bookmarkEnd w:id="5"/>
      <w:r w:rsidRPr="008527A4">
        <w:t>Links</w:t>
      </w:r>
    </w:p>
    <w:p w:rsidR="00000000" w:rsidRPr="008527A4" w:rsidP="00B77BEB">
      <w:pPr>
        <w:pStyle w:val="BodyText"/>
      </w:pPr>
      <w:r w:rsidRPr="008527A4">
        <w:t>Companion Volume implementation guides are found in VE</w:t>
      </w:r>
      <w:r w:rsidRPr="008527A4">
        <w:t xml:space="preserve">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D47B01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527A4" w:rsidP="008527A4"/>
    <w:sectPr w:rsidSect="008527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A4" w:rsidRPr="00B77BEB" w:rsidP="00B77B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BEB" w:rsidP="008527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7BEB" w:rsidP="008527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77BEB" w:rsidP="008527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B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7A4" w:rsidRPr="00B77BEB" w:rsidP="00B77B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BEB" w:rsidRPr="002D2AF8" w:rsidP="008527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PMAOMIR424 Develop and maintain community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77BEB" w:rsidP="008527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C62C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D638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30D8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7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7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7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7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7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7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7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7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7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7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7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7A4"/>
  </w:style>
  <w:style w:type="character" w:customStyle="1" w:styleId="Heading1Char">
    <w:name w:val="Heading 1 Char"/>
    <w:basedOn w:val="DefaultParagraphFont"/>
    <w:link w:val="Heading1"/>
    <w:rsid w:val="008527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7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7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27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27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27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7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27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7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7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7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7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7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7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7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7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7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7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7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7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7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7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7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7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7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27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27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27A4"/>
    <w:rPr>
      <w:b/>
      <w:spacing w:val="0"/>
    </w:rPr>
  </w:style>
  <w:style w:type="paragraph" w:customStyle="1" w:styleId="SuperTitle">
    <w:name w:val="SuperTitle"/>
    <w:basedOn w:val="Title"/>
    <w:rsid w:val="008527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7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7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27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7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7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7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7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7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7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7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7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27A4"/>
    <w:rPr>
      <w:i/>
    </w:rPr>
  </w:style>
  <w:style w:type="paragraph" w:styleId="Caption">
    <w:name w:val="caption"/>
    <w:basedOn w:val="BodyText"/>
    <w:next w:val="Normal"/>
    <w:qFormat/>
    <w:rsid w:val="008527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7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7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7A4"/>
  </w:style>
  <w:style w:type="paragraph" w:styleId="TableofFigures">
    <w:name w:val="table of figures"/>
    <w:basedOn w:val="Normal"/>
    <w:next w:val="Normal"/>
    <w:semiHidden/>
    <w:rsid w:val="008527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7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27A4"/>
    <w:rPr>
      <w:rFonts w:ascii="Wingdings" w:hAnsi="Wingdings"/>
    </w:rPr>
  </w:style>
  <w:style w:type="paragraph" w:customStyle="1" w:styleId="TableHeading">
    <w:name w:val="Table Heading"/>
    <w:basedOn w:val="HeadingBase"/>
    <w:rsid w:val="008527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7A4"/>
    <w:rPr>
      <w:color w:val="0033CC"/>
      <w:u w:val="none"/>
    </w:rPr>
  </w:style>
  <w:style w:type="paragraph" w:customStyle="1" w:styleId="BodyTextRight">
    <w:name w:val="Body Text Right"/>
    <w:basedOn w:val="BodyText"/>
    <w:rsid w:val="008527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7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7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7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7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7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7A4"/>
    <w:rPr>
      <w:sz w:val="32"/>
    </w:rPr>
  </w:style>
  <w:style w:type="paragraph" w:customStyle="1" w:styleId="HeadingProcedure">
    <w:name w:val="Heading Procedure"/>
    <w:basedOn w:val="HeadingBase"/>
    <w:next w:val="Normal"/>
    <w:rsid w:val="008527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7A4"/>
    <w:pPr>
      <w:spacing w:before="60" w:after="60"/>
    </w:pPr>
  </w:style>
  <w:style w:type="paragraph" w:styleId="ListContinue">
    <w:name w:val="List Continue"/>
    <w:basedOn w:val="List"/>
    <w:rsid w:val="008527A4"/>
    <w:pPr>
      <w:ind w:firstLine="0"/>
    </w:pPr>
  </w:style>
  <w:style w:type="paragraph" w:customStyle="1" w:styleId="ListNote">
    <w:name w:val="List Note"/>
    <w:basedOn w:val="List"/>
    <w:rsid w:val="008527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7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7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7A4"/>
    <w:rPr>
      <w:rFonts w:ascii="Courier New" w:hAnsi="Courier New"/>
    </w:rPr>
  </w:style>
  <w:style w:type="paragraph" w:customStyle="1" w:styleId="NoteBullet">
    <w:name w:val="Note Bullet"/>
    <w:basedOn w:val="Note"/>
    <w:rsid w:val="008527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7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7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7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7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27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7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7A4"/>
    <w:rPr>
      <w:b/>
      <w:smallCaps/>
    </w:rPr>
  </w:style>
  <w:style w:type="paragraph" w:customStyle="1" w:styleId="TableListNumber">
    <w:name w:val="Table List Number"/>
    <w:basedOn w:val="ListNumber"/>
    <w:rsid w:val="008527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7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7A4"/>
    <w:pPr>
      <w:numPr>
        <w:numId w:val="9"/>
      </w:numPr>
    </w:pPr>
  </w:style>
  <w:style w:type="paragraph" w:customStyle="1" w:styleId="ListAlpha2">
    <w:name w:val="List Alpha 2"/>
    <w:basedOn w:val="List2"/>
    <w:rsid w:val="008527A4"/>
    <w:pPr>
      <w:numPr>
        <w:numId w:val="8"/>
      </w:numPr>
    </w:pPr>
  </w:style>
  <w:style w:type="paragraph" w:styleId="List2">
    <w:name w:val="List 2"/>
    <w:basedOn w:val="BodyText"/>
    <w:rsid w:val="008527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7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7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7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7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7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27A4"/>
    <w:pPr>
      <w:numPr>
        <w:numId w:val="4"/>
      </w:numPr>
    </w:pPr>
  </w:style>
  <w:style w:type="paragraph" w:styleId="ListContinue2">
    <w:name w:val="List Continue 2"/>
    <w:basedOn w:val="List2"/>
    <w:rsid w:val="008527A4"/>
    <w:pPr>
      <w:ind w:firstLine="0"/>
    </w:pPr>
  </w:style>
  <w:style w:type="paragraph" w:styleId="ListContinue3">
    <w:name w:val="List Continue 3"/>
    <w:basedOn w:val="List3"/>
    <w:rsid w:val="008527A4"/>
    <w:pPr>
      <w:ind w:left="1021" w:firstLine="0"/>
    </w:pPr>
  </w:style>
  <w:style w:type="paragraph" w:styleId="ListContinue4">
    <w:name w:val="List Continue 4"/>
    <w:basedOn w:val="List4"/>
    <w:rsid w:val="008527A4"/>
    <w:pPr>
      <w:ind w:firstLine="0"/>
    </w:pPr>
  </w:style>
  <w:style w:type="paragraph" w:styleId="ListContinue5">
    <w:name w:val="List Continue 5"/>
    <w:basedOn w:val="List5"/>
    <w:rsid w:val="008527A4"/>
    <w:pPr>
      <w:ind w:firstLine="0"/>
    </w:pPr>
  </w:style>
  <w:style w:type="paragraph" w:styleId="ListNumber3">
    <w:name w:val="List Number 3"/>
    <w:basedOn w:val="List3"/>
    <w:rsid w:val="008527A4"/>
    <w:pPr>
      <w:numPr>
        <w:numId w:val="5"/>
      </w:numPr>
    </w:pPr>
  </w:style>
  <w:style w:type="paragraph" w:styleId="ListNumber4">
    <w:name w:val="List Number 4"/>
    <w:basedOn w:val="List4"/>
    <w:rsid w:val="008527A4"/>
    <w:pPr>
      <w:numPr>
        <w:numId w:val="6"/>
      </w:numPr>
    </w:pPr>
  </w:style>
  <w:style w:type="paragraph" w:styleId="ListNumber5">
    <w:name w:val="List Number 5"/>
    <w:basedOn w:val="List5"/>
    <w:rsid w:val="008527A4"/>
    <w:pPr>
      <w:numPr>
        <w:numId w:val="7"/>
      </w:numPr>
    </w:pPr>
  </w:style>
  <w:style w:type="paragraph" w:styleId="BlockText">
    <w:name w:val="Block Text"/>
    <w:basedOn w:val="Normal"/>
    <w:rsid w:val="008527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7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7A4"/>
    <w:rPr>
      <w:sz w:val="16"/>
      <w:vertAlign w:val="superscript"/>
    </w:rPr>
  </w:style>
  <w:style w:type="character" w:customStyle="1" w:styleId="Symbols">
    <w:name w:val="Symbols"/>
    <w:basedOn w:val="DefaultParagraphFont"/>
    <w:rsid w:val="008527A4"/>
    <w:rPr>
      <w:rFonts w:ascii="Symbol" w:hAnsi="Symbol"/>
    </w:rPr>
  </w:style>
  <w:style w:type="character" w:customStyle="1" w:styleId="MenuOptions">
    <w:name w:val="Menu Options"/>
    <w:basedOn w:val="DefaultParagraphFont"/>
    <w:rsid w:val="008527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7A4"/>
    <w:rPr>
      <w:b/>
    </w:rPr>
  </w:style>
  <w:style w:type="character" w:customStyle="1" w:styleId="Underlined">
    <w:name w:val="Underlined"/>
    <w:basedOn w:val="DefaultParagraphFont"/>
    <w:rsid w:val="008527A4"/>
    <w:rPr>
      <w:u w:val="single"/>
    </w:rPr>
  </w:style>
  <w:style w:type="paragraph" w:customStyle="1" w:styleId="TableBodyTextRight">
    <w:name w:val="Table Body Text Right"/>
    <w:basedOn w:val="TableBodyText"/>
    <w:rsid w:val="008527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7A4"/>
    <w:rPr>
      <w:sz w:val="18"/>
    </w:rPr>
  </w:style>
  <w:style w:type="paragraph" w:customStyle="1" w:styleId="BodySmallRight">
    <w:name w:val="Body Small Right"/>
    <w:basedOn w:val="BodyTextRight"/>
    <w:rsid w:val="008527A4"/>
    <w:rPr>
      <w:sz w:val="18"/>
      <w:szCs w:val="18"/>
    </w:rPr>
  </w:style>
  <w:style w:type="paragraph" w:customStyle="1" w:styleId="MarginEdition">
    <w:name w:val="Margin Edition"/>
    <w:basedOn w:val="MarginNote"/>
    <w:rsid w:val="008527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7A4"/>
    <w:rPr>
      <w:sz w:val="2"/>
      <w:szCs w:val="2"/>
    </w:rPr>
  </w:style>
  <w:style w:type="character" w:customStyle="1" w:styleId="Small">
    <w:name w:val="Small"/>
    <w:basedOn w:val="DefaultParagraphFont"/>
    <w:rsid w:val="008527A4"/>
    <w:rPr>
      <w:sz w:val="16"/>
    </w:rPr>
  </w:style>
  <w:style w:type="paragraph" w:customStyle="1" w:styleId="WideTable">
    <w:name w:val="Wide Table"/>
    <w:basedOn w:val="Normal"/>
    <w:rsid w:val="008527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7A4"/>
  </w:style>
  <w:style w:type="paragraph" w:styleId="Quote">
    <w:name w:val="Quote"/>
    <w:basedOn w:val="Heading1"/>
    <w:link w:val="QuoteChar"/>
    <w:qFormat/>
    <w:rsid w:val="008527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7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7A4"/>
    <w:pPr>
      <w:pageBreakBefore/>
    </w:pPr>
  </w:style>
  <w:style w:type="paragraph" w:customStyle="1" w:styleId="Border">
    <w:name w:val="Border"/>
    <w:basedOn w:val="Normal"/>
    <w:qFormat/>
    <w:rsid w:val="008527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7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7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7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7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7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7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7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7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7A4"/>
    <w:rPr>
      <w:u w:val="single"/>
    </w:rPr>
  </w:style>
  <w:style w:type="character" w:customStyle="1" w:styleId="BoldandItalics">
    <w:name w:val="Bold and Italics"/>
    <w:qFormat/>
    <w:rsid w:val="008527A4"/>
    <w:rPr>
      <w:b/>
      <w:i/>
      <w:u w:val="none"/>
    </w:rPr>
  </w:style>
  <w:style w:type="paragraph" w:styleId="BalloonText">
    <w:name w:val="Balloon Text"/>
    <w:basedOn w:val="Normal"/>
    <w:link w:val="BalloonTextChar"/>
    <w:rsid w:val="008527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7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7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7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7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7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7A4"/>
    <w:pPr>
      <w:spacing w:before="0" w:after="0"/>
    </w:pPr>
  </w:style>
  <w:style w:type="paragraph" w:customStyle="1" w:styleId="BodyTextBold">
    <w:name w:val="Body Text Bold"/>
    <w:basedOn w:val="BodyText"/>
    <w:qFormat/>
    <w:rsid w:val="008527A4"/>
    <w:rPr>
      <w:b/>
    </w:rPr>
  </w:style>
  <w:style w:type="character" w:styleId="Hyperlink">
    <w:name w:val="Hyperlink"/>
    <w:basedOn w:val="DefaultParagraphFont"/>
    <w:uiPriority w:val="99"/>
    <w:unhideWhenUsed/>
    <w:rsid w:val="00B77B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4368</Characters>
  <Application>Microsoft Office Word</Application>
  <DocSecurity>0</DocSecurity>
  <Lines>94</Lines>
  <Paragraphs>62</Paragraphs>
  <ScaleCrop>false</ScaleCrop>
  <Company>Author-it Software Corporation Ltd.</Company>
  <LinksUpToDate>false</LinksUpToDate>
  <CharactersWithSpaces>4986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PMAOMIR424 Develop and maintain community relationships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2023-02-03T05:40:00Z</dcterms:created>
  <dcterms:modified xsi:type="dcterms:W3CDTF">2023-02-03T05:40:00Z</dcterms:modified>
</cp:coreProperties>
</file>