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DDF" w:rsidP="002F0DDF">
      <w:pPr>
        <w:pStyle w:val="Title"/>
      </w:pPr>
      <w:r>
        <w:fldChar w:fldCharType="begin"/>
      </w:r>
      <w:r>
        <w:instrText xml:space="preserve"> TITLE   \* MERGEFORMAT </w:instrText>
      </w:r>
      <w:r>
        <w:fldChar w:fldCharType="separate"/>
      </w:r>
      <w:r>
        <w:t>PMAOMIR418 Coordinate incident response</w:t>
      </w:r>
      <w:r>
        <w:fldChar w:fldCharType="end"/>
      </w:r>
    </w:p>
    <w:p w:rsidR="002F0DDF" w:rsidP="002F0DDF">
      <w:pPr>
        <w:pStyle w:val="Version"/>
        <w:sectPr w:rsidSect="00330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A35" w:rsidP="00330A35">
      <w:pPr>
        <w:pStyle w:val="SuperHeading"/>
      </w:pPr>
      <w:r w:rsidRPr="00330A35">
        <w:t>PMAOMIR418 Coordinate incident response</w:t>
      </w:r>
    </w:p>
    <w:p w:rsidR="00000000" w:rsidRPr="00330A35" w:rsidP="00330A35">
      <w:pPr>
        <w:pStyle w:val="Heading1"/>
      </w:pPr>
      <w:bookmarkStart w:id="1" w:name="O_908867"/>
      <w:bookmarkEnd w:id="1"/>
      <w:r w:rsidRPr="00330A35">
        <w:t>Modification History</w:t>
      </w:r>
    </w:p>
    <w:p w:rsidR="00000000" w:rsidRPr="00330A35" w:rsidP="002F0DDF">
      <w:pPr>
        <w:pStyle w:val="BodyText"/>
      </w:pPr>
      <w:r w:rsidRPr="00330A35">
        <w:t>Release 1. Supersedes and is equivalent to PMAOMIR418B Coordinate incident response</w:t>
      </w:r>
    </w:p>
    <w:p w:rsidR="00000000" w:rsidRPr="00330A35" w:rsidP="00330A35">
      <w:pPr>
        <w:pStyle w:val="Heading1"/>
      </w:pPr>
      <w:bookmarkStart w:id="2" w:name="O_908875"/>
      <w:bookmarkEnd w:id="2"/>
      <w:r w:rsidRPr="00330A35">
        <w:t>Application</w:t>
      </w:r>
    </w:p>
    <w:p w:rsidR="00000000" w:rsidRPr="00330A35" w:rsidP="002F0DDF">
      <w:pPr>
        <w:pStyle w:val="BodyText"/>
      </w:pPr>
      <w:r w:rsidRPr="00330A35">
        <w:t>This unit of competency covers the skills and knowledge required to coordinate the response to off-shore or on-shore incid</w:t>
      </w:r>
      <w:r w:rsidRPr="00330A35">
        <w:t>ents.</w:t>
      </w:r>
    </w:p>
    <w:p w:rsidR="00000000" w:rsidRPr="00330A35" w:rsidP="002F0DDF">
      <w:pPr>
        <w:pStyle w:val="BodyText"/>
      </w:pPr>
      <w:r w:rsidRPr="00330A35">
        <w:t>An incident is an event which causes, or could have caused, injury or illness; damage to plant, material or the environment; disruption to production or public alarm.</w:t>
      </w:r>
    </w:p>
    <w:p w:rsidR="00000000" w:rsidRPr="00330A35" w:rsidP="002F0DDF">
      <w:pPr>
        <w:pStyle w:val="BodyText"/>
      </w:pPr>
      <w:r w:rsidRPr="00330A35">
        <w:t>An incident is an unintended event, or an unintended consequence of an intended e</w:t>
      </w:r>
      <w:r w:rsidRPr="00330A35">
        <w:t xml:space="preserve">vent, such as: </w:t>
      </w:r>
    </w:p>
    <w:p w:rsidR="00000000" w:rsidRPr="00330A35" w:rsidP="00330A35">
      <w:pPr>
        <w:pStyle w:val="ListBullet"/>
      </w:pPr>
      <w:r w:rsidRPr="00330A35">
        <w:t>fire and explosion</w:t>
      </w:r>
    </w:p>
    <w:p w:rsidR="00000000" w:rsidRPr="00330A35" w:rsidP="00330A35">
      <w:pPr>
        <w:pStyle w:val="ListBullet"/>
      </w:pPr>
      <w:r w:rsidRPr="00330A35">
        <w:t>loss of containment</w:t>
      </w:r>
    </w:p>
    <w:p w:rsidR="00000000" w:rsidRPr="00330A35" w:rsidP="00330A35">
      <w:pPr>
        <w:pStyle w:val="ListBullet"/>
      </w:pPr>
      <w:r w:rsidRPr="00330A35">
        <w:t>excursions above/below acceptable limits for emissions or plant conditions</w:t>
      </w:r>
    </w:p>
    <w:p w:rsidR="00000000" w:rsidRPr="00330A35" w:rsidP="00330A35">
      <w:pPr>
        <w:pStyle w:val="ListBullet"/>
      </w:pPr>
      <w:r w:rsidRPr="00330A35">
        <w:t>excursions above occupational hygiene or biological exposure limits</w:t>
      </w:r>
    </w:p>
    <w:p w:rsidR="00000000" w:rsidRPr="00330A35" w:rsidP="00330A35">
      <w:pPr>
        <w:pStyle w:val="ListBullet"/>
      </w:pPr>
      <w:r w:rsidRPr="00330A35">
        <w:t>non-compliance with regulatory requirements</w:t>
      </w:r>
    </w:p>
    <w:p w:rsidR="00000000" w:rsidRPr="00330A35" w:rsidP="00330A35">
      <w:pPr>
        <w:pStyle w:val="ListBullet"/>
      </w:pPr>
      <w:r w:rsidRPr="00330A35">
        <w:t>security brea</w:t>
      </w:r>
      <w:r w:rsidRPr="00330A35">
        <w:t>ches</w:t>
      </w:r>
    </w:p>
    <w:p w:rsidR="00000000" w:rsidRPr="00330A35" w:rsidP="00330A35">
      <w:pPr>
        <w:pStyle w:val="ListBullet"/>
      </w:pPr>
      <w:r w:rsidRPr="00330A35">
        <w:t>failure to follow procedures</w:t>
      </w:r>
    </w:p>
    <w:p w:rsidR="00000000" w:rsidRPr="00330A35" w:rsidP="00330A35">
      <w:pPr>
        <w:pStyle w:val="ListBullet"/>
      </w:pPr>
      <w:r w:rsidRPr="00330A35">
        <w:t>complaints</w:t>
      </w:r>
    </w:p>
    <w:p w:rsidR="00000000" w:rsidRPr="00330A35" w:rsidP="00330A35">
      <w:pPr>
        <w:pStyle w:val="ListBullet"/>
      </w:pPr>
      <w:r w:rsidRPr="00330A35">
        <w:t>vehicle incidents</w:t>
      </w:r>
    </w:p>
    <w:p w:rsidR="00000000" w:rsidRPr="00330A35" w:rsidP="00330A35">
      <w:pPr>
        <w:pStyle w:val="ListBullet"/>
      </w:pPr>
      <w:r w:rsidRPr="00330A35">
        <w:t>on/off-site incidents.</w:t>
      </w:r>
    </w:p>
    <w:p w:rsidR="00000000" w:rsidRPr="00330A35" w:rsidP="00330A35">
      <w:pPr>
        <w:pStyle w:val="BodyText"/>
      </w:pPr>
    </w:p>
    <w:p w:rsidR="00000000" w:rsidRPr="00330A35" w:rsidP="002F0DDF">
      <w:pPr>
        <w:pStyle w:val="BodyText"/>
      </w:pPr>
      <w:r w:rsidRPr="00330A35">
        <w:t>This unit of competency applies to personnel in incident coordinato</w:t>
      </w:r>
      <w:r w:rsidRPr="00330A35">
        <w:t>r/commander, incident control centre team member or similar roles who are required to minimise the escalation of the incident, allocate resources and assets, plan tactical responses, communicate with the incident response team, interact with external agenc</w:t>
      </w:r>
      <w:r w:rsidRPr="00330A35">
        <w:t>ies required to assist with the emergency, and gather information about the incident.</w:t>
      </w:r>
    </w:p>
    <w:p w:rsidR="00000000" w:rsidRPr="00330A35" w:rsidP="002F0DDF">
      <w:pPr>
        <w:pStyle w:val="BodyText"/>
      </w:pPr>
      <w:r w:rsidRPr="00330A35">
        <w:t xml:space="preserve">This unit of competency applies to an individual working alone or as part of a team or group and working in liaison with other incident control centre team members, the </w:t>
      </w:r>
      <w:r w:rsidRPr="00330A35">
        <w:t>incident manager and the incident support management group, as appropriate.</w:t>
      </w:r>
    </w:p>
    <w:p w:rsidR="00000000" w:rsidRPr="00330A35" w:rsidP="002F0DDF">
      <w:pPr>
        <w:pStyle w:val="BodyText"/>
      </w:pPr>
      <w:r w:rsidRPr="00330A35">
        <w:t>The incident coordinator is responsible for interactions between corporate headquarters, on-site incident response teams and the person in charge of the facility. There may be mor</w:t>
      </w:r>
      <w:r w:rsidRPr="00330A35">
        <w:t xml:space="preserve">e than one incident response team involved depending on the size and complexity of the incident. </w:t>
      </w:r>
    </w:p>
    <w:p w:rsidR="00000000" w:rsidRPr="00330A35" w:rsidP="002F0DDF">
      <w:pPr>
        <w:pStyle w:val="BodyText"/>
      </w:pPr>
      <w:r w:rsidRPr="00330A35">
        <w:t>The incident control centre and incident manager may be stationed on the facility or away from the facility or plant.</w:t>
      </w:r>
    </w:p>
    <w:p w:rsidR="00000000" w:rsidRPr="00330A35" w:rsidP="002F0DDF">
      <w:pPr>
        <w:pStyle w:val="BodyText"/>
      </w:pPr>
      <w:r w:rsidRPr="00330A35">
        <w:t>No licensing, legislative or certifica</w:t>
      </w:r>
      <w:r w:rsidRPr="00330A35">
        <w:t>tion requirements apply to this unit at the time of publication.</w:t>
      </w:r>
    </w:p>
    <w:p w:rsidR="00000000" w:rsidRPr="00330A35" w:rsidP="00330A35">
      <w:pPr>
        <w:pStyle w:val="Heading1"/>
      </w:pPr>
      <w:bookmarkStart w:id="3" w:name="O_908874"/>
      <w:bookmarkEnd w:id="3"/>
      <w:r w:rsidRPr="00330A35">
        <w:t>Pre-requisite Unit</w:t>
      </w:r>
    </w:p>
    <w:p w:rsidR="00000000" w:rsidRPr="00330A35" w:rsidP="002F0DDF">
      <w:pPr>
        <w:pStyle w:val="BodyText"/>
      </w:pPr>
      <w:r w:rsidRPr="00330A35">
        <w:t>Nil</w:t>
      </w:r>
    </w:p>
    <w:p w:rsidR="00000000" w:rsidRPr="00330A35" w:rsidP="00330A35">
      <w:pPr>
        <w:pStyle w:val="Heading1"/>
      </w:pPr>
      <w:bookmarkStart w:id="4" w:name="O_908873"/>
      <w:bookmarkEnd w:id="4"/>
      <w:r w:rsidRPr="00330A35">
        <w:t>Competency Field</w:t>
      </w:r>
    </w:p>
    <w:p w:rsidR="00000000" w:rsidRPr="00330A35" w:rsidP="002F0DDF">
      <w:pPr>
        <w:pStyle w:val="BodyText"/>
      </w:pPr>
      <w:r w:rsidRPr="00330A35">
        <w:t>Incident readiness and response</w:t>
      </w:r>
    </w:p>
    <w:p w:rsidR="00000000" w:rsidRPr="00330A35" w:rsidP="00330A35">
      <w:pPr>
        <w:pStyle w:val="Heading1"/>
      </w:pPr>
      <w:bookmarkStart w:id="5" w:name="O_908872"/>
      <w:bookmarkEnd w:id="5"/>
      <w:r w:rsidRPr="00330A35">
        <w:t>Unit Sector</w:t>
      </w:r>
    </w:p>
    <w:p w:rsidR="00000000" w:rsidRPr="00330A35" w:rsidP="00330A35">
      <w:pPr>
        <w:pStyle w:val="Heading1"/>
      </w:pPr>
      <w:bookmarkStart w:id="6" w:name="O_908871"/>
      <w:bookmarkEnd w:id="6"/>
      <w:r w:rsidRPr="00330A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0A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Elemen</w:t>
            </w:r>
            <w:r w:rsidRPr="00330A35">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Performance criteria describe the performance needed to demonstrate achievement of the element.</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1</w:t>
            </w:r>
          </w:p>
        </w:tc>
        <w:tc>
          <w:tcPr>
            <w:tcW w:w="1962" w:type="dxa"/>
            <w:vMerge w:val="restart"/>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Assess the situation and determine priorities</w:t>
            </w: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1.1</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Seek incident information from appropriate on-site personnel</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1.2</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Monitor changes in the nature, extent and potential implications of the incident</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1.3</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Develop incident response tactics based on analysis of the situation and consistent with the philosophies and strategies of the organisation</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1.4</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Identify required resources in accordance with the tactics developed</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1.5</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Continually review objectives in light of information updates, reports and feedback</w:t>
            </w:r>
          </w:p>
        </w:tc>
      </w:tr>
      <w:tr w:rsidTr="00330A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A35">
            <w:pPr>
              <w:pStyle w:val="BodyText"/>
              <w:rPr>
                <w:lang w:val="en-NZ"/>
              </w:rPr>
            </w:pP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2</w:t>
            </w:r>
          </w:p>
        </w:tc>
        <w:tc>
          <w:tcPr>
            <w:tcW w:w="1962" w:type="dxa"/>
            <w:vMerge w:val="restart"/>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Manage incident control centre</w:t>
            </w: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2.1</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Brief incident control centre personnel on the scenario and tactics, their roles and responsibilities, and of the way the centre will operate</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2.2</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Allocate tasks to incident control centre personnel commensurate with their roles and level of competence</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2.3</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Monitor performance of incident control centre personnel and review as the incident unfolds to determine ongoing requirements</w:t>
            </w:r>
          </w:p>
        </w:tc>
      </w:tr>
      <w:tr w:rsidTr="00330A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A35">
            <w:pPr>
              <w:pStyle w:val="BodyText"/>
              <w:rPr>
                <w:lang w:val="en-NZ"/>
              </w:rPr>
            </w:pP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3</w:t>
            </w:r>
          </w:p>
        </w:tc>
        <w:tc>
          <w:tcPr>
            <w:tcW w:w="1962" w:type="dxa"/>
            <w:vMerge w:val="restart"/>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Liaise with internal management and support structures</w:t>
            </w: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3.1</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Regularly brief and provide communications to appropriate</w:t>
            </w:r>
            <w:r w:rsidRPr="00330A35">
              <w:t xml:space="preserve"> personnel in accordance with procedures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3.2</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Monitor and review resources to determine changing requirements in accordance with changing circumstances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3.3</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Ensure resources are available as required</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3.4</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Liaise with relevant management and support structures to provide and/or obtain guidance and support</w:t>
            </w:r>
          </w:p>
        </w:tc>
      </w:tr>
      <w:tr w:rsidTr="00330A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A35">
            <w:pPr>
              <w:pStyle w:val="BodyText"/>
              <w:rPr>
                <w:lang w:val="en-NZ"/>
              </w:rPr>
            </w:pP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4</w:t>
            </w:r>
          </w:p>
        </w:tc>
        <w:tc>
          <w:tcPr>
            <w:tcW w:w="1962" w:type="dxa"/>
            <w:vMerge w:val="restart"/>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Ensure communications systems are effective</w:t>
            </w: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4.1</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Establish communications with personnel at the incident scene</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4.2</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Establish communications with other personnel on or off-site as required</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4.3</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Ensure communications systems are managed to provide optimum capability</w:t>
            </w:r>
          </w:p>
        </w:tc>
      </w:tr>
      <w:tr w:rsidTr="00330A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A35">
            <w:pPr>
              <w:pStyle w:val="BodyText"/>
              <w:rPr>
                <w:lang w:val="en-NZ"/>
              </w:rPr>
            </w:pP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5</w:t>
            </w:r>
          </w:p>
        </w:tc>
        <w:tc>
          <w:tcPr>
            <w:tcW w:w="1962" w:type="dxa"/>
            <w:vMerge w:val="restart"/>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Conclude and review incident activities</w:t>
            </w: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5.1</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Account for all personnel and other resources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5.2</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Conduct a debrief and complete company incident reports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5.3</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Evaluate and review tactics and procedures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5.4</w:t>
            </w:r>
          </w:p>
        </w:tc>
        <w:tc>
          <w:tcPr>
            <w:tcW w:w="561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Evaluate and document effectiveness of the control function and its interaction with command organisations</w:t>
            </w:r>
          </w:p>
        </w:tc>
      </w:tr>
      <w:tr w:rsidTr="00330A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5.5</w:t>
            </w:r>
          </w:p>
        </w:tc>
        <w:tc>
          <w:tcPr>
            <w:tcW w:w="5610" w:type="dxa"/>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Communicate reports in accordance with company procedures</w:t>
            </w:r>
          </w:p>
        </w:tc>
      </w:tr>
    </w:tbl>
    <w:p w:rsidR="00000000" w:rsidRPr="00330A35" w:rsidP="00330A35">
      <w:pPr>
        <w:pStyle w:val="BodyText"/>
      </w:pPr>
    </w:p>
    <w:p w:rsidR="00000000" w:rsidRPr="00330A35" w:rsidP="00330A35">
      <w:pPr>
        <w:pStyle w:val="AllowPageBreak"/>
      </w:pPr>
    </w:p>
    <w:p w:rsidR="00000000" w:rsidRPr="00330A35" w:rsidP="00330A35">
      <w:pPr>
        <w:pStyle w:val="Heading1"/>
      </w:pPr>
      <w:bookmarkStart w:id="7" w:name="O_908870"/>
      <w:bookmarkEnd w:id="7"/>
      <w:r w:rsidRPr="00330A35">
        <w:t>Foundation Skills</w:t>
      </w:r>
    </w:p>
    <w:p w:rsidR="00000000" w:rsidRPr="00330A35" w:rsidP="002F0DDF">
      <w:pPr>
        <w:pStyle w:val="BodyText"/>
      </w:pPr>
      <w:r w:rsidRPr="00330A35">
        <w:t>This section describes those language, literacy, numeracy and employment skills that are essential to performance.</w:t>
      </w:r>
    </w:p>
    <w:p w:rsidR="00000000" w:rsidRPr="00330A35" w:rsidP="002F0DDF">
      <w:pPr>
        <w:pStyle w:val="BodyText"/>
      </w:pPr>
      <w:r w:rsidRPr="00330A35">
        <w:t>Foundation skills essential to performance are explicit in the performance criteria of this unit of competency.</w:t>
      </w:r>
    </w:p>
    <w:p w:rsidR="00000000" w:rsidRPr="00330A35" w:rsidP="00330A35">
      <w:pPr>
        <w:pStyle w:val="Heading1"/>
      </w:pPr>
      <w:bookmarkStart w:id="8" w:name="O_908869"/>
      <w:bookmarkEnd w:id="8"/>
      <w:r w:rsidRPr="00330A35">
        <w:t>Range of Conditions</w:t>
      </w:r>
    </w:p>
    <w:tbl>
      <w:tblPr>
        <w:tblW w:w="0" w:type="auto"/>
        <w:tblCellMar>
          <w:left w:w="62" w:type="dxa"/>
          <w:right w:w="62" w:type="dxa"/>
        </w:tblCellMar>
        <w:tblLook w:val="0000"/>
      </w:tblPr>
      <w:tblGrid>
        <w:gridCol w:w="2163"/>
        <w:gridCol w:w="7033"/>
      </w:tblGrid>
      <w:tr w:rsidTr="002F0D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t>This field allows for different work environments and conditions that may affect performance. Essential ope</w:t>
            </w:r>
            <w:r w:rsidRPr="00330A35">
              <w:t>rating conditions that may be present (depending on the work situation, needs of the candidate, accessibility of the item, and local industry and regional contexts) are included.</w:t>
            </w:r>
          </w:p>
        </w:tc>
      </w:tr>
      <w:tr w:rsidTr="002F0D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The latest version of all legislation, regulations, in</w:t>
            </w:r>
            <w:r w:rsidRPr="00330A35">
              <w:t>dustry codes of practice and Australian/international standards, or the version specified by the local regulatory authority, must be used, and include one or more of the following:</w:t>
            </w:r>
          </w:p>
          <w:p w:rsidR="00000000" w:rsidRPr="00330A35" w:rsidP="00330A35">
            <w:pPr>
              <w:pStyle w:val="ListBullet"/>
            </w:pPr>
            <w:r w:rsidRPr="00330A35">
              <w:t>legislative requirements, including work health and safety (WHS)</w:t>
            </w:r>
          </w:p>
          <w:p w:rsidR="00000000" w:rsidRPr="00330A35" w:rsidP="00330A35">
            <w:pPr>
              <w:pStyle w:val="ListBullet"/>
            </w:pPr>
            <w:r w:rsidRPr="00330A35">
              <w:t xml:space="preserve">industry </w:t>
            </w:r>
            <w:r w:rsidRPr="00330A35">
              <w:t>codes of practice and guidelines</w:t>
            </w:r>
          </w:p>
          <w:p w:rsidR="00000000" w:rsidRPr="00330A35" w:rsidP="00330A35">
            <w:pPr>
              <w:pStyle w:val="ListBullet"/>
            </w:pPr>
            <w:r w:rsidRPr="00330A35">
              <w:t xml:space="preserve">environmental regulations and guidelines </w:t>
            </w:r>
          </w:p>
          <w:p w:rsidR="00000000" w:rsidRPr="00330A35" w:rsidP="00330A35">
            <w:pPr>
              <w:pStyle w:val="ListBullet"/>
            </w:pPr>
            <w:r w:rsidRPr="00330A35">
              <w:t>Australian and other standards</w:t>
            </w:r>
          </w:p>
          <w:p w:rsidR="00000000" w:rsidRPr="00330A35" w:rsidP="00330A35">
            <w:pPr>
              <w:pStyle w:val="ListBullet"/>
            </w:pPr>
            <w:r w:rsidRPr="00330A35">
              <w:t xml:space="preserve">licence and certification requirements </w:t>
            </w:r>
          </w:p>
          <w:p w:rsidR="00000000" w:rsidRPr="00330A35" w:rsidP="00330A35">
            <w:pPr>
              <w:pStyle w:val="BodyText"/>
            </w:pPr>
          </w:p>
          <w:p w:rsidR="00000000" w:rsidRPr="00330A35" w:rsidP="00330A35">
            <w:pPr>
              <w:pStyle w:val="BodyText"/>
            </w:pPr>
            <w:r w:rsidRPr="00330A35">
              <w:t>All operations to which this unit applies are subject to stringent health, safety and environment (HSE) requirements, which may be imposed through state/territory or federal legislation, and these must not be compromised at any time. Where there is an appa</w:t>
            </w:r>
            <w:r w:rsidRPr="00330A35">
              <w:t>rent conflict between performance criteria and HSE requirements, the HSE requirements take precedence.</w:t>
            </w:r>
          </w:p>
          <w:p w:rsidR="00000000" w:rsidP="00330A35">
            <w:pPr>
              <w:pStyle w:val="BodyText"/>
              <w:rPr>
                <w:lang w:val="en-NZ"/>
              </w:rPr>
            </w:pPr>
          </w:p>
        </w:tc>
      </w:tr>
      <w:tr w:rsidTr="002F0D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Incident response includes one or more of the following:</w:t>
            </w:r>
          </w:p>
          <w:p w:rsidR="00000000" w:rsidRPr="00330A35" w:rsidP="00330A35">
            <w:pPr>
              <w:pStyle w:val="ListBullet"/>
            </w:pPr>
            <w:r w:rsidRPr="00330A35">
              <w:t>deployment of site incident response personnel</w:t>
            </w:r>
          </w:p>
          <w:p w:rsidR="00000000" w:rsidRPr="00330A35" w:rsidP="00330A35">
            <w:pPr>
              <w:pStyle w:val="ListBullet"/>
            </w:pPr>
            <w:r w:rsidRPr="00330A35">
              <w:t>containing/controlling the i</w:t>
            </w:r>
            <w:r w:rsidRPr="00330A35">
              <w:t>ncident at source and or its spread</w:t>
            </w:r>
          </w:p>
          <w:p w:rsidR="00000000" w:rsidRPr="00330A35" w:rsidP="00330A35">
            <w:pPr>
              <w:pStyle w:val="ListBullet"/>
            </w:pPr>
            <w:r w:rsidRPr="00330A35">
              <w:t>search and rescue operations</w:t>
            </w:r>
          </w:p>
          <w:p w:rsidR="00000000" w:rsidRPr="00330A35" w:rsidP="00330A35">
            <w:pPr>
              <w:pStyle w:val="ListBullet"/>
            </w:pPr>
            <w:r w:rsidRPr="00330A35">
              <w:t>engagement of external emergency services (such as fire, ambulance, rescue and military)</w:t>
            </w:r>
          </w:p>
          <w:p w:rsidR="00000000" w:rsidRPr="00330A35" w:rsidP="00330A35">
            <w:pPr>
              <w:pStyle w:val="ListBullet"/>
            </w:pPr>
            <w:r w:rsidRPr="00330A35">
              <w:t xml:space="preserve">liaison with other agencies (such as environmental, clean-up and specialised troubleshooters) </w:t>
            </w:r>
          </w:p>
          <w:p w:rsidR="00000000" w:rsidRPr="00330A35" w:rsidP="00330A35">
            <w:pPr>
              <w:pStyle w:val="ListBullet"/>
            </w:pPr>
            <w:r w:rsidRPr="00330A35">
              <w:t>evacuat</w:t>
            </w:r>
            <w:r w:rsidRPr="00330A35">
              <w:t>ion</w:t>
            </w:r>
          </w:p>
          <w:p w:rsidR="00000000" w:rsidRPr="00330A35" w:rsidP="00330A35">
            <w:pPr>
              <w:pStyle w:val="ListBullet"/>
            </w:pPr>
            <w:r w:rsidRPr="00330A35">
              <w:t>hazard control</w:t>
            </w:r>
          </w:p>
          <w:p w:rsidR="00000000" w:rsidRPr="00330A35" w:rsidP="00330A35">
            <w:pPr>
              <w:pStyle w:val="BodyText"/>
            </w:pPr>
          </w:p>
          <w:p w:rsidR="00000000" w:rsidRPr="00330A35" w:rsidP="00330A35">
            <w:pPr>
              <w:pStyle w:val="BodyText"/>
            </w:pPr>
            <w:r w:rsidRPr="00330A35">
              <w:t xml:space="preserve">Incident response actions must: </w:t>
            </w:r>
          </w:p>
          <w:p w:rsidR="00000000" w:rsidRPr="00330A35" w:rsidP="00330A35">
            <w:pPr>
              <w:pStyle w:val="ListBullet"/>
            </w:pPr>
            <w:r w:rsidRPr="00330A35">
              <w:t>be in accordance with and relevant to organisation procedures</w:t>
            </w:r>
          </w:p>
          <w:p w:rsidR="00000000" w:rsidRPr="00330A35" w:rsidP="00330A35">
            <w:pPr>
              <w:pStyle w:val="ListBullet"/>
            </w:pPr>
            <w:r w:rsidRPr="00330A35">
              <w:t>use appropriate response equipment, where required</w:t>
            </w:r>
          </w:p>
          <w:p w:rsidR="00000000" w:rsidRPr="00330A35" w:rsidP="00330A35">
            <w:pPr>
              <w:pStyle w:val="ListBullet"/>
            </w:pPr>
            <w:r w:rsidRPr="00330A35">
              <w:t>prioritise the safety and/or succes</w:t>
            </w:r>
            <w:r w:rsidRPr="00330A35">
              <w:t xml:space="preserve">sful recovery of personnel and others affected by the incident response </w:t>
            </w:r>
          </w:p>
          <w:p w:rsidR="00000000" w:rsidRPr="00330A35" w:rsidP="00330A35">
            <w:pPr>
              <w:pStyle w:val="ListBullet"/>
            </w:pPr>
            <w:r w:rsidRPr="00330A35">
              <w:rPr>
                <w:rStyle w:val="SpecialBold"/>
              </w:rPr>
              <w:t>not</w:t>
            </w:r>
            <w:r w:rsidRPr="00330A35">
              <w:t xml:space="preserve"> inhibit effectiveness of the incident response or further contribute to the incident</w:t>
            </w:r>
          </w:p>
          <w:p w:rsidR="00000000" w:rsidP="00330A35">
            <w:pPr>
              <w:pStyle w:val="BodyText"/>
              <w:rPr>
                <w:lang w:val="en-NZ"/>
              </w:rPr>
            </w:pPr>
          </w:p>
        </w:tc>
      </w:tr>
      <w:tr w:rsidTr="002F0D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A35">
            <w:pPr>
              <w:pStyle w:val="BodyText"/>
              <w:rPr>
                <w:lang w:val="en-NZ"/>
              </w:rPr>
            </w:pPr>
            <w:r w:rsidRPr="00330A3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30A35" w:rsidP="00330A35">
            <w:pPr>
              <w:pStyle w:val="BodyText"/>
            </w:pPr>
            <w:r w:rsidRPr="00330A35">
              <w:t>Equipment and tools include one or more of the following:</w:t>
            </w:r>
          </w:p>
          <w:p w:rsidR="00000000" w:rsidRPr="00330A35" w:rsidP="00330A35">
            <w:pPr>
              <w:pStyle w:val="ListBullet"/>
            </w:pPr>
            <w:r w:rsidRPr="00330A35">
              <w:t>schematics, d</w:t>
            </w:r>
            <w:r w:rsidRPr="00330A35">
              <w:t>esigns, detail drawings and maps/charts</w:t>
            </w:r>
          </w:p>
          <w:p w:rsidR="00000000" w:rsidRPr="00330A35" w:rsidP="00330A35">
            <w:pPr>
              <w:pStyle w:val="ListBullet"/>
            </w:pPr>
            <w:r w:rsidRPr="00330A35">
              <w:t>data systems, computers systems and electronic aids</w:t>
            </w:r>
          </w:p>
          <w:p w:rsidR="00000000" w:rsidRPr="00330A35" w:rsidP="00330A35">
            <w:pPr>
              <w:pStyle w:val="ListBullet"/>
            </w:pPr>
            <w:r w:rsidRPr="00330A35">
              <w:t>manuals, designs, operation procedures and instructions</w:t>
            </w:r>
          </w:p>
          <w:p w:rsidR="00000000" w:rsidRPr="00330A35" w:rsidP="00330A35">
            <w:pPr>
              <w:pStyle w:val="ListBullet"/>
            </w:pPr>
            <w:r w:rsidRPr="00330A35">
              <w:t>emergency vehicles or equipment</w:t>
            </w:r>
          </w:p>
          <w:p w:rsidR="00000000" w:rsidRPr="00330A35" w:rsidP="00330A35">
            <w:pPr>
              <w:pStyle w:val="ListBullet"/>
            </w:pPr>
            <w:r w:rsidRPr="00330A35">
              <w:t>vessels and aircraft</w:t>
            </w:r>
          </w:p>
          <w:p w:rsidR="00000000" w:rsidRPr="00330A35" w:rsidP="00330A35">
            <w:pPr>
              <w:pStyle w:val="ListBullet"/>
            </w:pPr>
            <w:r w:rsidRPr="00330A35">
              <w:t>rescue equipment</w:t>
            </w:r>
          </w:p>
          <w:p w:rsidR="00000000" w:rsidRPr="00330A35" w:rsidP="00330A35">
            <w:pPr>
              <w:pStyle w:val="ListBullet"/>
            </w:pPr>
            <w:r w:rsidRPr="00330A35">
              <w:t>first aid equipment</w:t>
            </w:r>
          </w:p>
          <w:p w:rsidR="00000000" w:rsidRPr="00330A35" w:rsidP="00330A35">
            <w:pPr>
              <w:pStyle w:val="BodyText"/>
            </w:pPr>
          </w:p>
        </w:tc>
      </w:tr>
    </w:tbl>
    <w:p w:rsidR="00000000" w:rsidRPr="00330A35" w:rsidP="00330A35">
      <w:pPr>
        <w:pStyle w:val="BodyText"/>
      </w:pPr>
    </w:p>
    <w:p w:rsidR="00000000" w:rsidRPr="00330A35" w:rsidP="00330A35">
      <w:pPr>
        <w:pStyle w:val="AllowPageBreak"/>
      </w:pPr>
    </w:p>
    <w:p w:rsidR="00000000" w:rsidRPr="00330A35" w:rsidP="00330A35">
      <w:pPr>
        <w:pStyle w:val="Heading1"/>
      </w:pPr>
      <w:bookmarkStart w:id="9" w:name="O_908868"/>
      <w:bookmarkEnd w:id="9"/>
      <w:r w:rsidRPr="00330A35">
        <w:t>Unit Mapping Information</w:t>
      </w:r>
    </w:p>
    <w:p w:rsidR="00000000" w:rsidRPr="00330A35" w:rsidP="002F0DDF">
      <w:pPr>
        <w:pStyle w:val="BodyText"/>
      </w:pPr>
      <w:r w:rsidRPr="00330A35">
        <w:t>Release 1. Supersedes and is equivalent to PMAOMIR418B Coordinate incident response</w:t>
      </w:r>
    </w:p>
    <w:p w:rsidR="00000000" w:rsidRPr="00330A35" w:rsidP="00330A35">
      <w:pPr>
        <w:pStyle w:val="Heading1"/>
      </w:pPr>
      <w:bookmarkStart w:id="10" w:name="O_908861"/>
      <w:bookmarkEnd w:id="10"/>
      <w:r w:rsidRPr="00330A35">
        <w:t>Links</w:t>
      </w:r>
    </w:p>
    <w:p w:rsidR="00000000" w:rsidRPr="00330A35" w:rsidP="002F0DDF">
      <w:pPr>
        <w:pStyle w:val="BodyText"/>
      </w:pPr>
      <w:r w:rsidRPr="00330A3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37655">
        <w:rPr>
          <w:rStyle w:val="Hyperlink"/>
        </w:rPr>
        <w:t>https://vetnet.gov.au/Pages/TrainingDocs.aspx?q=9fc2cf53-e570-4e9f-ad6a-b228ffdb6875</w:t>
      </w:r>
      <w:r>
        <w:fldChar w:fldCharType="end"/>
      </w:r>
    </w:p>
    <w:p w:rsidR="00000000" w:rsidRPr="00330A35" w:rsidP="002F0DDF">
      <w:pPr>
        <w:pStyle w:val="BodyText"/>
        <w:sectPr w:rsidSect="00330A35">
          <w:headerReference w:type="default" r:id="rId10"/>
          <w:footerReference w:type="default" r:id="rId11"/>
          <w:pgSz w:w="11908" w:h="16833"/>
          <w:pgMar w:top="1702" w:right="1418" w:bottom="1702" w:left="1418" w:header="992" w:footer="992" w:gutter="0"/>
          <w:cols w:space="720"/>
          <w:noEndnote/>
          <w:docGrid w:linePitch="299"/>
        </w:sectPr>
      </w:pPr>
    </w:p>
    <w:p w:rsidR="00000000" w:rsidRPr="00330A35" w:rsidP="00330A35">
      <w:pPr>
        <w:pStyle w:val="SuperHeading"/>
      </w:pPr>
      <w:r w:rsidRPr="00330A35">
        <w:t>Assessment Requirements for PMAOMIR418 Coordinate incident response</w:t>
      </w:r>
    </w:p>
    <w:p w:rsidR="00000000" w:rsidRPr="00330A35" w:rsidP="00330A35">
      <w:pPr>
        <w:pStyle w:val="Heading1"/>
      </w:pPr>
      <w:bookmarkStart w:id="11" w:name="O_908863"/>
      <w:bookmarkEnd w:id="11"/>
      <w:r w:rsidRPr="00330A35">
        <w:t>Modification History</w:t>
      </w:r>
    </w:p>
    <w:p w:rsidR="00000000" w:rsidRPr="00330A35" w:rsidP="002F0DDF">
      <w:pPr>
        <w:pStyle w:val="BodyText"/>
      </w:pPr>
      <w:r w:rsidRPr="00330A35">
        <w:t>Release 1. Supersedes and is equivalent to PMAOMIR418B Coordinate incident response</w:t>
      </w:r>
    </w:p>
    <w:p w:rsidR="00000000" w:rsidRPr="00330A35" w:rsidP="00330A35">
      <w:pPr>
        <w:pStyle w:val="Heading1"/>
      </w:pPr>
      <w:bookmarkStart w:id="12" w:name="O_908866"/>
      <w:bookmarkEnd w:id="12"/>
      <w:r w:rsidRPr="00330A35">
        <w:t>Performance Evidence</w:t>
      </w:r>
    </w:p>
    <w:p w:rsidR="00000000" w:rsidRPr="00330A35" w:rsidP="002F0DDF">
      <w:pPr>
        <w:pStyle w:val="BodyText"/>
      </w:pPr>
      <w:r w:rsidRPr="00330A35">
        <w:t>Evidence required to demonstrate competence in this unit must be relevant to and satisfy the requirements of the elements and performance criteria, and include the ability to:</w:t>
      </w:r>
    </w:p>
    <w:p w:rsidR="00000000" w:rsidRPr="00330A35" w:rsidP="00330A35">
      <w:pPr>
        <w:pStyle w:val="ListBullet"/>
      </w:pPr>
      <w:r w:rsidRPr="00330A35">
        <w:t>communicate effectively with internal and external stakeholders in stressful si</w:t>
      </w:r>
      <w:r w:rsidRPr="00330A35">
        <w:t xml:space="preserve">tuations  </w:t>
      </w:r>
    </w:p>
    <w:p w:rsidR="00000000" w:rsidRPr="00330A35" w:rsidP="00330A35">
      <w:pPr>
        <w:pStyle w:val="ListBullet"/>
      </w:pPr>
      <w:r w:rsidRPr="00330A35">
        <w:t>develop and amend incident response tactics based on information available</w:t>
      </w:r>
    </w:p>
    <w:p w:rsidR="00000000" w:rsidRPr="00330A35" w:rsidP="00330A35">
      <w:pPr>
        <w:pStyle w:val="ListBullet"/>
      </w:pPr>
      <w:r w:rsidRPr="00330A35">
        <w:t>negotiate and communicate with internal support structures set up to assist with logistics planning, operations and external affairs</w:t>
      </w:r>
    </w:p>
    <w:p w:rsidR="00000000" w:rsidRPr="00330A35" w:rsidP="00330A35">
      <w:pPr>
        <w:pStyle w:val="ListBullet"/>
      </w:pPr>
      <w:r w:rsidRPr="00330A35">
        <w:t xml:space="preserve">identify resource needs and allocate </w:t>
      </w:r>
      <w:r w:rsidRPr="00330A35">
        <w:t xml:space="preserve">and manage resources </w:t>
      </w:r>
    </w:p>
    <w:p w:rsidR="00000000" w:rsidRPr="00330A35" w:rsidP="00330A35">
      <w:pPr>
        <w:pStyle w:val="ListBullet"/>
      </w:pPr>
      <w:r w:rsidRPr="00330A35">
        <w:t>complete reports and records</w:t>
      </w:r>
    </w:p>
    <w:p w:rsidR="00000000" w:rsidRPr="00330A35" w:rsidP="00330A35">
      <w:pPr>
        <w:pStyle w:val="ListBullet"/>
      </w:pPr>
      <w:r w:rsidRPr="00330A35">
        <w:t>read and interpret information from a range of sources including procedures, reports, numerical information and charts.</w:t>
      </w:r>
    </w:p>
    <w:p w:rsidR="00000000" w:rsidRPr="00330A35" w:rsidP="00330A35">
      <w:pPr>
        <w:pStyle w:val="AllowPageBreak"/>
      </w:pPr>
    </w:p>
    <w:p w:rsidR="00000000" w:rsidRPr="00330A35" w:rsidP="00330A35">
      <w:pPr>
        <w:pStyle w:val="Heading1"/>
      </w:pPr>
      <w:bookmarkStart w:id="13" w:name="O_908865"/>
      <w:bookmarkEnd w:id="13"/>
      <w:r w:rsidRPr="00330A35">
        <w:t>Knowledge Evidence</w:t>
      </w:r>
    </w:p>
    <w:p w:rsidR="00000000" w:rsidRPr="00330A35" w:rsidP="002F0DDF">
      <w:pPr>
        <w:pStyle w:val="BodyText"/>
      </w:pPr>
      <w:r w:rsidRPr="00330A35">
        <w:t>Evidence must be provided that demonstrates knowl</w:t>
      </w:r>
      <w:r w:rsidRPr="00330A35">
        <w:t>edge of:</w:t>
      </w:r>
    </w:p>
    <w:p w:rsidR="00000000" w:rsidRPr="00330A35" w:rsidP="00330A35">
      <w:pPr>
        <w:pStyle w:val="ListBullet"/>
      </w:pPr>
      <w:r w:rsidRPr="00330A35">
        <w:t xml:space="preserve">regulatory framework </w:t>
      </w:r>
    </w:p>
    <w:p w:rsidR="00000000" w:rsidRPr="00330A35" w:rsidP="00330A35">
      <w:pPr>
        <w:pStyle w:val="ListBullet"/>
      </w:pPr>
      <w:r w:rsidRPr="00330A35">
        <w:t>organisational procedures, including those covering:</w:t>
      </w:r>
    </w:p>
    <w:p w:rsidR="00000000" w:rsidRPr="00330A35" w:rsidP="00330A35">
      <w:pPr>
        <w:pStyle w:val="ListBullet2"/>
      </w:pPr>
      <w:r w:rsidRPr="00330A35">
        <w:t>safety, hazards and hazard control</w:t>
      </w:r>
    </w:p>
    <w:p w:rsidR="00000000" w:rsidRPr="00330A35" w:rsidP="00330A35">
      <w:pPr>
        <w:pStyle w:val="ListBullet2"/>
      </w:pPr>
      <w:r w:rsidRPr="00330A35">
        <w:t xml:space="preserve">incident, fire and accident </w:t>
      </w:r>
    </w:p>
    <w:p w:rsidR="00000000" w:rsidRPr="00330A35" w:rsidP="00330A35">
      <w:pPr>
        <w:pStyle w:val="ListBullet2"/>
      </w:pPr>
      <w:r w:rsidRPr="00330A35">
        <w:t>environmental protection</w:t>
      </w:r>
    </w:p>
    <w:p w:rsidR="00000000" w:rsidRPr="00330A35" w:rsidP="00330A35">
      <w:pPr>
        <w:pStyle w:val="ListBullet2"/>
      </w:pPr>
      <w:r w:rsidRPr="00330A35">
        <w:t>risk assessment/risk management</w:t>
      </w:r>
    </w:p>
    <w:p w:rsidR="00000000" w:rsidRPr="00330A35" w:rsidP="00330A35">
      <w:pPr>
        <w:pStyle w:val="ListBullet2"/>
      </w:pPr>
      <w:r w:rsidRPr="00330A35">
        <w:t>relevant facility fire management and safety systems</w:t>
      </w:r>
    </w:p>
    <w:p w:rsidR="00000000" w:rsidRPr="00330A35" w:rsidP="00330A35">
      <w:pPr>
        <w:pStyle w:val="ListBullet2"/>
      </w:pPr>
      <w:r w:rsidRPr="00330A35">
        <w:t>communication systems</w:t>
      </w:r>
    </w:p>
    <w:p w:rsidR="00000000" w:rsidRPr="00330A35" w:rsidP="00330A35">
      <w:pPr>
        <w:pStyle w:val="ListBullet2"/>
      </w:pPr>
      <w:r w:rsidRPr="00330A35">
        <w:t>emergency response plans</w:t>
      </w:r>
    </w:p>
    <w:p w:rsidR="00000000" w:rsidRPr="00330A35" w:rsidP="00330A35">
      <w:pPr>
        <w:pStyle w:val="ListBullet"/>
      </w:pPr>
      <w:r w:rsidRPr="00330A35">
        <w:t>hazard identification and control</w:t>
      </w:r>
    </w:p>
    <w:p w:rsidR="00000000" w:rsidRPr="00330A35" w:rsidP="00330A35">
      <w:pPr>
        <w:pStyle w:val="ListBullet"/>
      </w:pPr>
      <w:r w:rsidRPr="00330A35">
        <w:t>incident management techniques and tactics</w:t>
      </w:r>
    </w:p>
    <w:p w:rsidR="00000000" w:rsidRPr="00330A35" w:rsidP="00330A35">
      <w:pPr>
        <w:pStyle w:val="ListBullet"/>
      </w:pPr>
      <w:r w:rsidRPr="00330A35">
        <w:t>operational duration of essential equipment</w:t>
      </w:r>
    </w:p>
    <w:p w:rsidR="00000000" w:rsidRPr="00330A35" w:rsidP="00330A35">
      <w:pPr>
        <w:pStyle w:val="ListBullet"/>
      </w:pPr>
      <w:r w:rsidRPr="00330A35">
        <w:t>how to communicate effectively und</w:t>
      </w:r>
      <w:r w:rsidRPr="00330A35">
        <w:t>er stress.</w:t>
      </w:r>
    </w:p>
    <w:p w:rsidR="00000000" w:rsidRPr="00330A35" w:rsidP="00330A35">
      <w:pPr>
        <w:pStyle w:val="AllowPageBreak"/>
      </w:pPr>
    </w:p>
    <w:p w:rsidR="00000000" w:rsidRPr="00330A35" w:rsidP="00330A35">
      <w:pPr>
        <w:pStyle w:val="Heading1"/>
      </w:pPr>
      <w:bookmarkStart w:id="14" w:name="O_908864"/>
      <w:bookmarkEnd w:id="14"/>
      <w:r w:rsidRPr="00330A35">
        <w:t>Assessment Conditions</w:t>
      </w:r>
    </w:p>
    <w:p w:rsidR="00000000" w:rsidRPr="00330A35" w:rsidP="00330A35">
      <w:pPr>
        <w:pStyle w:val="ListBullet"/>
      </w:pPr>
      <w:r w:rsidRPr="00330A35">
        <w:t xml:space="preserve">Competency must be achieved before performing this work unsupervised. Therefore this unit will typically </w:t>
      </w:r>
      <w:r w:rsidRPr="00330A35">
        <w:t>be assessed off the job. Where assessment is undertaken on the job, appropriate supervision and safety precautions must be provided.</w:t>
      </w:r>
    </w:p>
    <w:p w:rsidR="00000000" w:rsidRPr="00330A35" w:rsidP="00330A35">
      <w:pPr>
        <w:pStyle w:val="ListBullet"/>
      </w:pPr>
      <w:r w:rsidRPr="00330A35">
        <w:t xml:space="preserve">The unit should be assessed holistically and the judgement of competence based on a holistic assessment of the evidence. </w:t>
      </w:r>
    </w:p>
    <w:p w:rsidR="00000000" w:rsidRPr="00330A35" w:rsidP="00330A35">
      <w:pPr>
        <w:pStyle w:val="ListBullet"/>
      </w:pPr>
      <w:r w:rsidRPr="00330A35">
        <w:t>T</w:t>
      </w:r>
      <w:r w:rsidRPr="00330A35">
        <w:t>he collection of performance evidence:</w:t>
      </w:r>
    </w:p>
    <w:p w:rsidR="00000000" w:rsidRPr="00330A35" w:rsidP="00330A35">
      <w:pPr>
        <w:pStyle w:val="ListBullet2"/>
      </w:pPr>
      <w:r w:rsidRPr="00330A35">
        <w:t xml:space="preserve">should provide evidence of the ability to perform over the range of situations which might be </w:t>
      </w:r>
      <w:r w:rsidRPr="00330A35">
        <w:t>expected to be encountered, including typical disruptions to normal, smooth work conditions</w:t>
      </w:r>
    </w:p>
    <w:p w:rsidR="00000000" w:rsidRPr="00330A35" w:rsidP="00330A35">
      <w:pPr>
        <w:pStyle w:val="ListBullet2"/>
      </w:pPr>
      <w:r w:rsidRPr="00330A35">
        <w:t xml:space="preserve">must include coordinating the </w:t>
      </w:r>
      <w:r w:rsidRPr="00330A35">
        <w:t>response to a simulated incident, the use of appropriate tools, equipment and safety gear requiring demonstration of preparation, operation, completion and responding to problems</w:t>
      </w:r>
    </w:p>
    <w:p w:rsidR="00000000" w:rsidRPr="00330A35" w:rsidP="00330A35">
      <w:pPr>
        <w:pStyle w:val="ListBullet2"/>
      </w:pPr>
      <w:r w:rsidRPr="00330A35">
        <w:t>may use industry-based simulation particularly where safety, lack of opportun</w:t>
      </w:r>
      <w:r w:rsidRPr="00330A35">
        <w:t>ity or significant cost is an issue.</w:t>
      </w:r>
    </w:p>
    <w:p w:rsidR="00000000" w:rsidRPr="00330A35" w:rsidP="00330A35">
      <w:pPr>
        <w:pStyle w:val="ListBullet"/>
      </w:pPr>
      <w:r w:rsidRPr="00330A35">
        <w:t>Off-the-job assessment must sufficiently reflect realistic operational workplace conditions that cover all aspects of workplace performance, including environment, task skills, task management skills, contingency manag</w:t>
      </w:r>
      <w:r w:rsidRPr="00330A35">
        <w:t xml:space="preserve">ement skills and job role environment skills. </w:t>
      </w:r>
    </w:p>
    <w:p w:rsidR="00000000" w:rsidRPr="00330A35" w:rsidP="00330A35">
      <w:pPr>
        <w:pStyle w:val="ListBullet"/>
      </w:pPr>
      <w:r w:rsidRPr="00330A35">
        <w:t xml:space="preserve">Assessment in a simulated environment should use evidence collected from one or more of: </w:t>
      </w:r>
    </w:p>
    <w:p w:rsidR="00000000" w:rsidRPr="00330A35" w:rsidP="00330A35">
      <w:pPr>
        <w:pStyle w:val="ListBullet2"/>
      </w:pPr>
      <w:r w:rsidRPr="00330A35">
        <w:t>walk-throughs</w:t>
      </w:r>
    </w:p>
    <w:p w:rsidR="00000000" w:rsidRPr="00330A35" w:rsidP="00330A35">
      <w:pPr>
        <w:pStyle w:val="ListBullet2"/>
      </w:pPr>
      <w:r w:rsidRPr="00330A35">
        <w:t xml:space="preserve">demonstration of skills </w:t>
      </w:r>
    </w:p>
    <w:p w:rsidR="00000000" w:rsidRPr="00330A35" w:rsidP="00330A35">
      <w:pPr>
        <w:pStyle w:val="ListBullet2"/>
      </w:pPr>
      <w:r w:rsidRPr="00330A35">
        <w:t xml:space="preserve">industry based case studies/scenarios </w:t>
      </w:r>
    </w:p>
    <w:p w:rsidR="00000000" w:rsidRPr="00330A35" w:rsidP="00330A35">
      <w:pPr>
        <w:pStyle w:val="ListBullet2"/>
      </w:pPr>
      <w:r w:rsidRPr="00330A35">
        <w:t>‘what ifs’.</w:t>
      </w:r>
    </w:p>
    <w:p w:rsidR="00000000" w:rsidRPr="00330A35" w:rsidP="00330A35">
      <w:pPr>
        <w:pStyle w:val="ListBullet"/>
      </w:pPr>
      <w:r w:rsidRPr="00330A35">
        <w:t xml:space="preserve">Knowledge evidence may be collected concurrently with performance evidence (provided a record is kept) or through an independent process, such as workbooks, written assessments or interviews (provided a record is kept). </w:t>
      </w:r>
    </w:p>
    <w:p w:rsidR="00000000" w:rsidRPr="00330A35" w:rsidP="00330A35">
      <w:pPr>
        <w:pStyle w:val="ListBullet"/>
      </w:pPr>
      <w:r w:rsidRPr="00330A35">
        <w:t>Assessment processes and techniques</w:t>
      </w:r>
      <w:r w:rsidRPr="00330A35">
        <w:t xml:space="preserve"> must be appropriate to the language, literacy and numeracy requirements of the work being performed and the needs of the candidate.</w:t>
      </w:r>
    </w:p>
    <w:p w:rsidR="00000000" w:rsidRPr="00330A35" w:rsidP="00330A35">
      <w:pPr>
        <w:pStyle w:val="ListBullet"/>
      </w:pPr>
      <w:r w:rsidRPr="00330A35">
        <w:t>Conditions for assessment must include access to all tools, equipment, materials and documentation required, including rele</w:t>
      </w:r>
      <w:r w:rsidRPr="00330A35">
        <w:t>vant workplace procedures, product and manufacturing specifications associated with this unit.</w:t>
      </w:r>
    </w:p>
    <w:p w:rsidR="00000000" w:rsidRPr="00330A35" w:rsidP="00330A35">
      <w:pPr>
        <w:pStyle w:val="ListBullet"/>
      </w:pPr>
      <w:r w:rsidRPr="00330A35">
        <w:t>Foundation skills are integral to competent performance of the unit and should not be assessed separately.</w:t>
      </w:r>
    </w:p>
    <w:p w:rsidR="00000000" w:rsidRPr="00330A35" w:rsidP="00330A35">
      <w:pPr>
        <w:pStyle w:val="ListBullet"/>
      </w:pPr>
      <w:r w:rsidRPr="00330A35">
        <w:t>Assessors must satisfy the assessor competency require</w:t>
      </w:r>
      <w:r w:rsidRPr="00330A35">
        <w:t>ments that are in place at the time of the assessment as set by the VET regulator.</w:t>
      </w:r>
    </w:p>
    <w:p w:rsidR="00000000" w:rsidRPr="00330A35" w:rsidP="00330A35">
      <w:pPr>
        <w:pStyle w:val="ListBullet"/>
      </w:pPr>
      <w:r w:rsidRPr="00330A35">
        <w:t>In addition, the assessor or anyone acting in subject matter expert role in assessment must demonstrate both technical competency and currency. If the assessor cannot demons</w:t>
      </w:r>
      <w:r w:rsidRPr="00330A35">
        <w:t xml:space="preserve">trate technical competency and currency they must assess with a subject matter expert who does meet these requirements. </w:t>
      </w:r>
    </w:p>
    <w:p w:rsidR="00000000" w:rsidRPr="00330A35" w:rsidP="00330A35">
      <w:pPr>
        <w:pStyle w:val="ListBullet"/>
      </w:pPr>
      <w:r w:rsidRPr="00330A35">
        <w:t>Technical competence can be demonstrated through one or more of:</w:t>
      </w:r>
    </w:p>
    <w:p w:rsidR="00000000" w:rsidRPr="00330A35" w:rsidP="00330A35">
      <w:pPr>
        <w:pStyle w:val="ListBullet2"/>
      </w:pPr>
      <w:r w:rsidRPr="00330A35">
        <w:t xml:space="preserve">relevant VET or other qualification/Statement of Attainment </w:t>
      </w:r>
    </w:p>
    <w:p w:rsidR="00000000" w:rsidRPr="00330A35" w:rsidP="00330A35">
      <w:pPr>
        <w:pStyle w:val="ListBullet2"/>
      </w:pPr>
      <w:r w:rsidRPr="00330A35">
        <w:t>appropri</w:t>
      </w:r>
      <w:r w:rsidRPr="00330A35">
        <w:t xml:space="preserve">ate workplace experience undertaking the type of work being assessed under routine and non-routine conditions </w:t>
      </w:r>
    </w:p>
    <w:p w:rsidR="00000000" w:rsidRPr="00330A35" w:rsidP="00330A35">
      <w:pPr>
        <w:pStyle w:val="ListBullet2"/>
      </w:pPr>
      <w:r w:rsidRPr="00330A35">
        <w:t>appropriate workplace experience supervising/evaluating the type of work being assessed under routine and non-routine conditions</w:t>
      </w:r>
    </w:p>
    <w:p w:rsidR="00000000" w:rsidRPr="00330A35" w:rsidP="00330A35">
      <w:pPr>
        <w:pStyle w:val="ListBullet"/>
      </w:pPr>
      <w:r w:rsidRPr="00330A35">
        <w:t>Currency can be</w:t>
      </w:r>
      <w:r w:rsidRPr="00330A35">
        <w:t xml:space="preserve"> demonstrated through one or more of:</w:t>
      </w:r>
    </w:p>
    <w:p w:rsidR="00000000" w:rsidRPr="00330A35" w:rsidP="00330A35">
      <w:pPr>
        <w:pStyle w:val="ListBullet2"/>
      </w:pPr>
      <w:r w:rsidRPr="00330A35">
        <w:t xml:space="preserve">being currently employed undertaking the type of work being assessed </w:t>
      </w:r>
    </w:p>
    <w:p w:rsidR="00000000" w:rsidRPr="00330A35" w:rsidP="00330A35">
      <w:pPr>
        <w:pStyle w:val="ListBullet2"/>
      </w:pPr>
      <w:r w:rsidRPr="00330A35">
        <w:t>being employed by the organisation undertaking the type of work being assessed and having maintained currency in accordance with that organisation’</w:t>
      </w:r>
      <w:r w:rsidRPr="00330A35">
        <w:t xml:space="preserve">s policies and procedures </w:t>
      </w:r>
    </w:p>
    <w:p w:rsidR="00000000" w:rsidRPr="00330A35" w:rsidP="00330A35">
      <w:pPr>
        <w:pStyle w:val="ListBullet2"/>
      </w:pPr>
      <w:r w:rsidRPr="00330A35">
        <w:t xml:space="preserve">having consulted/had contact with an organisation undertaking the type of work being assessed within the last twelve months, the consultation/contact being related to assessment </w:t>
      </w:r>
    </w:p>
    <w:p w:rsidR="00000000" w:rsidRPr="00330A35" w:rsidP="00330A35">
      <w:pPr>
        <w:pStyle w:val="ListBullet2"/>
      </w:pPr>
      <w:r w:rsidRPr="00330A35">
        <w:t>conducting on-the</w:t>
      </w:r>
      <w:r w:rsidRPr="00330A35">
        <w:t xml:space="preserve">-job training/assessments of the type of work being assessed </w:t>
      </w:r>
    </w:p>
    <w:p w:rsidR="00000000" w:rsidRPr="00330A35" w:rsidP="00330A35">
      <w:pPr>
        <w:pStyle w:val="ListBullet2"/>
      </w:pPr>
      <w:r w:rsidRPr="00330A35">
        <w:t>being an active member of a relevant professional body and participating in activities relevant to the assessment of this type of work</w:t>
      </w:r>
    </w:p>
    <w:p w:rsidR="00000000" w:rsidRPr="00330A35" w:rsidP="00330A35">
      <w:pPr>
        <w:pStyle w:val="AllowPageBreak"/>
      </w:pPr>
    </w:p>
    <w:p w:rsidR="00000000" w:rsidRPr="00330A35" w:rsidP="00330A35">
      <w:pPr>
        <w:pStyle w:val="Heading1"/>
      </w:pPr>
      <w:bookmarkStart w:id="15" w:name="O_908862"/>
      <w:bookmarkEnd w:id="15"/>
      <w:r w:rsidRPr="00330A35">
        <w:t>Links</w:t>
      </w:r>
    </w:p>
    <w:p w:rsidR="00000000" w:rsidRPr="00330A35" w:rsidP="002F0DDF">
      <w:pPr>
        <w:pStyle w:val="BodyText"/>
      </w:pPr>
      <w:r w:rsidRPr="00330A35">
        <w:t>Companion Volume implementation guid</w:t>
      </w:r>
      <w:r w:rsidRPr="00330A35">
        <w:t xml:space="preserve">es are found in VETNet - </w:t>
      </w:r>
      <w:r>
        <w:fldChar w:fldCharType="begin"/>
      </w:r>
      <w:r>
        <w:instrText xml:space="preserve"> HYPERLINK "https://vetnet.gov.au/Pages/TrainingDocs.aspx?q=9fc2cf53-e570-4e9f-ad6a-b228ffdb6875" </w:instrText>
      </w:r>
      <w:r>
        <w:fldChar w:fldCharType="separate"/>
      </w:r>
      <w:r w:rsidRPr="00937655">
        <w:rPr>
          <w:rStyle w:val="Hyperlink"/>
        </w:rPr>
        <w:t>https://vetnet.gov.au/Pages/TrainingDocs.aspx?q=9fc2cf53-e570-4e9f-ad6a-b228ffdb6875</w:t>
      </w:r>
      <w:r>
        <w:fldChar w:fldCharType="end"/>
      </w:r>
    </w:p>
    <w:p w:rsidR="00000000" w:rsidRPr="00330A35" w:rsidP="00330A35"/>
    <w:sectPr w:rsidSect="00330A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rsidRPr="002F0DDF" w:rsidP="002F0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DF" w:rsidP="00330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0DDF" w:rsidP="00330A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0DDF" w:rsidP="00330A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rsidP="00330A35">
    <w:pPr>
      <w:pStyle w:val="Footer"/>
      <w:framePr w:wrap="around"/>
    </w:pPr>
    <w:r>
      <w:fldChar w:fldCharType="begin"/>
    </w:r>
    <w:r>
      <w:instrText xml:space="preserve"> DOCPROPERTY  Subject  \* MERGEFORMAT </w:instrText>
    </w:r>
    <w:r>
      <w:fldChar w:fldCharType="separate"/>
    </w:r>
    <w:r w:rsidR="002F0DDF">
      <w:t>Approved</w:t>
    </w:r>
    <w:r w:rsidR="002F0DDF">
      <w:fldChar w:fldCharType="end"/>
    </w:r>
    <w:r>
      <w:tab/>
      <w:t xml:space="preserve">Page </w:t>
    </w:r>
    <w:r>
      <w:fldChar w:fldCharType="begin"/>
    </w:r>
    <w:r>
      <w:instrText xml:space="preserve"> PAGE  \* Arabic  \* MERGEFORMAT </w:instrText>
    </w:r>
    <w:r>
      <w:fldChar w:fldCharType="separate"/>
    </w:r>
    <w:r w:rsidR="002F0D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DDF">
      <w:rPr>
        <w:noProof/>
      </w:rPr>
      <w:t>6</w:t>
    </w:r>
    <w:r>
      <w:rPr>
        <w:noProof/>
      </w:rPr>
      <w:fldChar w:fldCharType="end"/>
    </w:r>
  </w:p>
  <w:p w:rsidR="00330A35" w:rsidP="00330A35">
    <w:pPr>
      <w:pStyle w:val="Footer"/>
      <w:framePr w:wrap="around"/>
    </w:pPr>
    <w:r>
      <w:t xml:space="preserve">© Commonwealth of Australia, </w:t>
    </w:r>
    <w:r>
      <w:fldChar w:fldCharType="begin"/>
    </w:r>
    <w:r>
      <w:instrText xml:space="preserve"> DATE  \@ "yyyy"  \* MERGEFORMAT </w:instrText>
    </w:r>
    <w:r>
      <w:fldChar w:fldCharType="separate"/>
    </w:r>
    <w:r w:rsidR="002F0DDF">
      <w:rPr>
        <w:noProof/>
      </w:rPr>
      <w:t>2025</w:t>
    </w:r>
    <w:r>
      <w:fldChar w:fldCharType="end"/>
    </w:r>
    <w:r>
      <w:tab/>
    </w:r>
    <w:r>
      <w:fldChar w:fldCharType="begin"/>
    </w:r>
    <w:r>
      <w:instrText xml:space="preserve"> DOCPROPERTY  Author  \* MERGEFORMAT </w:instrText>
    </w:r>
    <w:r>
      <w:fldChar w:fldCharType="separate"/>
    </w:r>
    <w:r w:rsidR="002F0DDF">
      <w:t>Manufacturing Industry Skills Alliance</w:t>
    </w:r>
    <w:r w:rsidR="002F0DDF">
      <w:fldChar w:fldCharType="end"/>
    </w:r>
  </w:p>
  <w:p w:rsidR="00330A35" w:rsidP="00330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A35" w:rsidRPr="002F0DDF" w:rsidP="002F0D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DF" w:rsidRPr="002D2AF8" w:rsidP="00330A35">
    <w:pPr>
      <w:pStyle w:val="Header"/>
      <w:framePr w:wrap="around"/>
    </w:pPr>
    <w:r>
      <w:fldChar w:fldCharType="begin"/>
    </w:r>
    <w:r>
      <w:instrText xml:space="preserve"> TITLE   \* MERGEFORMAT </w:instrText>
    </w:r>
    <w:r>
      <w:fldChar w:fldCharType="separate"/>
    </w:r>
    <w:r>
      <w:t>PMAOMIR418 Coordinate incident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0DDF" w:rsidP="00330A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5" w:rsidRPr="002D2AF8" w:rsidP="00330A35">
    <w:pPr>
      <w:pStyle w:val="Header"/>
      <w:framePr w:wrap="around"/>
    </w:pPr>
    <w:r>
      <w:fldChar w:fldCharType="begin"/>
    </w:r>
    <w:r>
      <w:instrText xml:space="preserve"> TITLE   \* MERGEFORMAT </w:instrText>
    </w:r>
    <w:r>
      <w:fldChar w:fldCharType="separate"/>
    </w:r>
    <w:r w:rsidR="002F0DDF">
      <w:t>PMAOMIR418 Coordinate incident response</w:t>
    </w:r>
    <w:r w:rsidR="002F0DDF">
      <w:fldChar w:fldCharType="end"/>
    </w:r>
    <w:r>
      <w:tab/>
      <w:t xml:space="preserve">Date this document was generated: </w:t>
    </w:r>
    <w:r>
      <w:fldChar w:fldCharType="begin"/>
    </w:r>
    <w:r>
      <w:instrText xml:space="preserve"> CREATEDATE  \@ "d MMMM yyyy"  \* MERGEFORMAT </w:instrText>
    </w:r>
    <w:r>
      <w:fldChar w:fldCharType="separate"/>
    </w:r>
    <w:r w:rsidR="002F0DDF">
      <w:rPr>
        <w:noProof/>
      </w:rPr>
      <w:t>1 March 2025</w:t>
    </w:r>
    <w:r>
      <w:fldChar w:fldCharType="end"/>
    </w:r>
  </w:p>
  <w:p w:rsidR="00330A35" w:rsidP="00330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2A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DC9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69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A35"/>
    <w:pPr>
      <w:spacing w:before="360" w:after="60"/>
      <w:outlineLvl w:val="0"/>
    </w:pPr>
    <w:rPr>
      <w:sz w:val="32"/>
    </w:rPr>
  </w:style>
  <w:style w:type="paragraph" w:styleId="Heading2">
    <w:name w:val="heading 2"/>
    <w:basedOn w:val="HeadingBase"/>
    <w:next w:val="BodyText"/>
    <w:link w:val="Heading2Char"/>
    <w:qFormat/>
    <w:rsid w:val="00330A35"/>
    <w:pPr>
      <w:keepLines/>
      <w:spacing w:before="240" w:after="120"/>
      <w:outlineLvl w:val="1"/>
    </w:pPr>
    <w:rPr>
      <w:sz w:val="28"/>
      <w:szCs w:val="40"/>
    </w:rPr>
  </w:style>
  <w:style w:type="paragraph" w:styleId="Heading3">
    <w:name w:val="heading 3"/>
    <w:basedOn w:val="HeadingBase"/>
    <w:next w:val="BodyText"/>
    <w:link w:val="Heading3Char"/>
    <w:qFormat/>
    <w:rsid w:val="00330A35"/>
    <w:pPr>
      <w:spacing w:before="180" w:after="120"/>
      <w:outlineLvl w:val="2"/>
    </w:pPr>
    <w:rPr>
      <w:spacing w:val="-10"/>
      <w:kern w:val="32"/>
    </w:rPr>
  </w:style>
  <w:style w:type="paragraph" w:styleId="Heading4">
    <w:name w:val="heading 4"/>
    <w:basedOn w:val="HeadingBase"/>
    <w:next w:val="BodyText"/>
    <w:link w:val="Heading4Char"/>
    <w:qFormat/>
    <w:rsid w:val="00330A35"/>
    <w:pPr>
      <w:spacing w:before="160" w:after="120"/>
      <w:outlineLvl w:val="3"/>
    </w:pPr>
    <w:rPr>
      <w:sz w:val="22"/>
    </w:rPr>
  </w:style>
  <w:style w:type="paragraph" w:styleId="Heading5">
    <w:name w:val="heading 5"/>
    <w:basedOn w:val="HeadingBase"/>
    <w:next w:val="Normal"/>
    <w:link w:val="Heading5Char"/>
    <w:qFormat/>
    <w:rsid w:val="00330A35"/>
    <w:pPr>
      <w:spacing w:before="80"/>
      <w:outlineLvl w:val="4"/>
    </w:pPr>
    <w:rPr>
      <w:color w:val="918585"/>
      <w:sz w:val="20"/>
    </w:rPr>
  </w:style>
  <w:style w:type="paragraph" w:styleId="Heading6">
    <w:name w:val="heading 6"/>
    <w:basedOn w:val="HeadingBase"/>
    <w:next w:val="Normal"/>
    <w:link w:val="Heading6Char"/>
    <w:qFormat/>
    <w:rsid w:val="00330A35"/>
    <w:pPr>
      <w:spacing w:before="60"/>
      <w:outlineLvl w:val="5"/>
    </w:pPr>
    <w:rPr>
      <w:color w:val="918585"/>
      <w:sz w:val="20"/>
    </w:rPr>
  </w:style>
  <w:style w:type="paragraph" w:styleId="Heading7">
    <w:name w:val="heading 7"/>
    <w:basedOn w:val="Normal"/>
    <w:next w:val="Normal"/>
    <w:link w:val="Heading7Char"/>
    <w:qFormat/>
    <w:rsid w:val="00330A35"/>
    <w:pPr>
      <w:ind w:left="720"/>
      <w:outlineLvl w:val="6"/>
    </w:pPr>
    <w:rPr>
      <w:i/>
    </w:rPr>
  </w:style>
  <w:style w:type="paragraph" w:styleId="Heading8">
    <w:name w:val="heading 8"/>
    <w:basedOn w:val="Normal"/>
    <w:next w:val="Normal"/>
    <w:link w:val="Heading8Char"/>
    <w:qFormat/>
    <w:rsid w:val="00330A35"/>
    <w:pPr>
      <w:ind w:left="720"/>
      <w:outlineLvl w:val="7"/>
    </w:pPr>
    <w:rPr>
      <w:i/>
    </w:rPr>
  </w:style>
  <w:style w:type="paragraph" w:styleId="Heading9">
    <w:name w:val="heading 9"/>
    <w:basedOn w:val="Normal"/>
    <w:next w:val="Normal"/>
    <w:link w:val="Heading9Char"/>
    <w:qFormat/>
    <w:rsid w:val="00330A35"/>
    <w:pPr>
      <w:ind w:left="720"/>
      <w:outlineLvl w:val="8"/>
    </w:pPr>
    <w:rPr>
      <w:i/>
    </w:rPr>
  </w:style>
  <w:style w:type="character" w:default="1" w:styleId="DefaultParagraphFont">
    <w:name w:val="Default Paragraph Font"/>
    <w:uiPriority w:val="1"/>
    <w:unhideWhenUsed/>
    <w:rsid w:val="00330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A35"/>
  </w:style>
  <w:style w:type="character" w:customStyle="1" w:styleId="Heading1Char">
    <w:name w:val="Heading 1 Char"/>
    <w:basedOn w:val="DefaultParagraphFont"/>
    <w:link w:val="Heading1"/>
    <w:rsid w:val="00330A35"/>
    <w:rPr>
      <w:rFonts w:ascii="Times New Roman" w:eastAsia="Times New Roman" w:hAnsi="Times New Roman" w:cs="Times New Roman"/>
      <w:b/>
      <w:sz w:val="32"/>
      <w:szCs w:val="20"/>
      <w:lang w:eastAsia="en-US"/>
    </w:rPr>
  </w:style>
  <w:style w:type="paragraph" w:styleId="BodyText">
    <w:name w:val="Body Text"/>
    <w:basedOn w:val="Normal"/>
    <w:link w:val="BodyTextChar"/>
    <w:rsid w:val="00330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A35"/>
    <w:rPr>
      <w:rFonts w:ascii="Times New Roman" w:eastAsia="Times New Roman" w:hAnsi="Times New Roman" w:cs="Times New Roman"/>
      <w:sz w:val="24"/>
      <w:lang w:eastAsia="en-US"/>
    </w:rPr>
  </w:style>
  <w:style w:type="paragraph" w:styleId="ListBullet">
    <w:name w:val="List Bullet"/>
    <w:basedOn w:val="List"/>
    <w:rsid w:val="00330A35"/>
    <w:pPr>
      <w:numPr>
        <w:numId w:val="12"/>
      </w:numPr>
      <w:tabs>
        <w:tab w:val="clear" w:pos="340"/>
      </w:tabs>
      <w:spacing w:before="40" w:after="40"/>
    </w:pPr>
  </w:style>
  <w:style w:type="character" w:customStyle="1" w:styleId="SpecialBold">
    <w:name w:val="Special Bold"/>
    <w:basedOn w:val="DefaultParagraphFont"/>
    <w:rsid w:val="00330A35"/>
    <w:rPr>
      <w:b/>
      <w:spacing w:val="0"/>
    </w:rPr>
  </w:style>
  <w:style w:type="paragraph" w:styleId="ListBullet2">
    <w:name w:val="List Bullet 2"/>
    <w:basedOn w:val="List2"/>
    <w:rsid w:val="00330A35"/>
    <w:pPr>
      <w:numPr>
        <w:numId w:val="13"/>
      </w:numPr>
      <w:tabs>
        <w:tab w:val="clear" w:pos="680"/>
      </w:tabs>
    </w:pPr>
  </w:style>
  <w:style w:type="paragraph" w:customStyle="1" w:styleId="SuperHeading">
    <w:name w:val="SuperHeading"/>
    <w:basedOn w:val="Normal"/>
    <w:rsid w:val="00330A35"/>
    <w:pPr>
      <w:spacing w:before="240" w:after="120"/>
      <w:outlineLvl w:val="0"/>
    </w:pPr>
    <w:rPr>
      <w:rFonts w:ascii="Times New Roman" w:hAnsi="Times New Roman"/>
      <w:b/>
      <w:sz w:val="32"/>
    </w:rPr>
  </w:style>
  <w:style w:type="paragraph" w:customStyle="1" w:styleId="AllowPageBreak">
    <w:name w:val="AllowPageBreak"/>
    <w:rsid w:val="00330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A35"/>
    <w:rPr>
      <w:rFonts w:ascii="Courier New" w:eastAsia="Times New Roman" w:hAnsi="Courier New" w:cs="Times New Roman"/>
      <w:i/>
      <w:szCs w:val="20"/>
      <w:lang w:eastAsia="en-US"/>
    </w:rPr>
  </w:style>
  <w:style w:type="paragraph" w:customStyle="1" w:styleId="HeadingBase">
    <w:name w:val="Heading Base"/>
    <w:rsid w:val="00330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A35"/>
    <w:pPr>
      <w:tabs>
        <w:tab w:val="right" w:leader="dot" w:pos="9072"/>
      </w:tabs>
      <w:ind w:left="567"/>
    </w:pPr>
    <w:rPr>
      <w:szCs w:val="22"/>
    </w:rPr>
  </w:style>
  <w:style w:type="paragraph" w:customStyle="1" w:styleId="TOCBase">
    <w:name w:val="TOC Base"/>
    <w:rsid w:val="00330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A35"/>
    <w:pPr>
      <w:tabs>
        <w:tab w:val="right" w:leader="dot" w:pos="9072"/>
      </w:tabs>
      <w:spacing w:before="40" w:after="40"/>
      <w:ind w:left="284"/>
    </w:pPr>
    <w:rPr>
      <w:rFonts w:ascii="Times New Roman" w:hAnsi="Times New Roman"/>
    </w:rPr>
  </w:style>
  <w:style w:type="paragraph" w:styleId="TOC1">
    <w:name w:val="toc 1"/>
    <w:basedOn w:val="TOCBase"/>
    <w:next w:val="Normal"/>
    <w:rsid w:val="00330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A35"/>
    <w:rPr>
      <w:rFonts w:ascii="Times New Roman" w:eastAsia="Times New Roman" w:hAnsi="Times New Roman" w:cs="Times New Roman"/>
      <w:sz w:val="16"/>
      <w:lang w:eastAsia="en-US"/>
    </w:rPr>
  </w:style>
  <w:style w:type="paragraph" w:styleId="Title">
    <w:name w:val="Title"/>
    <w:basedOn w:val="HeadingBase"/>
    <w:link w:val="TitleChar"/>
    <w:qFormat/>
    <w:rsid w:val="00330A35"/>
    <w:pPr>
      <w:spacing w:before="5040"/>
      <w:jc w:val="center"/>
    </w:pPr>
    <w:rPr>
      <w:sz w:val="48"/>
      <w:szCs w:val="72"/>
      <w:lang w:val="en-US"/>
    </w:rPr>
  </w:style>
  <w:style w:type="character" w:customStyle="1" w:styleId="TitleChar">
    <w:name w:val="Title Char"/>
    <w:basedOn w:val="DefaultParagraphFont"/>
    <w:link w:val="Title"/>
    <w:rsid w:val="00330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A35"/>
    <w:pPr>
      <w:tabs>
        <w:tab w:val="left" w:pos="3600"/>
        <w:tab w:val="left" w:pos="3958"/>
      </w:tabs>
    </w:pPr>
  </w:style>
  <w:style w:type="paragraph" w:styleId="List">
    <w:name w:val="List"/>
    <w:basedOn w:val="BodyText"/>
    <w:next w:val="BodyText"/>
    <w:rsid w:val="00330A35"/>
    <w:pPr>
      <w:tabs>
        <w:tab w:val="left" w:pos="340"/>
      </w:tabs>
      <w:spacing w:before="60" w:after="60"/>
      <w:ind w:left="340" w:hanging="340"/>
    </w:pPr>
  </w:style>
  <w:style w:type="paragraph" w:customStyle="1" w:styleId="Note">
    <w:name w:val="Note"/>
    <w:basedOn w:val="BodyText"/>
    <w:rsid w:val="00330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A35"/>
    <w:pPr>
      <w:framePr w:wrap="auto" w:hAnchor="text" w:y="6049"/>
    </w:pPr>
    <w:rPr>
      <w:color w:val="000000"/>
      <w:sz w:val="40"/>
    </w:rPr>
  </w:style>
  <w:style w:type="paragraph" w:customStyle="1" w:styleId="TOCTitle">
    <w:name w:val="TOCTitle"/>
    <w:basedOn w:val="Heading1"/>
    <w:rsid w:val="00330A35"/>
    <w:pPr>
      <w:spacing w:after="240"/>
      <w:jc w:val="center"/>
      <w:outlineLvl w:val="9"/>
    </w:pPr>
    <w:rPr>
      <w:caps/>
    </w:rPr>
  </w:style>
  <w:style w:type="paragraph" w:customStyle="1" w:styleId="Version">
    <w:name w:val="Version"/>
    <w:rsid w:val="00330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A35"/>
    <w:pPr>
      <w:keepNext w:val="0"/>
      <w:tabs>
        <w:tab w:val="right" w:pos="4176"/>
      </w:tabs>
      <w:ind w:left="198" w:hanging="198"/>
    </w:pPr>
    <w:rPr>
      <w:rFonts w:ascii="Garamond" w:hAnsi="Garamond"/>
    </w:rPr>
  </w:style>
  <w:style w:type="paragraph" w:styleId="IndexHeading">
    <w:name w:val="index heading"/>
    <w:basedOn w:val="Normal"/>
    <w:next w:val="Index1"/>
    <w:semiHidden/>
    <w:rsid w:val="00330A35"/>
    <w:pPr>
      <w:spacing w:before="120" w:after="120"/>
    </w:pPr>
    <w:rPr>
      <w:rFonts w:ascii="Arial" w:hAnsi="Arial"/>
      <w:b/>
      <w:color w:val="918585"/>
      <w:sz w:val="24"/>
    </w:rPr>
  </w:style>
  <w:style w:type="paragraph" w:styleId="Header">
    <w:name w:val="header"/>
    <w:basedOn w:val="Normal"/>
    <w:link w:val="HeaderChar"/>
    <w:rsid w:val="00330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A35"/>
    <w:rPr>
      <w:rFonts w:ascii="Times New Roman" w:eastAsia="Times New Roman" w:hAnsi="Times New Roman" w:cs="Times New Roman"/>
      <w:sz w:val="16"/>
      <w:szCs w:val="20"/>
      <w:lang w:val="en-GB" w:eastAsia="en-US"/>
    </w:rPr>
  </w:style>
  <w:style w:type="paragraph" w:customStyle="1" w:styleId="Chapter">
    <w:name w:val="Chapter"/>
    <w:basedOn w:val="Normal"/>
    <w:rsid w:val="00330A35"/>
    <w:pPr>
      <w:spacing w:before="240"/>
    </w:pPr>
    <w:rPr>
      <w:rFonts w:ascii="Times New Roman" w:hAnsi="Times New Roman"/>
      <w:smallCaps/>
      <w:spacing w:val="80"/>
      <w:sz w:val="28"/>
    </w:rPr>
  </w:style>
  <w:style w:type="paragraph" w:customStyle="1" w:styleId="InChapter">
    <w:name w:val="InChapter"/>
    <w:basedOn w:val="Heading3"/>
    <w:rsid w:val="00330A35"/>
    <w:pPr>
      <w:spacing w:after="240"/>
      <w:outlineLvl w:val="9"/>
    </w:pPr>
    <w:rPr>
      <w:noProof/>
    </w:rPr>
  </w:style>
  <w:style w:type="paragraph" w:styleId="Index2">
    <w:name w:val="index 2"/>
    <w:basedOn w:val="Normal"/>
    <w:next w:val="Normal"/>
    <w:semiHidden/>
    <w:rsid w:val="00330A35"/>
    <w:pPr>
      <w:tabs>
        <w:tab w:val="right" w:pos="4176"/>
      </w:tabs>
      <w:ind w:left="568" w:hanging="284"/>
    </w:pPr>
    <w:rPr>
      <w:rFonts w:ascii="Garamond" w:hAnsi="Garamond"/>
    </w:rPr>
  </w:style>
  <w:style w:type="paragraph" w:customStyle="1" w:styleId="Byline">
    <w:name w:val="Byline"/>
    <w:rsid w:val="00330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A35"/>
    <w:pPr>
      <w:tabs>
        <w:tab w:val="clear" w:pos="3600"/>
        <w:tab w:val="clear" w:pos="3958"/>
      </w:tabs>
      <w:jc w:val="right"/>
    </w:pPr>
  </w:style>
  <w:style w:type="character" w:styleId="Emphasis">
    <w:name w:val="Emphasis"/>
    <w:basedOn w:val="DefaultParagraphFont"/>
    <w:qFormat/>
    <w:rsid w:val="00330A35"/>
    <w:rPr>
      <w:i/>
    </w:rPr>
  </w:style>
  <w:style w:type="paragraph" w:styleId="Caption">
    <w:name w:val="caption"/>
    <w:basedOn w:val="BodyText"/>
    <w:next w:val="Normal"/>
    <w:qFormat/>
    <w:rsid w:val="00330A35"/>
    <w:pPr>
      <w:framePr w:w="2268" w:hSpace="181" w:vSpace="181" w:wrap="around" w:vAnchor="text" w:hAnchor="page" w:x="1135" w:y="285" w:anchorLock="1"/>
    </w:pPr>
    <w:rPr>
      <w:i/>
    </w:rPr>
  </w:style>
  <w:style w:type="paragraph" w:customStyle="1" w:styleId="MiniTOCTitle">
    <w:name w:val="MiniTOCTitle"/>
    <w:basedOn w:val="Heading4"/>
    <w:rsid w:val="00330A35"/>
    <w:pPr>
      <w:spacing w:before="240"/>
      <w:outlineLvl w:val="9"/>
    </w:pPr>
    <w:rPr>
      <w:noProof/>
      <w:sz w:val="24"/>
    </w:rPr>
  </w:style>
  <w:style w:type="paragraph" w:customStyle="1" w:styleId="MiniTOCItem">
    <w:name w:val="MiniTOCItem"/>
    <w:basedOn w:val="ListBullet"/>
    <w:rsid w:val="00330A35"/>
    <w:pPr>
      <w:numPr>
        <w:numId w:val="0"/>
      </w:numPr>
      <w:tabs>
        <w:tab w:val="right" w:leader="dot" w:pos="6521"/>
      </w:tabs>
      <w:spacing w:before="0" w:after="0"/>
    </w:pPr>
  </w:style>
  <w:style w:type="paragraph" w:customStyle="1" w:styleId="TOFTitle">
    <w:name w:val="TOFTitle"/>
    <w:basedOn w:val="TOCTitle"/>
    <w:rsid w:val="00330A35"/>
  </w:style>
  <w:style w:type="paragraph" w:styleId="TableofFigures">
    <w:name w:val="table of figures"/>
    <w:basedOn w:val="Normal"/>
    <w:next w:val="Normal"/>
    <w:semiHidden/>
    <w:rsid w:val="00330A35"/>
    <w:pPr>
      <w:tabs>
        <w:tab w:val="right" w:leader="dot" w:pos="9072"/>
      </w:tabs>
      <w:ind w:left="970" w:hanging="403"/>
    </w:pPr>
    <w:rPr>
      <w:rFonts w:ascii="Times New Roman" w:hAnsi="Times New Roman"/>
      <w:b/>
    </w:rPr>
  </w:style>
  <w:style w:type="paragraph" w:styleId="ListNumber">
    <w:name w:val="List Number"/>
    <w:basedOn w:val="List"/>
    <w:rsid w:val="00330A35"/>
    <w:pPr>
      <w:numPr>
        <w:numId w:val="15"/>
      </w:numPr>
      <w:tabs>
        <w:tab w:val="clear" w:pos="340"/>
      </w:tabs>
    </w:pPr>
  </w:style>
  <w:style w:type="character" w:customStyle="1" w:styleId="WingdingSymbols">
    <w:name w:val="Wingding Symbols"/>
    <w:rsid w:val="00330A35"/>
    <w:rPr>
      <w:rFonts w:ascii="Wingdings" w:hAnsi="Wingdings"/>
    </w:rPr>
  </w:style>
  <w:style w:type="paragraph" w:customStyle="1" w:styleId="TableHeading">
    <w:name w:val="Table Heading"/>
    <w:basedOn w:val="HeadingBase"/>
    <w:rsid w:val="00330A35"/>
    <w:pPr>
      <w:keepLines/>
      <w:pBdr>
        <w:bottom w:val="single" w:sz="6" w:space="1" w:color="918585"/>
      </w:pBdr>
      <w:spacing w:before="240"/>
    </w:pPr>
  </w:style>
  <w:style w:type="character" w:customStyle="1" w:styleId="HotSpot">
    <w:name w:val="HotSpot"/>
    <w:rsid w:val="00330A35"/>
    <w:rPr>
      <w:color w:val="0033CC"/>
      <w:u w:val="none"/>
    </w:rPr>
  </w:style>
  <w:style w:type="paragraph" w:customStyle="1" w:styleId="BodyTextRight">
    <w:name w:val="Body Text Right"/>
    <w:basedOn w:val="BodyText"/>
    <w:rsid w:val="00330A35"/>
    <w:pPr>
      <w:spacing w:before="0" w:after="0"/>
      <w:jc w:val="right"/>
    </w:pPr>
  </w:style>
  <w:style w:type="paragraph" w:styleId="Index3">
    <w:name w:val="index 3"/>
    <w:basedOn w:val="ListNumber2"/>
    <w:next w:val="Normal"/>
    <w:semiHidden/>
    <w:rsid w:val="00330A35"/>
    <w:pPr>
      <w:numPr>
        <w:numId w:val="0"/>
      </w:numPr>
      <w:tabs>
        <w:tab w:val="right" w:leader="dot" w:pos="4176"/>
      </w:tabs>
    </w:pPr>
  </w:style>
  <w:style w:type="paragraph" w:styleId="ListNumber2">
    <w:name w:val="List Number 2"/>
    <w:basedOn w:val="List2"/>
    <w:rsid w:val="00330A35"/>
    <w:pPr>
      <w:numPr>
        <w:numId w:val="10"/>
      </w:numPr>
      <w:tabs>
        <w:tab w:val="clear" w:pos="1060"/>
      </w:tabs>
    </w:pPr>
  </w:style>
  <w:style w:type="paragraph" w:customStyle="1" w:styleId="MarginNote">
    <w:name w:val="Margin Note"/>
    <w:basedOn w:val="BodyText"/>
    <w:rsid w:val="00330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A35"/>
    <w:rPr>
      <w:sz w:val="32"/>
    </w:rPr>
  </w:style>
  <w:style w:type="paragraph" w:customStyle="1" w:styleId="HeadingProcedure">
    <w:name w:val="Heading Procedure"/>
    <w:basedOn w:val="HeadingBase"/>
    <w:next w:val="Normal"/>
    <w:rsid w:val="00330A35"/>
    <w:pPr>
      <w:tabs>
        <w:tab w:val="left" w:pos="0"/>
      </w:tabs>
      <w:spacing w:before="120" w:after="60"/>
    </w:pPr>
    <w:rPr>
      <w:i/>
      <w:color w:val="918585"/>
      <w:sz w:val="22"/>
    </w:rPr>
  </w:style>
  <w:style w:type="paragraph" w:customStyle="1" w:styleId="TableBodyText">
    <w:name w:val="Table Body Text"/>
    <w:basedOn w:val="BodyText"/>
    <w:rsid w:val="00330A35"/>
    <w:pPr>
      <w:spacing w:before="60" w:after="60"/>
    </w:pPr>
  </w:style>
  <w:style w:type="paragraph" w:styleId="ListContinue">
    <w:name w:val="List Continue"/>
    <w:basedOn w:val="List"/>
    <w:rsid w:val="00330A35"/>
    <w:pPr>
      <w:ind w:firstLine="0"/>
    </w:pPr>
  </w:style>
  <w:style w:type="paragraph" w:customStyle="1" w:styleId="ListNote">
    <w:name w:val="List Note"/>
    <w:basedOn w:val="List"/>
    <w:rsid w:val="00330A35"/>
    <w:pPr>
      <w:pBdr>
        <w:top w:val="single" w:sz="6" w:space="2" w:color="918585"/>
        <w:bottom w:val="single" w:sz="6" w:space="2" w:color="918585"/>
      </w:pBdr>
      <w:tabs>
        <w:tab w:val="left" w:pos="1021"/>
      </w:tabs>
      <w:ind w:firstLine="0"/>
    </w:pPr>
  </w:style>
  <w:style w:type="paragraph" w:customStyle="1" w:styleId="Warning">
    <w:name w:val="Warning"/>
    <w:basedOn w:val="BodyText"/>
    <w:rsid w:val="00330A35"/>
    <w:pPr>
      <w:shd w:val="clear" w:color="auto" w:fill="D9D9D9"/>
      <w:tabs>
        <w:tab w:val="left" w:pos="992"/>
      </w:tabs>
      <w:ind w:left="119" w:right="119"/>
    </w:pPr>
    <w:rPr>
      <w:sz w:val="20"/>
    </w:rPr>
  </w:style>
  <w:style w:type="paragraph" w:customStyle="1" w:styleId="MarginIcons">
    <w:name w:val="Margin Icons"/>
    <w:basedOn w:val="BodyText"/>
    <w:rsid w:val="00330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A35"/>
    <w:rPr>
      <w:rFonts w:ascii="Courier New" w:hAnsi="Courier New"/>
    </w:rPr>
  </w:style>
  <w:style w:type="paragraph" w:customStyle="1" w:styleId="NoteBullet">
    <w:name w:val="Note Bullet"/>
    <w:basedOn w:val="Note"/>
    <w:rsid w:val="00330A35"/>
    <w:pPr>
      <w:tabs>
        <w:tab w:val="clear" w:pos="680"/>
      </w:tabs>
      <w:spacing w:before="60" w:after="60"/>
    </w:pPr>
  </w:style>
  <w:style w:type="paragraph" w:customStyle="1" w:styleId="SubHeading2">
    <w:name w:val="SubHeading2"/>
    <w:basedOn w:val="HeadingBase"/>
    <w:rsid w:val="00330A35"/>
    <w:pPr>
      <w:spacing w:before="240" w:after="60"/>
    </w:pPr>
    <w:rPr>
      <w:sz w:val="20"/>
    </w:rPr>
  </w:style>
  <w:style w:type="paragraph" w:customStyle="1" w:styleId="SubHeading1">
    <w:name w:val="SubHeading1"/>
    <w:basedOn w:val="HeadingBase"/>
    <w:rsid w:val="00330A35"/>
    <w:pPr>
      <w:spacing w:before="240" w:after="60"/>
    </w:pPr>
    <w:rPr>
      <w:color w:val="918585"/>
      <w:sz w:val="22"/>
    </w:rPr>
  </w:style>
  <w:style w:type="paragraph" w:customStyle="1" w:styleId="SideHeading">
    <w:name w:val="Side Heading"/>
    <w:basedOn w:val="HeadingBase"/>
    <w:rsid w:val="00330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A35"/>
    <w:pPr>
      <w:tabs>
        <w:tab w:val="num" w:pos="360"/>
      </w:tabs>
    </w:pPr>
  </w:style>
  <w:style w:type="paragraph" w:styleId="PlainText">
    <w:name w:val="Plain Text"/>
    <w:basedOn w:val="Normal"/>
    <w:link w:val="PlainTextChar"/>
    <w:rsid w:val="00330A35"/>
    <w:rPr>
      <w:sz w:val="20"/>
    </w:rPr>
  </w:style>
  <w:style w:type="character" w:customStyle="1" w:styleId="PlainTextChar">
    <w:name w:val="Plain Text Char"/>
    <w:basedOn w:val="DefaultParagraphFont"/>
    <w:link w:val="PlainText"/>
    <w:rsid w:val="00330A35"/>
    <w:rPr>
      <w:rFonts w:ascii="Courier New" w:eastAsia="Times New Roman" w:hAnsi="Courier New" w:cs="Times New Roman"/>
      <w:sz w:val="20"/>
      <w:szCs w:val="20"/>
      <w:lang w:eastAsia="en-US"/>
    </w:rPr>
  </w:style>
  <w:style w:type="character" w:customStyle="1" w:styleId="MenuOption">
    <w:name w:val="Menu Option"/>
    <w:basedOn w:val="DefaultParagraphFont"/>
    <w:rsid w:val="00330A35"/>
    <w:rPr>
      <w:b/>
      <w:smallCaps/>
    </w:rPr>
  </w:style>
  <w:style w:type="paragraph" w:customStyle="1" w:styleId="TableListNumber">
    <w:name w:val="Table List Number"/>
    <w:basedOn w:val="ListNumber"/>
    <w:rsid w:val="00330A35"/>
    <w:pPr>
      <w:numPr>
        <w:numId w:val="0"/>
      </w:numPr>
    </w:pPr>
  </w:style>
  <w:style w:type="paragraph" w:styleId="TOC4">
    <w:name w:val="toc 4"/>
    <w:basedOn w:val="TOCBase"/>
    <w:next w:val="Normal"/>
    <w:semiHidden/>
    <w:rsid w:val="00330A35"/>
    <w:pPr>
      <w:tabs>
        <w:tab w:val="right" w:leader="dot" w:pos="9071"/>
      </w:tabs>
      <w:ind w:left="1701"/>
    </w:pPr>
  </w:style>
  <w:style w:type="paragraph" w:customStyle="1" w:styleId="ListAlpha">
    <w:name w:val="List Alpha"/>
    <w:basedOn w:val="List"/>
    <w:rsid w:val="00330A35"/>
    <w:pPr>
      <w:numPr>
        <w:numId w:val="9"/>
      </w:numPr>
    </w:pPr>
  </w:style>
  <w:style w:type="paragraph" w:customStyle="1" w:styleId="ListAlpha2">
    <w:name w:val="List Alpha 2"/>
    <w:basedOn w:val="List2"/>
    <w:rsid w:val="00330A35"/>
    <w:pPr>
      <w:numPr>
        <w:numId w:val="8"/>
      </w:numPr>
    </w:pPr>
  </w:style>
  <w:style w:type="paragraph" w:styleId="List2">
    <w:name w:val="List 2"/>
    <w:basedOn w:val="BodyText"/>
    <w:rsid w:val="00330A35"/>
    <w:pPr>
      <w:tabs>
        <w:tab w:val="left" w:pos="680"/>
      </w:tabs>
      <w:spacing w:before="60" w:after="60"/>
      <w:ind w:left="680" w:hanging="340"/>
    </w:pPr>
  </w:style>
  <w:style w:type="paragraph" w:styleId="List3">
    <w:name w:val="List 3"/>
    <w:basedOn w:val="BodyText"/>
    <w:rsid w:val="00330A35"/>
    <w:pPr>
      <w:tabs>
        <w:tab w:val="left" w:pos="1021"/>
      </w:tabs>
      <w:spacing w:before="60" w:after="60"/>
      <w:ind w:left="1020" w:hanging="340"/>
    </w:pPr>
  </w:style>
  <w:style w:type="paragraph" w:styleId="List4">
    <w:name w:val="List 4"/>
    <w:basedOn w:val="BodyText"/>
    <w:rsid w:val="00330A35"/>
    <w:pPr>
      <w:tabs>
        <w:tab w:val="left" w:pos="1361"/>
      </w:tabs>
      <w:spacing w:before="60" w:after="60"/>
      <w:ind w:left="1361" w:hanging="340"/>
    </w:pPr>
  </w:style>
  <w:style w:type="paragraph" w:styleId="List5">
    <w:name w:val="List 5"/>
    <w:basedOn w:val="BodyText"/>
    <w:rsid w:val="00330A35"/>
    <w:pPr>
      <w:tabs>
        <w:tab w:val="left" w:pos="1701"/>
      </w:tabs>
      <w:spacing w:before="60" w:after="60"/>
      <w:ind w:left="1701" w:hanging="340"/>
    </w:pPr>
  </w:style>
  <w:style w:type="paragraph" w:styleId="ListBullet3">
    <w:name w:val="List Bullet 3"/>
    <w:basedOn w:val="List3"/>
    <w:rsid w:val="00330A35"/>
    <w:pPr>
      <w:numPr>
        <w:numId w:val="14"/>
      </w:numPr>
      <w:tabs>
        <w:tab w:val="clear" w:pos="1021"/>
      </w:tabs>
      <w:ind w:left="1037" w:hanging="357"/>
    </w:pPr>
  </w:style>
  <w:style w:type="paragraph" w:styleId="ListBullet4">
    <w:name w:val="List Bullet 4"/>
    <w:basedOn w:val="List4"/>
    <w:rsid w:val="00330A35"/>
    <w:pPr>
      <w:numPr>
        <w:numId w:val="3"/>
      </w:numPr>
      <w:tabs>
        <w:tab w:val="clear" w:pos="1361"/>
      </w:tabs>
    </w:pPr>
  </w:style>
  <w:style w:type="paragraph" w:styleId="ListBullet5">
    <w:name w:val="List Bullet 5"/>
    <w:basedOn w:val="List5"/>
    <w:rsid w:val="00330A35"/>
    <w:pPr>
      <w:numPr>
        <w:numId w:val="4"/>
      </w:numPr>
    </w:pPr>
  </w:style>
  <w:style w:type="paragraph" w:styleId="ListContinue2">
    <w:name w:val="List Continue 2"/>
    <w:basedOn w:val="List2"/>
    <w:rsid w:val="00330A35"/>
    <w:pPr>
      <w:ind w:firstLine="0"/>
    </w:pPr>
  </w:style>
  <w:style w:type="paragraph" w:styleId="ListContinue3">
    <w:name w:val="List Continue 3"/>
    <w:basedOn w:val="List3"/>
    <w:rsid w:val="00330A35"/>
    <w:pPr>
      <w:ind w:left="1021" w:firstLine="0"/>
    </w:pPr>
  </w:style>
  <w:style w:type="paragraph" w:styleId="ListContinue4">
    <w:name w:val="List Continue 4"/>
    <w:basedOn w:val="List4"/>
    <w:rsid w:val="00330A35"/>
    <w:pPr>
      <w:ind w:firstLine="0"/>
    </w:pPr>
  </w:style>
  <w:style w:type="paragraph" w:styleId="ListContinue5">
    <w:name w:val="List Continue 5"/>
    <w:basedOn w:val="List5"/>
    <w:rsid w:val="00330A35"/>
    <w:pPr>
      <w:ind w:firstLine="0"/>
    </w:pPr>
  </w:style>
  <w:style w:type="paragraph" w:styleId="ListNumber3">
    <w:name w:val="List Number 3"/>
    <w:basedOn w:val="List3"/>
    <w:rsid w:val="00330A35"/>
    <w:pPr>
      <w:numPr>
        <w:numId w:val="5"/>
      </w:numPr>
    </w:pPr>
  </w:style>
  <w:style w:type="paragraph" w:styleId="ListNumber4">
    <w:name w:val="List Number 4"/>
    <w:basedOn w:val="List4"/>
    <w:rsid w:val="00330A35"/>
    <w:pPr>
      <w:numPr>
        <w:numId w:val="6"/>
      </w:numPr>
    </w:pPr>
  </w:style>
  <w:style w:type="paragraph" w:styleId="ListNumber5">
    <w:name w:val="List Number 5"/>
    <w:basedOn w:val="List5"/>
    <w:rsid w:val="00330A35"/>
    <w:pPr>
      <w:numPr>
        <w:numId w:val="7"/>
      </w:numPr>
    </w:pPr>
  </w:style>
  <w:style w:type="paragraph" w:styleId="BlockText">
    <w:name w:val="Block Text"/>
    <w:basedOn w:val="Normal"/>
    <w:rsid w:val="00330A35"/>
    <w:pPr>
      <w:spacing w:after="120"/>
      <w:ind w:left="1440" w:right="1440"/>
    </w:pPr>
  </w:style>
  <w:style w:type="character" w:customStyle="1" w:styleId="Subscript">
    <w:name w:val="Subscript"/>
    <w:basedOn w:val="DefaultParagraphFont"/>
    <w:rsid w:val="00330A35"/>
    <w:rPr>
      <w:sz w:val="16"/>
      <w:vertAlign w:val="subscript"/>
    </w:rPr>
  </w:style>
  <w:style w:type="character" w:customStyle="1" w:styleId="Superscript">
    <w:name w:val="Superscript"/>
    <w:basedOn w:val="DefaultParagraphFont"/>
    <w:rsid w:val="00330A35"/>
    <w:rPr>
      <w:sz w:val="16"/>
      <w:vertAlign w:val="superscript"/>
    </w:rPr>
  </w:style>
  <w:style w:type="character" w:customStyle="1" w:styleId="Symbols">
    <w:name w:val="Symbols"/>
    <w:basedOn w:val="DefaultParagraphFont"/>
    <w:rsid w:val="00330A35"/>
    <w:rPr>
      <w:rFonts w:ascii="Symbol" w:hAnsi="Symbol"/>
    </w:rPr>
  </w:style>
  <w:style w:type="character" w:customStyle="1" w:styleId="MenuOptions">
    <w:name w:val="Menu Options"/>
    <w:basedOn w:val="DefaultParagraphFont"/>
    <w:rsid w:val="00330A35"/>
    <w:rPr>
      <w:rFonts w:ascii="Arial Narrow" w:hAnsi="Arial Narrow"/>
      <w:smallCaps/>
    </w:rPr>
  </w:style>
  <w:style w:type="character" w:customStyle="1" w:styleId="Buttons">
    <w:name w:val="Buttons"/>
    <w:basedOn w:val="DefaultParagraphFont"/>
    <w:rsid w:val="00330A35"/>
    <w:rPr>
      <w:b/>
    </w:rPr>
  </w:style>
  <w:style w:type="character" w:customStyle="1" w:styleId="Underlined">
    <w:name w:val="Underlined"/>
    <w:basedOn w:val="DefaultParagraphFont"/>
    <w:rsid w:val="00330A35"/>
    <w:rPr>
      <w:u w:val="single"/>
    </w:rPr>
  </w:style>
  <w:style w:type="paragraph" w:customStyle="1" w:styleId="TableBodyTextRight">
    <w:name w:val="Table Body Text Right"/>
    <w:basedOn w:val="TableBodyText"/>
    <w:rsid w:val="00330A35"/>
    <w:pPr>
      <w:widowControl w:val="0"/>
      <w:autoSpaceDE w:val="0"/>
      <w:autoSpaceDN w:val="0"/>
      <w:adjustRightInd w:val="0"/>
      <w:jc w:val="right"/>
    </w:pPr>
    <w:rPr>
      <w:rFonts w:cs="Arial"/>
      <w:szCs w:val="18"/>
    </w:rPr>
  </w:style>
  <w:style w:type="paragraph" w:customStyle="1" w:styleId="CopyrightText">
    <w:name w:val="Copyright Text"/>
    <w:basedOn w:val="BodyText"/>
    <w:rsid w:val="00330A35"/>
    <w:rPr>
      <w:sz w:val="18"/>
    </w:rPr>
  </w:style>
  <w:style w:type="paragraph" w:customStyle="1" w:styleId="BodySmallRight">
    <w:name w:val="Body Small Right"/>
    <w:basedOn w:val="BodyTextRight"/>
    <w:rsid w:val="00330A35"/>
    <w:rPr>
      <w:sz w:val="18"/>
      <w:szCs w:val="18"/>
    </w:rPr>
  </w:style>
  <w:style w:type="paragraph" w:customStyle="1" w:styleId="MarginEdition">
    <w:name w:val="Margin Edition"/>
    <w:basedOn w:val="MarginNote"/>
    <w:rsid w:val="00330A35"/>
    <w:pPr>
      <w:spacing w:before="0" w:after="0"/>
    </w:pPr>
    <w:rPr>
      <w:rFonts w:ascii="Times New Roman" w:hAnsi="Times New Roman"/>
      <w:color w:val="999999"/>
    </w:rPr>
  </w:style>
  <w:style w:type="paragraph" w:customStyle="1" w:styleId="Spacer">
    <w:name w:val="Spacer"/>
    <w:basedOn w:val="Normal"/>
    <w:rsid w:val="00330A35"/>
    <w:rPr>
      <w:sz w:val="2"/>
      <w:szCs w:val="2"/>
    </w:rPr>
  </w:style>
  <w:style w:type="character" w:customStyle="1" w:styleId="Small">
    <w:name w:val="Small"/>
    <w:basedOn w:val="DefaultParagraphFont"/>
    <w:rsid w:val="00330A35"/>
    <w:rPr>
      <w:sz w:val="16"/>
    </w:rPr>
  </w:style>
  <w:style w:type="paragraph" w:customStyle="1" w:styleId="WideTable">
    <w:name w:val="Wide Table"/>
    <w:basedOn w:val="Normal"/>
    <w:rsid w:val="00330A35"/>
    <w:pPr>
      <w:ind w:left="-1418"/>
    </w:pPr>
    <w:rPr>
      <w:sz w:val="2"/>
      <w:szCs w:val="2"/>
    </w:rPr>
  </w:style>
  <w:style w:type="character" w:styleId="PageNumber">
    <w:name w:val="page number"/>
    <w:basedOn w:val="DefaultParagraphFont"/>
    <w:rsid w:val="00330A35"/>
  </w:style>
  <w:style w:type="paragraph" w:styleId="Quote">
    <w:name w:val="Quote"/>
    <w:basedOn w:val="Heading1"/>
    <w:link w:val="QuoteChar"/>
    <w:qFormat/>
    <w:rsid w:val="00330A35"/>
    <w:rPr>
      <w:b w:val="0"/>
      <w:sz w:val="72"/>
      <w:szCs w:val="72"/>
      <w:lang w:val="en-NZ"/>
    </w:rPr>
  </w:style>
  <w:style w:type="character" w:customStyle="1" w:styleId="QuoteChar">
    <w:name w:val="Quote Char"/>
    <w:basedOn w:val="DefaultParagraphFont"/>
    <w:link w:val="Quote"/>
    <w:rsid w:val="00330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A35"/>
    <w:pPr>
      <w:pageBreakBefore/>
    </w:pPr>
  </w:style>
  <w:style w:type="paragraph" w:customStyle="1" w:styleId="Border">
    <w:name w:val="Border"/>
    <w:basedOn w:val="Normal"/>
    <w:qFormat/>
    <w:rsid w:val="00330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A35"/>
    <w:rPr>
      <w:b/>
      <w:bCs/>
      <w:i/>
      <w:iCs/>
      <w:color w:val="auto"/>
    </w:rPr>
  </w:style>
  <w:style w:type="paragraph" w:styleId="IntenseQuote">
    <w:name w:val="Intense Quote"/>
    <w:basedOn w:val="Normal"/>
    <w:next w:val="Normal"/>
    <w:link w:val="IntenseQuoteChar"/>
    <w:uiPriority w:val="30"/>
    <w:qFormat/>
    <w:rsid w:val="00330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A35"/>
    <w:rPr>
      <w:smallCaps/>
      <w:color w:val="auto"/>
      <w:u w:val="single"/>
    </w:rPr>
  </w:style>
  <w:style w:type="character" w:styleId="IntenseReference">
    <w:name w:val="Intense Reference"/>
    <w:basedOn w:val="DefaultParagraphFont"/>
    <w:uiPriority w:val="32"/>
    <w:qFormat/>
    <w:rsid w:val="00330A35"/>
    <w:rPr>
      <w:b/>
      <w:bCs/>
      <w:smallCaps/>
      <w:color w:val="auto"/>
      <w:spacing w:val="5"/>
      <w:u w:val="single"/>
    </w:rPr>
  </w:style>
  <w:style w:type="paragraph" w:customStyle="1" w:styleId="2ColumnHeading">
    <w:name w:val="2Column Heading"/>
    <w:basedOn w:val="BodyText"/>
    <w:qFormat/>
    <w:rsid w:val="00330A35"/>
    <w:pPr>
      <w:spacing w:after="60"/>
      <w:ind w:left="-2268"/>
    </w:pPr>
    <w:rPr>
      <w:b/>
    </w:rPr>
  </w:style>
  <w:style w:type="paragraph" w:customStyle="1" w:styleId="Heading1TOC">
    <w:name w:val="Heading1 TOC"/>
    <w:basedOn w:val="Normal"/>
    <w:qFormat/>
    <w:rsid w:val="00330A35"/>
    <w:pPr>
      <w:spacing w:before="240" w:after="120"/>
    </w:pPr>
    <w:rPr>
      <w:rFonts w:ascii="Times New Roman" w:hAnsi="Times New Roman"/>
      <w:b/>
      <w:sz w:val="32"/>
    </w:rPr>
  </w:style>
  <w:style w:type="paragraph" w:customStyle="1" w:styleId="Heading2TOC">
    <w:name w:val="Heading2 TOC"/>
    <w:basedOn w:val="Normal"/>
    <w:qFormat/>
    <w:rsid w:val="00330A35"/>
    <w:pPr>
      <w:spacing w:before="240" w:after="60"/>
    </w:pPr>
    <w:rPr>
      <w:rFonts w:ascii="Times New Roman" w:hAnsi="Times New Roman"/>
      <w:b/>
      <w:sz w:val="28"/>
    </w:rPr>
  </w:style>
  <w:style w:type="character" w:customStyle="1" w:styleId="Underline">
    <w:name w:val="Underline"/>
    <w:basedOn w:val="DefaultParagraphFont"/>
    <w:qFormat/>
    <w:rsid w:val="00330A35"/>
    <w:rPr>
      <w:u w:val="single"/>
    </w:rPr>
  </w:style>
  <w:style w:type="character" w:customStyle="1" w:styleId="BoldandItalics">
    <w:name w:val="Bold and Italics"/>
    <w:qFormat/>
    <w:rsid w:val="00330A35"/>
    <w:rPr>
      <w:b/>
      <w:i/>
      <w:u w:val="none"/>
    </w:rPr>
  </w:style>
  <w:style w:type="paragraph" w:styleId="BalloonText">
    <w:name w:val="Balloon Text"/>
    <w:basedOn w:val="Normal"/>
    <w:link w:val="BalloonTextChar"/>
    <w:rsid w:val="00330A35"/>
    <w:rPr>
      <w:rFonts w:ascii="Tahoma" w:hAnsi="Tahoma" w:cs="Tahoma"/>
      <w:sz w:val="16"/>
      <w:szCs w:val="16"/>
    </w:rPr>
  </w:style>
  <w:style w:type="character" w:customStyle="1" w:styleId="BalloonTextChar">
    <w:name w:val="Balloon Text Char"/>
    <w:basedOn w:val="DefaultParagraphFont"/>
    <w:link w:val="BalloonText"/>
    <w:rsid w:val="00330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A35"/>
    <w:rPr>
      <w:b/>
      <w:color w:val="660033"/>
      <w:spacing w:val="0"/>
    </w:rPr>
  </w:style>
  <w:style w:type="paragraph" w:customStyle="1" w:styleId="Nameditemlist">
    <w:name w:val="Named item list"/>
    <w:basedOn w:val="BodyText"/>
    <w:qFormat/>
    <w:rsid w:val="00330A35"/>
    <w:pPr>
      <w:tabs>
        <w:tab w:val="left" w:pos="2835"/>
      </w:tabs>
      <w:ind w:left="2835" w:hanging="2835"/>
    </w:pPr>
  </w:style>
  <w:style w:type="paragraph" w:customStyle="1" w:styleId="BodyTextnopadding">
    <w:name w:val="Body Text no padding"/>
    <w:basedOn w:val="BodyText"/>
    <w:qFormat/>
    <w:rsid w:val="00330A35"/>
    <w:pPr>
      <w:spacing w:before="0" w:after="0"/>
    </w:pPr>
  </w:style>
  <w:style w:type="paragraph" w:customStyle="1" w:styleId="BodyTextBold">
    <w:name w:val="Body Text Bold"/>
    <w:basedOn w:val="BodyText"/>
    <w:qFormat/>
    <w:rsid w:val="00330A35"/>
    <w:rPr>
      <w:b/>
    </w:rPr>
  </w:style>
  <w:style w:type="character" w:styleId="Hyperlink">
    <w:name w:val="Hyperlink"/>
    <w:basedOn w:val="DefaultParagraphFont"/>
    <w:uiPriority w:val="99"/>
    <w:unhideWhenUsed/>
    <w:rsid w:val="002F0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1697</Words>
  <Characters>10862</Characters>
  <Application>Microsoft Office Word</Application>
  <DocSecurity>0</DocSecurity>
  <Lines>362</Lines>
  <Paragraphs>209</Paragraphs>
  <ScaleCrop>false</ScaleCrop>
  <Company>Author-it Software Corporation Ltd.</Company>
  <LinksUpToDate>false</LinksUpToDate>
  <CharactersWithSpaces>12350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PMAOMIR418 Coordinate incident response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