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A6C2A" w:rsidP="005A6C2A">
      <w:pPr>
        <w:pStyle w:val="Title"/>
      </w:pPr>
      <w:r>
        <w:fldChar w:fldCharType="begin"/>
      </w:r>
      <w:r>
        <w:instrText xml:space="preserve"> TITLE   \* MERGEFORMAT </w:instrText>
      </w:r>
      <w:r>
        <w:fldChar w:fldCharType="separate"/>
      </w:r>
      <w:r>
        <w:t>PMAOMIR346 Assess and secure an incident site</w:t>
      </w:r>
      <w:r>
        <w:fldChar w:fldCharType="end"/>
      </w:r>
    </w:p>
    <w:p w:rsidR="005A6C2A" w:rsidP="005A6C2A">
      <w:pPr>
        <w:pStyle w:val="Version"/>
        <w:sectPr w:rsidSect="00FD52C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D52C4" w:rsidP="00FD52C4">
      <w:pPr>
        <w:pStyle w:val="SuperHeading"/>
      </w:pPr>
      <w:r w:rsidRPr="00FD52C4">
        <w:t>PMAOMIR346 Assess and secure an incident site</w:t>
      </w:r>
    </w:p>
    <w:p w:rsidR="00000000" w:rsidRPr="00FD52C4" w:rsidP="00FD52C4">
      <w:pPr>
        <w:pStyle w:val="Heading1"/>
      </w:pPr>
      <w:bookmarkStart w:id="1" w:name="O_908829"/>
      <w:bookmarkEnd w:id="1"/>
      <w:r w:rsidRPr="00FD52C4">
        <w:t>Modification History</w:t>
      </w:r>
    </w:p>
    <w:p w:rsidR="00000000" w:rsidRPr="00FD52C4" w:rsidP="005A6C2A">
      <w:pPr>
        <w:pStyle w:val="BodyText"/>
      </w:pPr>
      <w:r w:rsidRPr="00FD52C4">
        <w:t>Release 1. Supersedes and is equivalent to PMAOMIR346B Assess and secure an incident site</w:t>
      </w:r>
    </w:p>
    <w:p w:rsidR="00000000" w:rsidRPr="00FD52C4" w:rsidP="00FD52C4">
      <w:pPr>
        <w:pStyle w:val="Heading1"/>
      </w:pPr>
      <w:bookmarkStart w:id="2" w:name="O_908837"/>
      <w:bookmarkEnd w:id="2"/>
      <w:r w:rsidRPr="00FD52C4">
        <w:t>Application</w:t>
      </w:r>
    </w:p>
    <w:p w:rsidR="00000000" w:rsidRPr="00FD52C4" w:rsidP="005A6C2A">
      <w:pPr>
        <w:pStyle w:val="BodyText"/>
      </w:pPr>
      <w:r w:rsidRPr="00FD52C4">
        <w:t>This unit of competency covers the skills and knowledge required to ensure an incident site is rendered safe</w:t>
      </w:r>
      <w:r w:rsidRPr="00FD52C4">
        <w:t xml:space="preserve"> and kept secure.</w:t>
      </w:r>
    </w:p>
    <w:p w:rsidR="00000000" w:rsidRPr="00FD52C4" w:rsidP="005A6C2A">
      <w:pPr>
        <w:pStyle w:val="BodyText"/>
      </w:pPr>
      <w:r w:rsidRPr="00FD52C4">
        <w:t>An incident is an event which causes, or could have caused, injury or illness; damage to plant, material or the environment; disruption to production or public alarm.</w:t>
      </w:r>
    </w:p>
    <w:p w:rsidR="00000000" w:rsidRPr="00FD52C4" w:rsidP="005A6C2A">
      <w:pPr>
        <w:pStyle w:val="BodyText"/>
      </w:pPr>
      <w:r w:rsidRPr="00FD52C4">
        <w:t>An incident is an unintended event, or an unintended consequence of a</w:t>
      </w:r>
      <w:r w:rsidRPr="00FD52C4">
        <w:t xml:space="preserve">n intended event, such as: </w:t>
      </w:r>
    </w:p>
    <w:p w:rsidR="00000000" w:rsidRPr="00FD52C4" w:rsidP="00FD52C4">
      <w:pPr>
        <w:pStyle w:val="ListBullet"/>
      </w:pPr>
      <w:r w:rsidRPr="00FD52C4">
        <w:t>fire and explosion</w:t>
      </w:r>
    </w:p>
    <w:p w:rsidR="00000000" w:rsidRPr="00FD52C4" w:rsidP="00FD52C4">
      <w:pPr>
        <w:pStyle w:val="ListBullet"/>
      </w:pPr>
      <w:r w:rsidRPr="00FD52C4">
        <w:t>loss of containment</w:t>
      </w:r>
    </w:p>
    <w:p w:rsidR="00000000" w:rsidRPr="00FD52C4" w:rsidP="00FD52C4">
      <w:pPr>
        <w:pStyle w:val="ListBullet"/>
      </w:pPr>
      <w:r w:rsidRPr="00FD52C4">
        <w:t>excursions above/below acceptable limits for emissions or plant conditions</w:t>
      </w:r>
    </w:p>
    <w:p w:rsidR="00000000" w:rsidRPr="00FD52C4" w:rsidP="00FD52C4">
      <w:pPr>
        <w:pStyle w:val="ListBullet"/>
      </w:pPr>
      <w:r w:rsidRPr="00FD52C4">
        <w:t>excursions above occupational hygiene or biological exposure limits</w:t>
      </w:r>
    </w:p>
    <w:p w:rsidR="00000000" w:rsidRPr="00FD52C4" w:rsidP="00FD52C4">
      <w:pPr>
        <w:pStyle w:val="ListBullet"/>
      </w:pPr>
      <w:r w:rsidRPr="00FD52C4">
        <w:t>non-compliance with regulatory requirements</w:t>
      </w:r>
    </w:p>
    <w:p w:rsidR="00000000" w:rsidRPr="00FD52C4" w:rsidP="00FD52C4">
      <w:pPr>
        <w:pStyle w:val="ListBullet"/>
      </w:pPr>
      <w:r w:rsidRPr="00FD52C4">
        <w:t>s</w:t>
      </w:r>
      <w:r w:rsidRPr="00FD52C4">
        <w:t>ecurity breaches</w:t>
      </w:r>
    </w:p>
    <w:p w:rsidR="00000000" w:rsidRPr="00FD52C4" w:rsidP="00FD52C4">
      <w:pPr>
        <w:pStyle w:val="ListBullet"/>
      </w:pPr>
      <w:r w:rsidRPr="00FD52C4">
        <w:t>failure to follow procedures</w:t>
      </w:r>
    </w:p>
    <w:p w:rsidR="00000000" w:rsidRPr="00FD52C4" w:rsidP="00FD52C4">
      <w:pPr>
        <w:pStyle w:val="ListBullet"/>
      </w:pPr>
      <w:r w:rsidRPr="00FD52C4">
        <w:t>complaints</w:t>
      </w:r>
    </w:p>
    <w:p w:rsidR="00000000" w:rsidRPr="00FD52C4" w:rsidP="00FD52C4">
      <w:pPr>
        <w:pStyle w:val="ListBullet"/>
      </w:pPr>
      <w:r w:rsidRPr="00FD52C4">
        <w:t>vehicle incidents</w:t>
      </w:r>
    </w:p>
    <w:p w:rsidR="00000000" w:rsidRPr="00FD52C4" w:rsidP="00FD52C4">
      <w:pPr>
        <w:pStyle w:val="ListBullet"/>
      </w:pPr>
      <w:r w:rsidRPr="00FD52C4">
        <w:t>on/off-site incidents.</w:t>
      </w:r>
    </w:p>
    <w:p w:rsidR="00000000" w:rsidRPr="00FD52C4" w:rsidP="00FD52C4">
      <w:pPr>
        <w:pStyle w:val="BodyText"/>
      </w:pPr>
    </w:p>
    <w:p w:rsidR="00000000" w:rsidRPr="00FD52C4" w:rsidP="005A6C2A">
      <w:pPr>
        <w:pStyle w:val="BodyText"/>
      </w:pPr>
      <w:r w:rsidRPr="00FD52C4">
        <w:t>This unit of competency applies to personnel performing a</w:t>
      </w:r>
      <w:r w:rsidRPr="00FD52C4">
        <w:t>n incident team leader or similar role who are required to make initial assessment of an incident site, secure and preserve the scene, isolate the area to prevent secondary incidents, record details about the incident area, take statements from witnesses a</w:t>
      </w:r>
      <w:r w:rsidRPr="00FD52C4">
        <w:t>nd manage the scene until authorities arrive.</w:t>
      </w:r>
    </w:p>
    <w:p w:rsidR="00000000" w:rsidRPr="00FD52C4" w:rsidP="005A6C2A">
      <w:pPr>
        <w:pStyle w:val="BodyText"/>
      </w:pPr>
      <w:r w:rsidRPr="00FD52C4">
        <w:t>This unit of competency applies to an individual working alone or as part of a team or group and working in liaison with other incident team members and the incident coordinator/commander, as appropriate.</w:t>
      </w:r>
    </w:p>
    <w:p w:rsidR="00000000" w:rsidRPr="00FD52C4" w:rsidP="005A6C2A">
      <w:pPr>
        <w:pStyle w:val="BodyText"/>
      </w:pPr>
      <w:r w:rsidRPr="00FD52C4">
        <w:t>The</w:t>
      </w:r>
      <w:r w:rsidRPr="00FD52C4">
        <w:t xml:space="preserve"> incident team leader typically responds to the incident coordinator/commander, who may be stationed in the incident control centre. In a typical scenario, following the occurrence of an incident, the person would take action to ensure the immediate incide</w:t>
      </w:r>
      <w:r w:rsidRPr="00FD52C4">
        <w:t>nt site is safe and take steps to maintain facility safety, record details of the scene and preserve it from contamination. The person may also be required to manage the scene pending the arrival of appropriate authority or company representatives, as requ</w:t>
      </w:r>
      <w:r w:rsidRPr="00FD52C4">
        <w:t>ired by company procedures, legislation or regulations.</w:t>
      </w:r>
    </w:p>
    <w:p w:rsidR="00000000" w:rsidRPr="00FD52C4" w:rsidP="005A6C2A">
      <w:pPr>
        <w:pStyle w:val="BodyText"/>
      </w:pPr>
      <w:r w:rsidRPr="00FD52C4">
        <w:t>No licensing, legislative or certification requirements apply to this unit at the time of publication.</w:t>
      </w:r>
    </w:p>
    <w:p w:rsidR="00000000" w:rsidRPr="00FD52C4" w:rsidP="00FD52C4">
      <w:pPr>
        <w:pStyle w:val="Heading1"/>
      </w:pPr>
      <w:bookmarkStart w:id="3" w:name="O_908836"/>
      <w:bookmarkEnd w:id="3"/>
      <w:r w:rsidRPr="00FD52C4">
        <w:t>Pre-requisite Unit</w:t>
      </w:r>
    </w:p>
    <w:p w:rsidR="00000000" w:rsidRPr="00FD52C4" w:rsidP="005A6C2A">
      <w:pPr>
        <w:pStyle w:val="BodyText"/>
      </w:pPr>
      <w:r w:rsidRPr="00FD52C4">
        <w:t>Nil</w:t>
      </w:r>
    </w:p>
    <w:p w:rsidR="00000000" w:rsidRPr="00FD52C4" w:rsidP="00FD52C4">
      <w:pPr>
        <w:pStyle w:val="Heading1"/>
      </w:pPr>
      <w:bookmarkStart w:id="4" w:name="O_908835"/>
      <w:bookmarkEnd w:id="4"/>
      <w:r w:rsidRPr="00FD52C4">
        <w:t>Competency Field</w:t>
      </w:r>
    </w:p>
    <w:p w:rsidR="00000000" w:rsidRPr="00FD52C4" w:rsidP="005A6C2A">
      <w:pPr>
        <w:pStyle w:val="BodyText"/>
      </w:pPr>
      <w:r w:rsidRPr="00FD52C4">
        <w:t>Incident readiness and</w:t>
      </w:r>
      <w:r w:rsidRPr="00FD52C4">
        <w:t xml:space="preserve"> response</w:t>
      </w:r>
    </w:p>
    <w:p w:rsidR="00000000" w:rsidRPr="00FD52C4" w:rsidP="00FD52C4">
      <w:pPr>
        <w:pStyle w:val="Heading1"/>
      </w:pPr>
      <w:bookmarkStart w:id="5" w:name="O_908834"/>
      <w:bookmarkEnd w:id="5"/>
      <w:r w:rsidRPr="00FD52C4">
        <w:t>Unit Sector</w:t>
      </w:r>
    </w:p>
    <w:p w:rsidR="00000000" w:rsidRPr="00FD52C4" w:rsidP="00FD52C4">
      <w:pPr>
        <w:pStyle w:val="Heading1"/>
      </w:pPr>
      <w:bookmarkStart w:id="6" w:name="O_908833"/>
      <w:bookmarkEnd w:id="6"/>
      <w:r w:rsidRPr="00FD52C4">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FD52C4">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FD52C4">
            <w:pPr>
              <w:pStyle w:val="BodyText"/>
              <w:rPr>
                <w:lang w:val="en-NZ"/>
              </w:rPr>
            </w:pPr>
            <w:r w:rsidRPr="00FD52C4">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FD52C4">
            <w:pPr>
              <w:pStyle w:val="BodyText"/>
              <w:rPr>
                <w:lang w:val="en-NZ"/>
              </w:rPr>
            </w:pPr>
            <w:r w:rsidRPr="00FD52C4">
              <w:t>Performance criteria describe the performance needed to demonstrate achievement of the element.</w:t>
            </w:r>
          </w:p>
        </w:tc>
      </w:tr>
      <w:tr w:rsidTr="00FD52C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FD52C4" w:rsidP="00FD52C4">
            <w:pPr>
              <w:pStyle w:val="BodyText"/>
            </w:pPr>
            <w:r w:rsidRPr="00FD52C4">
              <w:t>1</w:t>
            </w:r>
          </w:p>
        </w:tc>
        <w:tc>
          <w:tcPr>
            <w:tcW w:w="1962" w:type="dxa"/>
            <w:vMerge w:val="restart"/>
            <w:tcBorders>
              <w:top w:val="nil"/>
              <w:left w:val="nil"/>
              <w:bottom w:val="nil"/>
              <w:right w:val="nil"/>
            </w:tcBorders>
            <w:tcMar>
              <w:top w:w="0" w:type="dxa"/>
              <w:left w:w="62" w:type="dxa"/>
              <w:bottom w:w="0" w:type="dxa"/>
              <w:right w:w="62" w:type="dxa"/>
            </w:tcMar>
          </w:tcPr>
          <w:p w:rsidR="00000000" w:rsidP="00FD52C4">
            <w:pPr>
              <w:pStyle w:val="BodyText"/>
              <w:rPr>
                <w:lang w:val="en-NZ"/>
              </w:rPr>
            </w:pPr>
            <w:r w:rsidRPr="00FD52C4">
              <w:rPr>
                <w:rStyle w:val="SpecialBold"/>
              </w:rPr>
              <w:t>Secure and preserve the scene</w:t>
            </w:r>
          </w:p>
        </w:tc>
        <w:tc>
          <w:tcPr>
            <w:tcW w:w="770" w:type="dxa"/>
            <w:tcBorders>
              <w:top w:val="nil"/>
              <w:left w:val="nil"/>
              <w:bottom w:val="nil"/>
              <w:right w:val="nil"/>
            </w:tcBorders>
            <w:tcMar>
              <w:top w:w="0" w:type="dxa"/>
              <w:left w:w="62" w:type="dxa"/>
              <w:bottom w:w="0" w:type="dxa"/>
              <w:right w:w="62" w:type="dxa"/>
            </w:tcMar>
          </w:tcPr>
          <w:p w:rsidR="00000000" w:rsidP="00FD52C4">
            <w:pPr>
              <w:pStyle w:val="BodyText"/>
              <w:rPr>
                <w:lang w:val="en-NZ"/>
              </w:rPr>
            </w:pPr>
            <w:r w:rsidRPr="00FD52C4">
              <w:t>1.1</w:t>
            </w:r>
          </w:p>
        </w:tc>
        <w:tc>
          <w:tcPr>
            <w:tcW w:w="5610" w:type="dxa"/>
            <w:tcBorders>
              <w:top w:val="nil"/>
              <w:left w:val="nil"/>
              <w:bottom w:val="nil"/>
              <w:right w:val="nil"/>
            </w:tcBorders>
            <w:tcMar>
              <w:top w:w="0" w:type="dxa"/>
              <w:left w:w="62" w:type="dxa"/>
              <w:bottom w:w="0" w:type="dxa"/>
              <w:right w:w="62" w:type="dxa"/>
            </w:tcMar>
          </w:tcPr>
          <w:p w:rsidR="00000000" w:rsidP="00FD52C4">
            <w:pPr>
              <w:pStyle w:val="BodyText"/>
              <w:rPr>
                <w:lang w:val="en-NZ"/>
              </w:rPr>
            </w:pPr>
            <w:r w:rsidRPr="00FD52C4">
              <w:t>Undertake an initial assessment of the site to identify factors which will impact on safety and scene preservation</w:t>
            </w:r>
          </w:p>
        </w:tc>
      </w:tr>
      <w:tr w:rsidTr="00FD52C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D52C4">
            <w:pPr>
              <w:pStyle w:val="BodyText"/>
              <w:rPr>
                <w:lang w:val="en-NZ"/>
              </w:rPr>
            </w:pPr>
            <w:r w:rsidRPr="00FD52C4">
              <w:t>1.2</w:t>
            </w:r>
          </w:p>
        </w:tc>
        <w:tc>
          <w:tcPr>
            <w:tcW w:w="5610" w:type="dxa"/>
            <w:tcBorders>
              <w:top w:val="nil"/>
              <w:left w:val="nil"/>
              <w:bottom w:val="nil"/>
              <w:right w:val="nil"/>
            </w:tcBorders>
            <w:tcMar>
              <w:top w:w="0" w:type="dxa"/>
              <w:left w:w="62" w:type="dxa"/>
              <w:bottom w:w="0" w:type="dxa"/>
              <w:right w:w="62" w:type="dxa"/>
            </w:tcMar>
          </w:tcPr>
          <w:p w:rsidR="00000000" w:rsidP="00FD52C4">
            <w:pPr>
              <w:pStyle w:val="BodyText"/>
              <w:rPr>
                <w:lang w:val="en-NZ"/>
              </w:rPr>
            </w:pPr>
            <w:r w:rsidRPr="00FD52C4">
              <w:t>Ensure that secondary incidents are prevented by isolating the site from associated or ancillary pro</w:t>
            </w:r>
            <w:r w:rsidRPr="00FD52C4">
              <w:t>cesses</w:t>
            </w:r>
          </w:p>
        </w:tc>
      </w:tr>
      <w:tr w:rsidTr="00FD52C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D52C4">
            <w:pPr>
              <w:pStyle w:val="BodyText"/>
              <w:rPr>
                <w:lang w:val="en-NZ"/>
              </w:rPr>
            </w:pPr>
            <w:r w:rsidRPr="00FD52C4">
              <w:t>1.3</w:t>
            </w:r>
          </w:p>
        </w:tc>
        <w:tc>
          <w:tcPr>
            <w:tcW w:w="5610" w:type="dxa"/>
            <w:tcBorders>
              <w:top w:val="nil"/>
              <w:left w:val="nil"/>
              <w:bottom w:val="nil"/>
              <w:right w:val="nil"/>
            </w:tcBorders>
            <w:tcMar>
              <w:top w:w="0" w:type="dxa"/>
              <w:left w:w="62" w:type="dxa"/>
              <w:bottom w:w="0" w:type="dxa"/>
              <w:right w:w="62" w:type="dxa"/>
            </w:tcMar>
          </w:tcPr>
          <w:p w:rsidR="00000000" w:rsidP="00FD52C4">
            <w:pPr>
              <w:pStyle w:val="BodyText"/>
              <w:rPr>
                <w:lang w:val="en-NZ"/>
              </w:rPr>
            </w:pPr>
            <w:r w:rsidRPr="00FD52C4">
              <w:t>Coordinate arrangements to secure the incident/accident site to preserve the site and maintain the safety of personnel in line with procedures</w:t>
            </w:r>
          </w:p>
        </w:tc>
      </w:tr>
      <w:tr w:rsidTr="00FD52C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D52C4">
            <w:pPr>
              <w:pStyle w:val="BodyText"/>
              <w:rPr>
                <w:lang w:val="en-NZ"/>
              </w:rPr>
            </w:pPr>
            <w:r w:rsidRPr="00FD52C4">
              <w:t>1.4</w:t>
            </w:r>
          </w:p>
        </w:tc>
        <w:tc>
          <w:tcPr>
            <w:tcW w:w="5610" w:type="dxa"/>
            <w:tcBorders>
              <w:top w:val="nil"/>
              <w:left w:val="nil"/>
              <w:bottom w:val="nil"/>
              <w:right w:val="nil"/>
            </w:tcBorders>
            <w:tcMar>
              <w:top w:w="0" w:type="dxa"/>
              <w:left w:w="62" w:type="dxa"/>
              <w:bottom w:w="0" w:type="dxa"/>
              <w:right w:w="62" w:type="dxa"/>
            </w:tcMar>
          </w:tcPr>
          <w:p w:rsidR="00000000" w:rsidP="00FD52C4">
            <w:pPr>
              <w:pStyle w:val="BodyText"/>
              <w:rPr>
                <w:lang w:val="en-NZ"/>
              </w:rPr>
            </w:pPr>
            <w:r w:rsidRPr="00FD52C4">
              <w:t>Restrict access to the site until the arrival of authorised company or external authority representatives</w:t>
            </w:r>
          </w:p>
        </w:tc>
      </w:tr>
      <w:tr w:rsidTr="00FD52C4">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FD52C4">
            <w:pPr>
              <w:pStyle w:val="BodyText"/>
              <w:rPr>
                <w:lang w:val="en-NZ"/>
              </w:rPr>
            </w:pPr>
          </w:p>
        </w:tc>
      </w:tr>
      <w:tr w:rsidTr="00FD52C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FD52C4" w:rsidP="00FD52C4">
            <w:pPr>
              <w:pStyle w:val="BodyText"/>
            </w:pPr>
            <w:r w:rsidRPr="00FD52C4">
              <w:t>2</w:t>
            </w:r>
          </w:p>
        </w:tc>
        <w:tc>
          <w:tcPr>
            <w:tcW w:w="1962" w:type="dxa"/>
            <w:vMerge w:val="restart"/>
            <w:tcBorders>
              <w:top w:val="nil"/>
              <w:left w:val="nil"/>
              <w:bottom w:val="nil"/>
              <w:right w:val="nil"/>
            </w:tcBorders>
            <w:tcMar>
              <w:top w:w="0" w:type="dxa"/>
              <w:left w:w="62" w:type="dxa"/>
              <w:bottom w:w="0" w:type="dxa"/>
              <w:right w:w="62" w:type="dxa"/>
            </w:tcMar>
          </w:tcPr>
          <w:p w:rsidR="00000000" w:rsidP="00FD52C4">
            <w:pPr>
              <w:pStyle w:val="BodyText"/>
              <w:rPr>
                <w:lang w:val="en-NZ"/>
              </w:rPr>
            </w:pPr>
            <w:r w:rsidRPr="00FD52C4">
              <w:rPr>
                <w:rStyle w:val="SpecialBold"/>
              </w:rPr>
              <w:t>Record details of the incident site</w:t>
            </w:r>
          </w:p>
        </w:tc>
        <w:tc>
          <w:tcPr>
            <w:tcW w:w="770" w:type="dxa"/>
            <w:tcBorders>
              <w:top w:val="nil"/>
              <w:left w:val="nil"/>
              <w:bottom w:val="nil"/>
              <w:right w:val="nil"/>
            </w:tcBorders>
            <w:tcMar>
              <w:top w:w="0" w:type="dxa"/>
              <w:left w:w="62" w:type="dxa"/>
              <w:bottom w:w="0" w:type="dxa"/>
              <w:right w:w="62" w:type="dxa"/>
            </w:tcMar>
          </w:tcPr>
          <w:p w:rsidR="00000000" w:rsidP="00FD52C4">
            <w:pPr>
              <w:pStyle w:val="BodyText"/>
              <w:rPr>
                <w:lang w:val="en-NZ"/>
              </w:rPr>
            </w:pPr>
            <w:r w:rsidRPr="00FD52C4">
              <w:t>2.1</w:t>
            </w:r>
          </w:p>
        </w:tc>
        <w:tc>
          <w:tcPr>
            <w:tcW w:w="5610" w:type="dxa"/>
            <w:tcBorders>
              <w:top w:val="nil"/>
              <w:left w:val="nil"/>
              <w:bottom w:val="nil"/>
              <w:right w:val="nil"/>
            </w:tcBorders>
            <w:tcMar>
              <w:top w:w="0" w:type="dxa"/>
              <w:left w:w="62" w:type="dxa"/>
              <w:bottom w:w="0" w:type="dxa"/>
              <w:right w:w="62" w:type="dxa"/>
            </w:tcMar>
          </w:tcPr>
          <w:p w:rsidR="00000000" w:rsidP="00FD52C4">
            <w:pPr>
              <w:pStyle w:val="BodyText"/>
              <w:rPr>
                <w:lang w:val="en-NZ"/>
              </w:rPr>
            </w:pPr>
            <w:r w:rsidRPr="00FD52C4">
              <w:t>Record details of the scene according to the organisation</w:t>
            </w:r>
            <w:r>
              <w:t>’</w:t>
            </w:r>
            <w:r w:rsidRPr="00FD52C4">
              <w:t>s policies and procedures</w:t>
            </w:r>
          </w:p>
        </w:tc>
      </w:tr>
      <w:tr w:rsidTr="00FD52C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D52C4">
            <w:pPr>
              <w:pStyle w:val="BodyText"/>
              <w:rPr>
                <w:lang w:val="en-NZ"/>
              </w:rPr>
            </w:pPr>
            <w:r w:rsidRPr="00FD52C4">
              <w:t>2.2</w:t>
            </w:r>
          </w:p>
        </w:tc>
        <w:tc>
          <w:tcPr>
            <w:tcW w:w="5610" w:type="dxa"/>
            <w:tcBorders>
              <w:top w:val="nil"/>
              <w:left w:val="nil"/>
              <w:bottom w:val="nil"/>
              <w:right w:val="nil"/>
            </w:tcBorders>
            <w:tcMar>
              <w:top w:w="0" w:type="dxa"/>
              <w:left w:w="62" w:type="dxa"/>
              <w:bottom w:w="0" w:type="dxa"/>
              <w:right w:w="62" w:type="dxa"/>
            </w:tcMar>
          </w:tcPr>
          <w:p w:rsidR="00000000" w:rsidP="00FD52C4">
            <w:pPr>
              <w:pStyle w:val="BodyText"/>
              <w:rPr>
                <w:lang w:val="en-NZ"/>
              </w:rPr>
            </w:pPr>
            <w:r w:rsidRPr="00FD52C4">
              <w:t>Note the status of any equipment in the incident area</w:t>
            </w:r>
          </w:p>
        </w:tc>
      </w:tr>
      <w:tr w:rsidTr="00FD52C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D52C4">
            <w:pPr>
              <w:pStyle w:val="BodyText"/>
              <w:rPr>
                <w:lang w:val="en-NZ"/>
              </w:rPr>
            </w:pPr>
            <w:r w:rsidRPr="00FD52C4">
              <w:t>2.3</w:t>
            </w:r>
          </w:p>
        </w:tc>
        <w:tc>
          <w:tcPr>
            <w:tcW w:w="5610" w:type="dxa"/>
            <w:tcBorders>
              <w:top w:val="nil"/>
              <w:left w:val="nil"/>
              <w:bottom w:val="nil"/>
              <w:right w:val="nil"/>
            </w:tcBorders>
            <w:tcMar>
              <w:top w:w="0" w:type="dxa"/>
              <w:left w:w="62" w:type="dxa"/>
              <w:bottom w:w="0" w:type="dxa"/>
              <w:right w:w="62" w:type="dxa"/>
            </w:tcMar>
          </w:tcPr>
          <w:p w:rsidR="00000000" w:rsidP="00FD52C4">
            <w:pPr>
              <w:pStyle w:val="BodyText"/>
              <w:rPr>
                <w:lang w:val="en-NZ"/>
              </w:rPr>
            </w:pPr>
            <w:r w:rsidRPr="00FD52C4">
              <w:t>Communicate information to relevant personnel in line with procedures</w:t>
            </w:r>
          </w:p>
        </w:tc>
      </w:tr>
      <w:tr w:rsidTr="00FD52C4">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FD52C4">
            <w:pPr>
              <w:pStyle w:val="BodyText"/>
              <w:rPr>
                <w:lang w:val="en-NZ"/>
              </w:rPr>
            </w:pPr>
          </w:p>
        </w:tc>
      </w:tr>
      <w:tr w:rsidTr="00FD52C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FD52C4" w:rsidP="00FD52C4">
            <w:pPr>
              <w:pStyle w:val="BodyText"/>
            </w:pPr>
            <w:r w:rsidRPr="00FD52C4">
              <w:t>3</w:t>
            </w:r>
          </w:p>
        </w:tc>
        <w:tc>
          <w:tcPr>
            <w:tcW w:w="1962" w:type="dxa"/>
            <w:vMerge w:val="restart"/>
            <w:tcBorders>
              <w:top w:val="nil"/>
              <w:left w:val="nil"/>
              <w:bottom w:val="nil"/>
              <w:right w:val="nil"/>
            </w:tcBorders>
            <w:tcMar>
              <w:top w:w="0" w:type="dxa"/>
              <w:left w:w="62" w:type="dxa"/>
              <w:bottom w:w="0" w:type="dxa"/>
              <w:right w:w="62" w:type="dxa"/>
            </w:tcMar>
          </w:tcPr>
          <w:p w:rsidR="00000000" w:rsidP="00FD52C4">
            <w:pPr>
              <w:pStyle w:val="BodyText"/>
              <w:rPr>
                <w:lang w:val="en-NZ"/>
              </w:rPr>
            </w:pPr>
            <w:r w:rsidRPr="00FD52C4">
              <w:rPr>
                <w:rStyle w:val="SpecialBold"/>
              </w:rPr>
              <w:t>Gather information</w:t>
            </w:r>
          </w:p>
        </w:tc>
        <w:tc>
          <w:tcPr>
            <w:tcW w:w="770" w:type="dxa"/>
            <w:tcBorders>
              <w:top w:val="nil"/>
              <w:left w:val="nil"/>
              <w:bottom w:val="nil"/>
              <w:right w:val="nil"/>
            </w:tcBorders>
            <w:tcMar>
              <w:top w:w="0" w:type="dxa"/>
              <w:left w:w="62" w:type="dxa"/>
              <w:bottom w:w="0" w:type="dxa"/>
              <w:right w:w="62" w:type="dxa"/>
            </w:tcMar>
          </w:tcPr>
          <w:p w:rsidR="00000000" w:rsidP="00FD52C4">
            <w:pPr>
              <w:pStyle w:val="BodyText"/>
              <w:rPr>
                <w:lang w:val="en-NZ"/>
              </w:rPr>
            </w:pPr>
            <w:r w:rsidRPr="00FD52C4">
              <w:t>3.1</w:t>
            </w:r>
          </w:p>
        </w:tc>
        <w:tc>
          <w:tcPr>
            <w:tcW w:w="5610" w:type="dxa"/>
            <w:tcBorders>
              <w:top w:val="nil"/>
              <w:left w:val="nil"/>
              <w:bottom w:val="nil"/>
              <w:right w:val="nil"/>
            </w:tcBorders>
            <w:tcMar>
              <w:top w:w="0" w:type="dxa"/>
              <w:left w:w="62" w:type="dxa"/>
              <w:bottom w:w="0" w:type="dxa"/>
              <w:right w:w="62" w:type="dxa"/>
            </w:tcMar>
          </w:tcPr>
          <w:p w:rsidR="00000000" w:rsidP="00FD52C4">
            <w:pPr>
              <w:pStyle w:val="BodyText"/>
              <w:rPr>
                <w:lang w:val="en-NZ"/>
              </w:rPr>
            </w:pPr>
            <w:r w:rsidRPr="00FD52C4">
              <w:t>Record witness details and note any information given in accordance with procedures</w:t>
            </w:r>
          </w:p>
        </w:tc>
      </w:tr>
      <w:tr w:rsidTr="00FD52C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D52C4">
            <w:pPr>
              <w:pStyle w:val="BodyText"/>
              <w:rPr>
                <w:lang w:val="en-NZ"/>
              </w:rPr>
            </w:pPr>
            <w:r w:rsidRPr="00FD52C4">
              <w:t>3.2</w:t>
            </w:r>
          </w:p>
        </w:tc>
        <w:tc>
          <w:tcPr>
            <w:tcW w:w="5610" w:type="dxa"/>
            <w:tcBorders>
              <w:top w:val="nil"/>
              <w:left w:val="nil"/>
              <w:bottom w:val="nil"/>
              <w:right w:val="nil"/>
            </w:tcBorders>
            <w:tcMar>
              <w:top w:w="0" w:type="dxa"/>
              <w:left w:w="62" w:type="dxa"/>
              <w:bottom w:w="0" w:type="dxa"/>
              <w:right w:w="62" w:type="dxa"/>
            </w:tcMar>
          </w:tcPr>
          <w:p w:rsidR="00000000" w:rsidP="00FD52C4">
            <w:pPr>
              <w:pStyle w:val="BodyText"/>
              <w:rPr>
                <w:lang w:val="en-NZ"/>
              </w:rPr>
            </w:pPr>
            <w:r w:rsidRPr="00FD52C4">
              <w:t>Take statements from witnesses and record details of persons believed to be near the site prior to or during the incident</w:t>
            </w:r>
          </w:p>
        </w:tc>
      </w:tr>
      <w:tr w:rsidTr="00FD52C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D52C4">
            <w:pPr>
              <w:pStyle w:val="BodyText"/>
              <w:rPr>
                <w:lang w:val="en-NZ"/>
              </w:rPr>
            </w:pPr>
            <w:r w:rsidRPr="00FD52C4">
              <w:t>3.3</w:t>
            </w:r>
          </w:p>
        </w:tc>
        <w:tc>
          <w:tcPr>
            <w:tcW w:w="5610" w:type="dxa"/>
            <w:tcBorders>
              <w:top w:val="nil"/>
              <w:left w:val="nil"/>
              <w:bottom w:val="nil"/>
              <w:right w:val="nil"/>
            </w:tcBorders>
            <w:tcMar>
              <w:top w:w="0" w:type="dxa"/>
              <w:left w:w="62" w:type="dxa"/>
              <w:bottom w:w="0" w:type="dxa"/>
              <w:right w:w="62" w:type="dxa"/>
            </w:tcMar>
          </w:tcPr>
          <w:p w:rsidR="00000000" w:rsidP="00FD52C4">
            <w:pPr>
              <w:pStyle w:val="BodyText"/>
              <w:rPr>
                <w:lang w:val="en-NZ"/>
              </w:rPr>
            </w:pPr>
            <w:r w:rsidRPr="00FD52C4">
              <w:t>Develop an initial timeline of events leading up to the incident</w:t>
            </w:r>
          </w:p>
        </w:tc>
      </w:tr>
      <w:tr w:rsidTr="00FD52C4">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FD52C4">
            <w:pPr>
              <w:pStyle w:val="BodyText"/>
              <w:rPr>
                <w:lang w:val="en-NZ"/>
              </w:rPr>
            </w:pPr>
          </w:p>
        </w:tc>
      </w:tr>
      <w:tr w:rsidTr="00FD52C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FD52C4" w:rsidP="00FD52C4">
            <w:pPr>
              <w:pStyle w:val="BodyText"/>
            </w:pPr>
            <w:r w:rsidRPr="00FD52C4">
              <w:t>4</w:t>
            </w:r>
          </w:p>
        </w:tc>
        <w:tc>
          <w:tcPr>
            <w:tcW w:w="1962" w:type="dxa"/>
            <w:vMerge w:val="restart"/>
            <w:tcBorders>
              <w:top w:val="nil"/>
              <w:left w:val="nil"/>
              <w:bottom w:val="nil"/>
              <w:right w:val="nil"/>
            </w:tcBorders>
            <w:tcMar>
              <w:top w:w="0" w:type="dxa"/>
              <w:left w:w="62" w:type="dxa"/>
              <w:bottom w:w="0" w:type="dxa"/>
              <w:right w:w="62" w:type="dxa"/>
            </w:tcMar>
          </w:tcPr>
          <w:p w:rsidR="00000000" w:rsidP="00FD52C4">
            <w:pPr>
              <w:pStyle w:val="BodyText"/>
              <w:rPr>
                <w:lang w:val="en-NZ"/>
              </w:rPr>
            </w:pPr>
            <w:r w:rsidRPr="00FD52C4">
              <w:rPr>
                <w:rStyle w:val="SpecialBold"/>
              </w:rPr>
              <w:t>Ensure safety when responding to an incident</w:t>
            </w:r>
          </w:p>
        </w:tc>
        <w:tc>
          <w:tcPr>
            <w:tcW w:w="770" w:type="dxa"/>
            <w:tcBorders>
              <w:top w:val="nil"/>
              <w:left w:val="nil"/>
              <w:bottom w:val="nil"/>
              <w:right w:val="nil"/>
            </w:tcBorders>
            <w:tcMar>
              <w:top w:w="0" w:type="dxa"/>
              <w:left w:w="62" w:type="dxa"/>
              <w:bottom w:w="0" w:type="dxa"/>
              <w:right w:w="62" w:type="dxa"/>
            </w:tcMar>
          </w:tcPr>
          <w:p w:rsidR="00000000" w:rsidP="00FD52C4">
            <w:pPr>
              <w:pStyle w:val="BodyText"/>
              <w:rPr>
                <w:lang w:val="en-NZ"/>
              </w:rPr>
            </w:pPr>
            <w:r w:rsidRPr="00FD52C4">
              <w:t>4.1</w:t>
            </w:r>
          </w:p>
        </w:tc>
        <w:tc>
          <w:tcPr>
            <w:tcW w:w="5610" w:type="dxa"/>
            <w:tcBorders>
              <w:top w:val="nil"/>
              <w:left w:val="nil"/>
              <w:bottom w:val="nil"/>
              <w:right w:val="nil"/>
            </w:tcBorders>
            <w:tcMar>
              <w:top w:w="0" w:type="dxa"/>
              <w:left w:w="62" w:type="dxa"/>
              <w:bottom w:w="0" w:type="dxa"/>
              <w:right w:w="62" w:type="dxa"/>
            </w:tcMar>
          </w:tcPr>
          <w:p w:rsidR="00000000" w:rsidP="00FD52C4">
            <w:pPr>
              <w:pStyle w:val="BodyText"/>
              <w:rPr>
                <w:lang w:val="en-NZ"/>
              </w:rPr>
            </w:pPr>
            <w:r w:rsidRPr="00FD52C4">
              <w:t>Identify hazards</w:t>
            </w:r>
          </w:p>
        </w:tc>
      </w:tr>
      <w:tr w:rsidTr="00FD52C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D52C4">
            <w:pPr>
              <w:pStyle w:val="BodyText"/>
              <w:rPr>
                <w:lang w:val="en-NZ"/>
              </w:rPr>
            </w:pPr>
            <w:r w:rsidRPr="00FD52C4">
              <w:t>4.2</w:t>
            </w:r>
          </w:p>
        </w:tc>
        <w:tc>
          <w:tcPr>
            <w:tcW w:w="5610" w:type="dxa"/>
            <w:tcBorders>
              <w:top w:val="nil"/>
              <w:left w:val="nil"/>
              <w:bottom w:val="nil"/>
              <w:right w:val="nil"/>
            </w:tcBorders>
            <w:tcMar>
              <w:top w:w="0" w:type="dxa"/>
              <w:left w:w="62" w:type="dxa"/>
              <w:bottom w:w="0" w:type="dxa"/>
              <w:right w:w="62" w:type="dxa"/>
            </w:tcMar>
          </w:tcPr>
          <w:p w:rsidR="00000000" w:rsidP="00FD52C4">
            <w:pPr>
              <w:pStyle w:val="BodyText"/>
              <w:rPr>
                <w:lang w:val="en-NZ"/>
              </w:rPr>
            </w:pPr>
            <w:r w:rsidRPr="00FD52C4">
              <w:t>Assess the risks arising from those hazards</w:t>
            </w:r>
          </w:p>
        </w:tc>
      </w:tr>
      <w:tr w:rsidTr="00FD52C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D52C4">
            <w:pPr>
              <w:pStyle w:val="BodyText"/>
              <w:rPr>
                <w:lang w:val="en-NZ"/>
              </w:rPr>
            </w:pPr>
            <w:r w:rsidRPr="00FD52C4">
              <w:t>4.3</w:t>
            </w:r>
          </w:p>
        </w:tc>
        <w:tc>
          <w:tcPr>
            <w:tcW w:w="5610" w:type="dxa"/>
            <w:tcBorders>
              <w:top w:val="nil"/>
              <w:left w:val="nil"/>
              <w:bottom w:val="nil"/>
              <w:right w:val="nil"/>
            </w:tcBorders>
            <w:tcMar>
              <w:top w:w="0" w:type="dxa"/>
              <w:left w:w="62" w:type="dxa"/>
              <w:bottom w:w="0" w:type="dxa"/>
              <w:right w:w="62" w:type="dxa"/>
            </w:tcMar>
          </w:tcPr>
          <w:p w:rsidR="00000000" w:rsidP="00FD52C4">
            <w:pPr>
              <w:pStyle w:val="BodyText"/>
              <w:rPr>
                <w:lang w:val="en-NZ"/>
              </w:rPr>
            </w:pPr>
            <w:r w:rsidRPr="00FD52C4">
              <w:t>Implement measures to control those risks in line with procedures and duty of care</w:t>
            </w:r>
          </w:p>
        </w:tc>
      </w:tr>
      <w:tr w:rsidTr="00FD52C4">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FD52C4">
            <w:pPr>
              <w:pStyle w:val="BodyText"/>
              <w:rPr>
                <w:lang w:val="en-NZ"/>
              </w:rPr>
            </w:pPr>
          </w:p>
        </w:tc>
      </w:tr>
      <w:tr w:rsidTr="00FD52C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FD52C4" w:rsidP="00FD52C4">
            <w:pPr>
              <w:pStyle w:val="BodyText"/>
            </w:pPr>
            <w:r w:rsidRPr="00FD52C4">
              <w:t>5</w:t>
            </w:r>
          </w:p>
        </w:tc>
        <w:tc>
          <w:tcPr>
            <w:tcW w:w="1962" w:type="dxa"/>
            <w:vMerge w:val="restart"/>
            <w:tcBorders>
              <w:top w:val="nil"/>
              <w:left w:val="nil"/>
              <w:bottom w:val="nil"/>
              <w:right w:val="nil"/>
            </w:tcBorders>
            <w:tcMar>
              <w:top w:w="0" w:type="dxa"/>
              <w:left w:w="62" w:type="dxa"/>
              <w:bottom w:w="0" w:type="dxa"/>
              <w:right w:w="62" w:type="dxa"/>
            </w:tcMar>
          </w:tcPr>
          <w:p w:rsidR="00000000" w:rsidP="00FD52C4">
            <w:pPr>
              <w:pStyle w:val="BodyText"/>
              <w:rPr>
                <w:lang w:val="en-NZ"/>
              </w:rPr>
            </w:pPr>
            <w:r w:rsidRPr="00FD52C4">
              <w:rPr>
                <w:rStyle w:val="SpecialBold"/>
              </w:rPr>
              <w:t>Respond to problems</w:t>
            </w:r>
          </w:p>
        </w:tc>
        <w:tc>
          <w:tcPr>
            <w:tcW w:w="770" w:type="dxa"/>
            <w:tcBorders>
              <w:top w:val="nil"/>
              <w:left w:val="nil"/>
              <w:bottom w:val="nil"/>
              <w:right w:val="nil"/>
            </w:tcBorders>
            <w:tcMar>
              <w:top w:w="0" w:type="dxa"/>
              <w:left w:w="62" w:type="dxa"/>
              <w:bottom w:w="0" w:type="dxa"/>
              <w:right w:w="62" w:type="dxa"/>
            </w:tcMar>
          </w:tcPr>
          <w:p w:rsidR="00000000" w:rsidP="00FD52C4">
            <w:pPr>
              <w:pStyle w:val="BodyText"/>
              <w:rPr>
                <w:lang w:val="en-NZ"/>
              </w:rPr>
            </w:pPr>
            <w:r w:rsidRPr="00FD52C4">
              <w:t>5.1</w:t>
            </w:r>
          </w:p>
        </w:tc>
        <w:tc>
          <w:tcPr>
            <w:tcW w:w="5610" w:type="dxa"/>
            <w:tcBorders>
              <w:top w:val="nil"/>
              <w:left w:val="nil"/>
              <w:bottom w:val="nil"/>
              <w:right w:val="nil"/>
            </w:tcBorders>
            <w:tcMar>
              <w:top w:w="0" w:type="dxa"/>
              <w:left w:w="62" w:type="dxa"/>
              <w:bottom w:w="0" w:type="dxa"/>
              <w:right w:w="62" w:type="dxa"/>
            </w:tcMar>
          </w:tcPr>
          <w:p w:rsidR="00000000" w:rsidP="00FD52C4">
            <w:pPr>
              <w:pStyle w:val="BodyText"/>
              <w:rPr>
                <w:lang w:val="en-NZ"/>
              </w:rPr>
            </w:pPr>
            <w:r w:rsidRPr="00FD52C4">
              <w:t>Identify possible problems in equipment or process</w:t>
            </w:r>
          </w:p>
        </w:tc>
      </w:tr>
      <w:tr w:rsidTr="00FD52C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D52C4">
            <w:pPr>
              <w:pStyle w:val="BodyText"/>
              <w:rPr>
                <w:lang w:val="en-NZ"/>
              </w:rPr>
            </w:pPr>
            <w:r w:rsidRPr="00FD52C4">
              <w:t>5.2</w:t>
            </w:r>
          </w:p>
        </w:tc>
        <w:tc>
          <w:tcPr>
            <w:tcW w:w="5610" w:type="dxa"/>
            <w:tcBorders>
              <w:top w:val="nil"/>
              <w:left w:val="nil"/>
              <w:bottom w:val="nil"/>
              <w:right w:val="nil"/>
            </w:tcBorders>
            <w:tcMar>
              <w:top w:w="0" w:type="dxa"/>
              <w:left w:w="62" w:type="dxa"/>
              <w:bottom w:w="0" w:type="dxa"/>
              <w:right w:w="62" w:type="dxa"/>
            </w:tcMar>
          </w:tcPr>
          <w:p w:rsidR="00000000" w:rsidP="00FD52C4">
            <w:pPr>
              <w:pStyle w:val="BodyText"/>
              <w:rPr>
                <w:lang w:val="en-NZ"/>
              </w:rPr>
            </w:pPr>
            <w:r w:rsidRPr="00FD52C4">
              <w:t>Determine which problems need action</w:t>
            </w:r>
          </w:p>
        </w:tc>
      </w:tr>
      <w:tr w:rsidTr="00FD52C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D52C4">
            <w:pPr>
              <w:pStyle w:val="BodyText"/>
              <w:rPr>
                <w:lang w:val="en-NZ"/>
              </w:rPr>
            </w:pPr>
            <w:r w:rsidRPr="00FD52C4">
              <w:t>5.3</w:t>
            </w:r>
          </w:p>
        </w:tc>
        <w:tc>
          <w:tcPr>
            <w:tcW w:w="5610" w:type="dxa"/>
            <w:tcBorders>
              <w:top w:val="nil"/>
              <w:left w:val="nil"/>
              <w:bottom w:val="nil"/>
              <w:right w:val="nil"/>
            </w:tcBorders>
            <w:tcMar>
              <w:top w:w="0" w:type="dxa"/>
              <w:left w:w="62" w:type="dxa"/>
              <w:bottom w:w="0" w:type="dxa"/>
              <w:right w:w="62" w:type="dxa"/>
            </w:tcMar>
          </w:tcPr>
          <w:p w:rsidR="00000000" w:rsidP="00FD52C4">
            <w:pPr>
              <w:pStyle w:val="BodyText"/>
              <w:rPr>
                <w:lang w:val="en-NZ"/>
              </w:rPr>
            </w:pPr>
            <w:r w:rsidRPr="00FD52C4">
              <w:t>Determine possible fault causes</w:t>
            </w:r>
          </w:p>
        </w:tc>
      </w:tr>
      <w:tr w:rsidTr="00FD52C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D52C4">
            <w:pPr>
              <w:pStyle w:val="BodyText"/>
              <w:rPr>
                <w:lang w:val="en-NZ"/>
              </w:rPr>
            </w:pPr>
            <w:r w:rsidRPr="00FD52C4">
              <w:t>5.4</w:t>
            </w:r>
          </w:p>
        </w:tc>
        <w:tc>
          <w:tcPr>
            <w:tcW w:w="5610" w:type="dxa"/>
            <w:tcBorders>
              <w:top w:val="nil"/>
              <w:left w:val="nil"/>
              <w:bottom w:val="nil"/>
              <w:right w:val="nil"/>
            </w:tcBorders>
            <w:tcMar>
              <w:top w:w="0" w:type="dxa"/>
              <w:left w:w="62" w:type="dxa"/>
              <w:bottom w:w="0" w:type="dxa"/>
              <w:right w:w="62" w:type="dxa"/>
            </w:tcMar>
          </w:tcPr>
          <w:p w:rsidR="00000000" w:rsidP="00FD52C4">
            <w:pPr>
              <w:pStyle w:val="BodyText"/>
              <w:rPr>
                <w:lang w:val="en-NZ"/>
              </w:rPr>
            </w:pPr>
            <w:r w:rsidRPr="00FD52C4">
              <w:t>Rectify problems using solutions within area of responsibility</w:t>
            </w:r>
          </w:p>
        </w:tc>
      </w:tr>
      <w:tr w:rsidTr="00FD52C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D52C4">
            <w:pPr>
              <w:pStyle w:val="BodyText"/>
              <w:rPr>
                <w:lang w:val="en-NZ"/>
              </w:rPr>
            </w:pPr>
            <w:r w:rsidRPr="00FD52C4">
              <w:t>5.5</w:t>
            </w:r>
          </w:p>
        </w:tc>
        <w:tc>
          <w:tcPr>
            <w:tcW w:w="5610" w:type="dxa"/>
            <w:tcBorders>
              <w:top w:val="nil"/>
              <w:left w:val="nil"/>
              <w:bottom w:val="nil"/>
              <w:right w:val="nil"/>
            </w:tcBorders>
            <w:tcMar>
              <w:top w:w="0" w:type="dxa"/>
              <w:left w:w="62" w:type="dxa"/>
              <w:bottom w:w="0" w:type="dxa"/>
              <w:right w:w="62" w:type="dxa"/>
            </w:tcMar>
          </w:tcPr>
          <w:p w:rsidR="00000000" w:rsidP="00FD52C4">
            <w:pPr>
              <w:pStyle w:val="BodyText"/>
              <w:rPr>
                <w:lang w:val="en-NZ"/>
              </w:rPr>
            </w:pPr>
            <w:r w:rsidRPr="00FD52C4">
              <w:t>Follow through items initiated until final resolution has occurred</w:t>
            </w:r>
          </w:p>
        </w:tc>
      </w:tr>
      <w:tr w:rsidTr="00FD52C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D52C4">
            <w:pPr>
              <w:pStyle w:val="BodyText"/>
              <w:rPr>
                <w:lang w:val="en-NZ"/>
              </w:rPr>
            </w:pPr>
            <w:r w:rsidRPr="00FD52C4">
              <w:t>5.6</w:t>
            </w:r>
          </w:p>
        </w:tc>
        <w:tc>
          <w:tcPr>
            <w:tcW w:w="5610" w:type="dxa"/>
            <w:tcBorders>
              <w:top w:val="nil"/>
              <w:left w:val="nil"/>
              <w:bottom w:val="nil"/>
              <w:right w:val="nil"/>
            </w:tcBorders>
            <w:tcMar>
              <w:top w:w="0" w:type="dxa"/>
              <w:left w:w="62" w:type="dxa"/>
              <w:bottom w:w="0" w:type="dxa"/>
              <w:right w:w="62" w:type="dxa"/>
            </w:tcMar>
          </w:tcPr>
          <w:p w:rsidR="00000000" w:rsidRPr="00FD52C4" w:rsidP="00FD52C4">
            <w:pPr>
              <w:pStyle w:val="BodyText"/>
            </w:pPr>
            <w:r w:rsidRPr="00FD52C4">
              <w:t>Report problems outside area of responsibility to designated person</w:t>
            </w:r>
          </w:p>
        </w:tc>
      </w:tr>
    </w:tbl>
    <w:p w:rsidR="00000000" w:rsidRPr="00FD52C4" w:rsidP="00FD52C4">
      <w:pPr>
        <w:pStyle w:val="BodyText"/>
      </w:pPr>
    </w:p>
    <w:p w:rsidR="00000000" w:rsidRPr="00FD52C4" w:rsidP="00FD52C4">
      <w:pPr>
        <w:pStyle w:val="AllowPageBreak"/>
      </w:pPr>
    </w:p>
    <w:p w:rsidR="00000000" w:rsidRPr="00FD52C4" w:rsidP="00FD52C4">
      <w:pPr>
        <w:pStyle w:val="Heading1"/>
      </w:pPr>
      <w:bookmarkStart w:id="7" w:name="O_908832"/>
      <w:bookmarkEnd w:id="7"/>
      <w:r w:rsidRPr="00FD52C4">
        <w:t>Foundation Skills</w:t>
      </w:r>
    </w:p>
    <w:p w:rsidR="00000000" w:rsidRPr="00FD52C4" w:rsidP="005A6C2A">
      <w:pPr>
        <w:pStyle w:val="BodyText"/>
      </w:pPr>
      <w:r w:rsidRPr="00FD52C4">
        <w:t>This section describes those language, literacy, numeracy and employment skills that are essential to performance.</w:t>
      </w:r>
    </w:p>
    <w:p w:rsidR="00000000" w:rsidRPr="00FD52C4" w:rsidP="005A6C2A">
      <w:pPr>
        <w:pStyle w:val="BodyText"/>
      </w:pPr>
      <w:r w:rsidRPr="00FD52C4">
        <w:t>Foundation skills essential to performance are explicit in the performance criteria of this unit of competency.</w:t>
      </w:r>
    </w:p>
    <w:p w:rsidR="00000000" w:rsidRPr="00FD52C4" w:rsidP="00FD52C4">
      <w:pPr>
        <w:pStyle w:val="Heading1"/>
      </w:pPr>
      <w:bookmarkStart w:id="8" w:name="O_908831"/>
      <w:bookmarkEnd w:id="8"/>
      <w:r w:rsidRPr="00FD52C4">
        <w:t>Range of Conditions</w:t>
      </w:r>
    </w:p>
    <w:tbl>
      <w:tblPr>
        <w:tblW w:w="0" w:type="auto"/>
        <w:tblCellMar>
          <w:left w:w="62" w:type="dxa"/>
          <w:right w:w="62" w:type="dxa"/>
        </w:tblCellMar>
        <w:tblLook w:val="0000"/>
      </w:tblPr>
      <w:tblGrid>
        <w:gridCol w:w="2163"/>
        <w:gridCol w:w="7033"/>
      </w:tblGrid>
      <w:tr w:rsidTr="005A6C2A">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FD52C4">
            <w:pPr>
              <w:pStyle w:val="BodyText"/>
              <w:rPr>
                <w:lang w:val="en-NZ"/>
              </w:rPr>
            </w:pPr>
            <w:r w:rsidRPr="00FD52C4">
              <w:t>This field allows for different work environments and conditions that may affect performance. Essential ope</w:t>
            </w:r>
            <w:r w:rsidRPr="00FD52C4">
              <w:t>rating conditions that may be present (depending on the work situation, needs of the candidate, accessibility of the item, and local industry and regional contexts) are included.</w:t>
            </w:r>
          </w:p>
        </w:tc>
      </w:tr>
      <w:tr w:rsidTr="005A6C2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D52C4">
            <w:pPr>
              <w:pStyle w:val="BodyText"/>
              <w:rPr>
                <w:lang w:val="en-NZ"/>
              </w:rPr>
            </w:pPr>
            <w:r w:rsidRPr="00FD52C4">
              <w:rPr>
                <w:rStyle w:val="SpecialBold"/>
              </w:rPr>
              <w:t>Regulatory framework</w:t>
            </w:r>
          </w:p>
        </w:tc>
        <w:tc>
          <w:tcPr>
            <w:tcW w:w="0" w:type="auto"/>
            <w:tcBorders>
              <w:top w:val="nil"/>
              <w:left w:val="nil"/>
              <w:bottom w:val="nil"/>
              <w:right w:val="nil"/>
            </w:tcBorders>
            <w:tcMar>
              <w:top w:w="0" w:type="dxa"/>
              <w:left w:w="62" w:type="dxa"/>
              <w:bottom w:w="0" w:type="dxa"/>
              <w:right w:w="62" w:type="dxa"/>
            </w:tcMar>
          </w:tcPr>
          <w:p w:rsidR="00000000" w:rsidRPr="00FD52C4" w:rsidP="00FD52C4">
            <w:pPr>
              <w:pStyle w:val="BodyText"/>
            </w:pPr>
            <w:r w:rsidRPr="00FD52C4">
              <w:t>The latest version of all legislation, regulations, in</w:t>
            </w:r>
            <w:r w:rsidRPr="00FD52C4">
              <w:t>dustry codes of practice and Australian/international standards, or the version specified by the local regulatory authority, must be used, and include one or more of the following:</w:t>
            </w:r>
          </w:p>
          <w:p w:rsidR="00000000" w:rsidRPr="00FD52C4" w:rsidP="00FD52C4">
            <w:pPr>
              <w:pStyle w:val="ListBullet"/>
            </w:pPr>
            <w:r w:rsidRPr="00FD52C4">
              <w:t>legislative requirements, including work health and safety (WHS)</w:t>
            </w:r>
          </w:p>
          <w:p w:rsidR="00000000" w:rsidRPr="00FD52C4" w:rsidP="00FD52C4">
            <w:pPr>
              <w:pStyle w:val="ListBullet"/>
            </w:pPr>
            <w:r w:rsidRPr="00FD52C4">
              <w:t>industry codes of practice and guidelines</w:t>
            </w:r>
          </w:p>
          <w:p w:rsidR="00000000" w:rsidRPr="00FD52C4" w:rsidP="00FD52C4">
            <w:pPr>
              <w:pStyle w:val="ListBullet"/>
            </w:pPr>
            <w:r w:rsidRPr="00FD52C4">
              <w:t xml:space="preserve">environmental regulations and guidelines </w:t>
            </w:r>
          </w:p>
          <w:p w:rsidR="00000000" w:rsidRPr="00FD52C4" w:rsidP="00FD52C4">
            <w:pPr>
              <w:pStyle w:val="ListBullet"/>
            </w:pPr>
            <w:r w:rsidRPr="00FD52C4">
              <w:t>Australian and other standards</w:t>
            </w:r>
          </w:p>
          <w:p w:rsidR="00000000" w:rsidRPr="00FD52C4" w:rsidP="00FD52C4">
            <w:pPr>
              <w:pStyle w:val="ListBullet"/>
            </w:pPr>
            <w:r w:rsidRPr="00FD52C4">
              <w:t xml:space="preserve">licence and certification requirements </w:t>
            </w:r>
          </w:p>
          <w:p w:rsidR="00000000" w:rsidRPr="00FD52C4" w:rsidP="00FD52C4">
            <w:pPr>
              <w:pStyle w:val="BodyText"/>
            </w:pPr>
          </w:p>
          <w:p w:rsidR="00000000" w:rsidRPr="00FD52C4" w:rsidP="00FD52C4">
            <w:pPr>
              <w:pStyle w:val="BodyText"/>
            </w:pPr>
            <w:r w:rsidRPr="00FD52C4">
              <w:t>All operations to which this unit applies are subject to stringent health, safety and environment (H</w:t>
            </w:r>
            <w:r w:rsidRPr="00FD52C4">
              <w:t>SE) requirements, which may be imposed through state/territory or federal legislation, and these must not be compromised at any time. Where there is an apparent conflict between performance criteria and HSE requirements, the HSE requirements take precedenc</w:t>
            </w:r>
            <w:r w:rsidRPr="00FD52C4">
              <w:t>e.</w:t>
            </w:r>
          </w:p>
          <w:p w:rsidR="00000000" w:rsidP="00FD52C4">
            <w:pPr>
              <w:pStyle w:val="BodyText"/>
              <w:rPr>
                <w:lang w:val="en-NZ"/>
              </w:rPr>
            </w:pPr>
          </w:p>
        </w:tc>
      </w:tr>
      <w:tr w:rsidTr="005A6C2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D52C4">
            <w:pPr>
              <w:pStyle w:val="BodyText"/>
              <w:rPr>
                <w:lang w:val="en-NZ"/>
              </w:rPr>
            </w:pPr>
            <w:r w:rsidRPr="00FD52C4">
              <w:rPr>
                <w:rStyle w:val="SpecialBold"/>
              </w:rPr>
              <w:t>Procedures</w:t>
            </w:r>
          </w:p>
        </w:tc>
        <w:tc>
          <w:tcPr>
            <w:tcW w:w="0" w:type="auto"/>
            <w:tcBorders>
              <w:top w:val="nil"/>
              <w:left w:val="nil"/>
              <w:bottom w:val="nil"/>
              <w:right w:val="nil"/>
            </w:tcBorders>
            <w:tcMar>
              <w:top w:w="0" w:type="dxa"/>
              <w:left w:w="62" w:type="dxa"/>
              <w:bottom w:w="0" w:type="dxa"/>
              <w:right w:w="62" w:type="dxa"/>
            </w:tcMar>
          </w:tcPr>
          <w:p w:rsidR="00000000" w:rsidRPr="00FD52C4" w:rsidP="00FD52C4">
            <w:pPr>
              <w:pStyle w:val="BodyText"/>
            </w:pPr>
            <w:r w:rsidRPr="00FD52C4">
              <w:t>All operations must be performed in accordance with relevant procedures.</w:t>
            </w:r>
          </w:p>
          <w:p w:rsidR="00000000" w:rsidRPr="00FD52C4" w:rsidP="00FD52C4">
            <w:pPr>
              <w:pStyle w:val="BodyText"/>
            </w:pPr>
          </w:p>
          <w:p w:rsidR="00000000" w:rsidRPr="00FD52C4" w:rsidP="00FD52C4">
            <w:pPr>
              <w:pStyle w:val="BodyText"/>
            </w:pPr>
            <w:r w:rsidRPr="00FD52C4">
              <w:t>Procedures are written, verbal, visual, computer-based or in some other form, and include one or more of the following:</w:t>
            </w:r>
          </w:p>
          <w:p w:rsidR="00000000" w:rsidRPr="00FD52C4" w:rsidP="00FD52C4">
            <w:pPr>
              <w:pStyle w:val="ListBullet"/>
            </w:pPr>
            <w:r w:rsidRPr="00FD52C4">
              <w:t>emergency procedures</w:t>
            </w:r>
          </w:p>
          <w:p w:rsidR="00000000" w:rsidRPr="00FD52C4" w:rsidP="00FD52C4">
            <w:pPr>
              <w:pStyle w:val="ListBullet"/>
            </w:pPr>
            <w:r w:rsidRPr="00FD52C4">
              <w:t>work instructions</w:t>
            </w:r>
          </w:p>
          <w:p w:rsidR="00000000" w:rsidRPr="00FD52C4" w:rsidP="00FD52C4">
            <w:pPr>
              <w:pStyle w:val="ListBullet"/>
            </w:pPr>
            <w:r w:rsidRPr="00FD52C4">
              <w:t>standard operating procedures (SOPs)</w:t>
            </w:r>
          </w:p>
          <w:p w:rsidR="00000000" w:rsidRPr="00FD52C4" w:rsidP="00FD52C4">
            <w:pPr>
              <w:pStyle w:val="ListBullet"/>
            </w:pPr>
            <w:r w:rsidRPr="00FD52C4">
              <w:t>safe work method statements (SWMS)</w:t>
            </w:r>
          </w:p>
          <w:p w:rsidR="00000000" w:rsidRPr="00FD52C4" w:rsidP="00FD52C4">
            <w:pPr>
              <w:pStyle w:val="ListBullet"/>
            </w:pPr>
            <w:r w:rsidRPr="00FD52C4">
              <w:t>formulas/recipes</w:t>
            </w:r>
          </w:p>
          <w:p w:rsidR="00000000" w:rsidRPr="00FD52C4" w:rsidP="00FD52C4">
            <w:pPr>
              <w:pStyle w:val="ListBullet"/>
            </w:pPr>
            <w:r w:rsidRPr="00FD52C4">
              <w:t>batch sheets</w:t>
            </w:r>
          </w:p>
          <w:p w:rsidR="00000000" w:rsidRPr="00FD52C4" w:rsidP="00FD52C4">
            <w:pPr>
              <w:pStyle w:val="ListBullet"/>
            </w:pPr>
            <w:r w:rsidRPr="00FD52C4">
              <w:t>temporary instructions</w:t>
            </w:r>
          </w:p>
          <w:p w:rsidR="00000000" w:rsidRPr="00FD52C4" w:rsidP="00FD52C4">
            <w:pPr>
              <w:pStyle w:val="ListBullet"/>
            </w:pPr>
            <w:r w:rsidRPr="00FD52C4">
              <w:t>any similar instructions provided for the smooth running of the plant</w:t>
            </w:r>
          </w:p>
          <w:p w:rsidR="00000000" w:rsidP="00FD52C4">
            <w:pPr>
              <w:pStyle w:val="BodyText"/>
              <w:rPr>
                <w:lang w:val="en-NZ"/>
              </w:rPr>
            </w:pPr>
          </w:p>
        </w:tc>
      </w:tr>
      <w:tr w:rsidTr="005A6C2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D52C4">
            <w:pPr>
              <w:pStyle w:val="BodyText"/>
              <w:rPr>
                <w:lang w:val="en-NZ"/>
              </w:rPr>
            </w:pPr>
            <w:r w:rsidRPr="00FD52C4">
              <w:rPr>
                <w:rStyle w:val="SpecialBold"/>
              </w:rPr>
              <w:t xml:space="preserve">Equipment and tools </w:t>
            </w:r>
          </w:p>
        </w:tc>
        <w:tc>
          <w:tcPr>
            <w:tcW w:w="0" w:type="auto"/>
            <w:tcBorders>
              <w:top w:val="nil"/>
              <w:left w:val="nil"/>
              <w:bottom w:val="nil"/>
              <w:right w:val="nil"/>
            </w:tcBorders>
            <w:tcMar>
              <w:top w:w="0" w:type="dxa"/>
              <w:left w:w="62" w:type="dxa"/>
              <w:bottom w:w="0" w:type="dxa"/>
              <w:right w:w="62" w:type="dxa"/>
            </w:tcMar>
          </w:tcPr>
          <w:p w:rsidR="00000000" w:rsidRPr="00FD52C4" w:rsidP="00FD52C4">
            <w:pPr>
              <w:pStyle w:val="BodyText"/>
            </w:pPr>
            <w:r w:rsidRPr="00FD52C4">
              <w:t>Equipment and tools include one or mor</w:t>
            </w:r>
            <w:r w:rsidRPr="00FD52C4">
              <w:t>e of the following:</w:t>
            </w:r>
          </w:p>
          <w:p w:rsidR="00000000" w:rsidRPr="00FD52C4" w:rsidP="00FD52C4">
            <w:pPr>
              <w:pStyle w:val="ListBullet"/>
            </w:pPr>
            <w:r w:rsidRPr="00FD52C4">
              <w:t>note taking materials</w:t>
            </w:r>
          </w:p>
          <w:p w:rsidR="00000000" w:rsidRPr="00FD52C4" w:rsidP="00FD52C4">
            <w:pPr>
              <w:pStyle w:val="ListBullet"/>
            </w:pPr>
            <w:r w:rsidRPr="00FD52C4">
              <w:t>standard forms</w:t>
            </w:r>
          </w:p>
          <w:p w:rsidR="00000000" w:rsidRPr="00FD52C4" w:rsidP="00FD52C4">
            <w:pPr>
              <w:pStyle w:val="ListBullet"/>
            </w:pPr>
            <w:r w:rsidRPr="00FD52C4">
              <w:t>sketching materials</w:t>
            </w:r>
          </w:p>
          <w:p w:rsidR="00000000" w:rsidRPr="00FD52C4" w:rsidP="00FD52C4">
            <w:pPr>
              <w:pStyle w:val="ListBullet"/>
            </w:pPr>
            <w:r w:rsidRPr="00FD52C4">
              <w:t>photographic equipment</w:t>
            </w:r>
          </w:p>
          <w:p w:rsidR="00000000" w:rsidRPr="00FD52C4" w:rsidP="00FD52C4">
            <w:pPr>
              <w:pStyle w:val="ListBullet"/>
            </w:pPr>
            <w:r w:rsidRPr="00FD52C4">
              <w:t>taping or electronic videoing equipment</w:t>
            </w:r>
          </w:p>
          <w:p w:rsidR="00000000" w:rsidRPr="00FD52C4" w:rsidP="00FD52C4">
            <w:pPr>
              <w:pStyle w:val="ListBullet"/>
            </w:pPr>
            <w:r w:rsidRPr="00FD52C4">
              <w:t>non-sparking or radio transmission equipment (where safety permits)</w:t>
            </w:r>
          </w:p>
          <w:p w:rsidR="00000000" w:rsidP="00FD52C4">
            <w:pPr>
              <w:pStyle w:val="BodyText"/>
              <w:rPr>
                <w:lang w:val="en-NZ"/>
              </w:rPr>
            </w:pPr>
          </w:p>
        </w:tc>
      </w:tr>
      <w:tr w:rsidTr="005A6C2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D52C4">
            <w:pPr>
              <w:pStyle w:val="BodyText"/>
              <w:rPr>
                <w:lang w:val="en-NZ"/>
              </w:rPr>
            </w:pPr>
            <w:r w:rsidRPr="00FD52C4">
              <w:rPr>
                <w:rStyle w:val="SpecialBold"/>
              </w:rPr>
              <w:t>Problems</w:t>
            </w:r>
          </w:p>
        </w:tc>
        <w:tc>
          <w:tcPr>
            <w:tcW w:w="0" w:type="auto"/>
            <w:tcBorders>
              <w:top w:val="nil"/>
              <w:left w:val="nil"/>
              <w:bottom w:val="nil"/>
              <w:right w:val="nil"/>
            </w:tcBorders>
            <w:tcMar>
              <w:top w:w="0" w:type="dxa"/>
              <w:left w:w="62" w:type="dxa"/>
              <w:bottom w:w="0" w:type="dxa"/>
              <w:right w:w="62" w:type="dxa"/>
            </w:tcMar>
          </w:tcPr>
          <w:p w:rsidR="00000000" w:rsidRPr="00FD52C4" w:rsidP="00FD52C4">
            <w:pPr>
              <w:pStyle w:val="BodyText"/>
            </w:pPr>
            <w:r w:rsidRPr="00FD52C4">
              <w:t>Problems in equipment or process include one or more of the following:</w:t>
            </w:r>
          </w:p>
          <w:p w:rsidR="00000000" w:rsidRPr="00FD52C4" w:rsidP="00FD52C4">
            <w:pPr>
              <w:pStyle w:val="ListBullet"/>
            </w:pPr>
            <w:r w:rsidRPr="00FD52C4">
              <w:t>rescue equipment and/or personnel contaminating the site</w:t>
            </w:r>
          </w:p>
          <w:p w:rsidR="00000000" w:rsidRPr="00FD52C4" w:rsidP="00FD52C4">
            <w:pPr>
              <w:pStyle w:val="ListBullet"/>
            </w:pPr>
            <w:r w:rsidRPr="00FD52C4">
              <w:t>loss of/difficulties in maintaining communications</w:t>
            </w:r>
          </w:p>
          <w:p w:rsidR="00000000" w:rsidP="00FD52C4">
            <w:pPr>
              <w:pStyle w:val="BodyText"/>
              <w:rPr>
                <w:lang w:val="en-NZ"/>
              </w:rPr>
            </w:pPr>
          </w:p>
        </w:tc>
      </w:tr>
      <w:tr w:rsidTr="005A6C2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D52C4">
            <w:pPr>
              <w:pStyle w:val="BodyText"/>
              <w:rPr>
                <w:lang w:val="en-NZ"/>
              </w:rPr>
            </w:pPr>
            <w:r w:rsidRPr="00FD52C4">
              <w:rPr>
                <w:rStyle w:val="SpecialBold"/>
              </w:rPr>
              <w:t>Record details</w:t>
            </w:r>
          </w:p>
        </w:tc>
        <w:tc>
          <w:tcPr>
            <w:tcW w:w="0" w:type="auto"/>
            <w:tcBorders>
              <w:top w:val="nil"/>
              <w:left w:val="nil"/>
              <w:bottom w:val="nil"/>
              <w:right w:val="nil"/>
            </w:tcBorders>
            <w:tcMar>
              <w:top w:w="0" w:type="dxa"/>
              <w:left w:w="62" w:type="dxa"/>
              <w:bottom w:w="0" w:type="dxa"/>
              <w:right w:w="62" w:type="dxa"/>
            </w:tcMar>
          </w:tcPr>
          <w:p w:rsidR="00000000" w:rsidRPr="00FD52C4" w:rsidP="00FD52C4">
            <w:pPr>
              <w:pStyle w:val="BodyText"/>
            </w:pPr>
            <w:r w:rsidRPr="00FD52C4">
              <w:t>Recording details and information requires accuracy and inc</w:t>
            </w:r>
            <w:r w:rsidRPr="00FD52C4">
              <w:t xml:space="preserve">ludes one or more of the following: </w:t>
            </w:r>
          </w:p>
          <w:p w:rsidR="00000000" w:rsidRPr="00FD52C4" w:rsidP="00FD52C4">
            <w:pPr>
              <w:pStyle w:val="ListBullet"/>
            </w:pPr>
            <w:r w:rsidRPr="00FD52C4">
              <w:t>capturing the exact words used vs summarising/paraphrasing</w:t>
            </w:r>
          </w:p>
          <w:p w:rsidR="00000000" w:rsidRPr="00FD52C4" w:rsidP="00FD52C4">
            <w:pPr>
              <w:pStyle w:val="ListBullet"/>
            </w:pPr>
            <w:r w:rsidRPr="00FD52C4">
              <w:t>noting conditions (like weather)</w:t>
            </w:r>
          </w:p>
          <w:p w:rsidR="00000000" w:rsidRPr="00FD52C4" w:rsidP="00FD52C4">
            <w:pPr>
              <w:pStyle w:val="ListBullet"/>
            </w:pPr>
            <w:r w:rsidRPr="00FD52C4">
              <w:t>taking photos</w:t>
            </w:r>
          </w:p>
          <w:p w:rsidR="00000000" w:rsidRPr="00FD52C4" w:rsidP="00FD52C4">
            <w:pPr>
              <w:pStyle w:val="ListBullet"/>
            </w:pPr>
            <w:r w:rsidRPr="00FD52C4">
              <w:t>diagrams/sketches</w:t>
            </w:r>
          </w:p>
          <w:p w:rsidR="00000000" w:rsidRPr="00FD52C4" w:rsidP="00FD52C4">
            <w:pPr>
              <w:pStyle w:val="ListBullet"/>
            </w:pPr>
            <w:r w:rsidRPr="00FD52C4">
              <w:t>noting the time of events and discussions</w:t>
            </w:r>
          </w:p>
          <w:p w:rsidR="00000000" w:rsidRPr="00FD52C4" w:rsidP="00FD52C4">
            <w:pPr>
              <w:pStyle w:val="ListBullet"/>
            </w:pPr>
            <w:r w:rsidRPr="00FD52C4">
              <w:t>own actions taken</w:t>
            </w:r>
          </w:p>
          <w:p w:rsidR="00000000" w:rsidP="00FD52C4">
            <w:pPr>
              <w:pStyle w:val="BodyText"/>
              <w:rPr>
                <w:lang w:val="en-NZ"/>
              </w:rPr>
            </w:pPr>
          </w:p>
        </w:tc>
      </w:tr>
      <w:tr w:rsidTr="005A6C2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D52C4">
            <w:pPr>
              <w:pStyle w:val="BodyText"/>
              <w:rPr>
                <w:lang w:val="en-NZ"/>
              </w:rPr>
            </w:pPr>
            <w:r w:rsidRPr="00FD52C4">
              <w:rPr>
                <w:rStyle w:val="SpecialBold"/>
              </w:rPr>
              <w:t>Hazards</w:t>
            </w:r>
          </w:p>
        </w:tc>
        <w:tc>
          <w:tcPr>
            <w:tcW w:w="0" w:type="auto"/>
            <w:tcBorders>
              <w:top w:val="nil"/>
              <w:left w:val="nil"/>
              <w:bottom w:val="nil"/>
              <w:right w:val="nil"/>
            </w:tcBorders>
            <w:tcMar>
              <w:top w:w="0" w:type="dxa"/>
              <w:left w:w="62" w:type="dxa"/>
              <w:bottom w:w="0" w:type="dxa"/>
              <w:right w:w="62" w:type="dxa"/>
            </w:tcMar>
          </w:tcPr>
          <w:p w:rsidR="00000000" w:rsidRPr="00FD52C4" w:rsidP="00FD52C4">
            <w:pPr>
              <w:pStyle w:val="BodyText"/>
            </w:pPr>
            <w:r w:rsidRPr="00FD52C4">
              <w:t>Hazards inc</w:t>
            </w:r>
            <w:r w:rsidRPr="00FD52C4">
              <w:t>lude one or more of the following:</w:t>
            </w:r>
          </w:p>
          <w:p w:rsidR="00000000" w:rsidRPr="00FD52C4" w:rsidP="00FD52C4">
            <w:pPr>
              <w:pStyle w:val="ListBullet"/>
            </w:pPr>
            <w:r w:rsidRPr="00FD52C4">
              <w:t xml:space="preserve">explosive atmospheres </w:t>
            </w:r>
          </w:p>
          <w:p w:rsidR="00000000" w:rsidRPr="00FD52C4" w:rsidP="00FD52C4">
            <w:pPr>
              <w:pStyle w:val="ListBullet"/>
            </w:pPr>
            <w:r w:rsidRPr="00FD52C4">
              <w:t>inherent site dangers from debris or damaged equipment</w:t>
            </w:r>
          </w:p>
          <w:p w:rsidR="00000000" w:rsidRPr="00FD52C4" w:rsidP="00FD52C4">
            <w:pPr>
              <w:pStyle w:val="ListBullet"/>
            </w:pPr>
            <w:r w:rsidRPr="00FD52C4">
              <w:t>weakened structures</w:t>
            </w:r>
          </w:p>
          <w:p w:rsidR="00000000" w:rsidRPr="00FD52C4" w:rsidP="00FD52C4">
            <w:pPr>
              <w:pStyle w:val="ListBullet"/>
            </w:pPr>
            <w:r w:rsidRPr="00FD52C4">
              <w:t>heat, smoke, darkness, dust or other atmospheric hazards</w:t>
            </w:r>
          </w:p>
          <w:p w:rsidR="00000000" w:rsidRPr="00FD52C4" w:rsidP="00FD52C4">
            <w:pPr>
              <w:pStyle w:val="ListBullet"/>
            </w:pPr>
            <w:r w:rsidRPr="00FD52C4">
              <w:t>electricity</w:t>
            </w:r>
          </w:p>
          <w:p w:rsidR="00000000" w:rsidRPr="00FD52C4" w:rsidP="00FD52C4">
            <w:pPr>
              <w:pStyle w:val="ListBullet"/>
            </w:pPr>
            <w:r w:rsidRPr="00FD52C4">
              <w:t>gas</w:t>
            </w:r>
          </w:p>
          <w:p w:rsidR="00000000" w:rsidRPr="00FD52C4" w:rsidP="00FD52C4">
            <w:pPr>
              <w:pStyle w:val="ListBullet"/>
            </w:pPr>
            <w:r w:rsidRPr="00FD52C4">
              <w:t xml:space="preserve">gases and liquids under pressure </w:t>
            </w:r>
          </w:p>
          <w:p w:rsidR="00000000" w:rsidRPr="00FD52C4" w:rsidP="00FD52C4">
            <w:pPr>
              <w:pStyle w:val="ListBullet"/>
            </w:pPr>
            <w:r w:rsidRPr="00FD52C4">
              <w:t>structural hazards</w:t>
            </w:r>
          </w:p>
          <w:p w:rsidR="00000000" w:rsidRPr="00FD52C4" w:rsidP="00FD52C4">
            <w:pPr>
              <w:pStyle w:val="ListBullet"/>
            </w:pPr>
            <w:r w:rsidRPr="00FD52C4">
              <w:t>structural collapse</w:t>
            </w:r>
          </w:p>
          <w:p w:rsidR="00000000" w:rsidRPr="00FD52C4" w:rsidP="00FD52C4">
            <w:pPr>
              <w:pStyle w:val="ListBullet"/>
            </w:pPr>
            <w:r w:rsidRPr="00FD52C4">
              <w:t>equipment failures</w:t>
            </w:r>
          </w:p>
          <w:p w:rsidR="00000000" w:rsidRPr="00FD52C4" w:rsidP="00FD52C4">
            <w:pPr>
              <w:pStyle w:val="ListBullet"/>
            </w:pPr>
            <w:r w:rsidRPr="00FD52C4">
              <w:t>industrial (machinery, equipment and product)</w:t>
            </w:r>
          </w:p>
          <w:p w:rsidR="00000000" w:rsidRPr="00FD52C4" w:rsidP="00FD52C4">
            <w:pPr>
              <w:pStyle w:val="ListBullet"/>
            </w:pPr>
            <w:r w:rsidRPr="00FD52C4">
              <w:t>equipment or product mass</w:t>
            </w:r>
          </w:p>
          <w:p w:rsidR="00000000" w:rsidRPr="00FD52C4" w:rsidP="00FD52C4">
            <w:pPr>
              <w:pStyle w:val="ListBullet"/>
            </w:pPr>
            <w:r w:rsidRPr="00FD52C4">
              <w:t>noise, rotational equipment or vibration</w:t>
            </w:r>
          </w:p>
          <w:p w:rsidR="00000000" w:rsidRPr="00FD52C4" w:rsidP="00FD52C4">
            <w:pPr>
              <w:pStyle w:val="ListBullet"/>
            </w:pPr>
            <w:r w:rsidRPr="00FD52C4">
              <w:t>plant services (steam, condensate and cooling water)</w:t>
            </w:r>
          </w:p>
          <w:p w:rsidR="00000000" w:rsidRPr="00FD52C4" w:rsidP="00FD52C4">
            <w:pPr>
              <w:pStyle w:val="ListBullet"/>
            </w:pPr>
            <w:r w:rsidRPr="00FD52C4">
              <w:t>limited head spaces or overhangs</w:t>
            </w:r>
            <w:r w:rsidRPr="00FD52C4">
              <w:t xml:space="preserve"> </w:t>
            </w:r>
          </w:p>
          <w:p w:rsidR="00000000" w:rsidRPr="00FD52C4" w:rsidP="00FD52C4">
            <w:pPr>
              <w:pStyle w:val="ListBullet"/>
            </w:pPr>
            <w:r w:rsidRPr="00FD52C4">
              <w:t>working at heights, in restricted or confined spaces, or in environments subjected to heat, noise, dusts or vapours</w:t>
            </w:r>
          </w:p>
          <w:p w:rsidR="00000000" w:rsidRPr="00FD52C4" w:rsidP="00FD52C4">
            <w:pPr>
              <w:pStyle w:val="ListBullet"/>
            </w:pPr>
            <w:r w:rsidRPr="00FD52C4">
              <w:t>flammability and explosivity</w:t>
            </w:r>
          </w:p>
          <w:p w:rsidR="00000000" w:rsidRPr="00FD52C4" w:rsidP="00FD52C4">
            <w:pPr>
              <w:pStyle w:val="ListBullet"/>
            </w:pPr>
            <w:r w:rsidRPr="00FD52C4">
              <w:t>hazardous products and materials</w:t>
            </w:r>
          </w:p>
          <w:p w:rsidR="00000000" w:rsidRPr="00FD52C4" w:rsidP="00FD52C4">
            <w:pPr>
              <w:pStyle w:val="ListBullet"/>
            </w:pPr>
            <w:r w:rsidRPr="00FD52C4">
              <w:t>unauthorised personnel</w:t>
            </w:r>
          </w:p>
          <w:p w:rsidR="00000000" w:rsidRPr="00FD52C4" w:rsidP="00FD52C4">
            <w:pPr>
              <w:pStyle w:val="ListBullet"/>
            </w:pPr>
            <w:r w:rsidRPr="00FD52C4">
              <w:t>sharp edges, protrusions or obstructions</w:t>
            </w:r>
          </w:p>
          <w:p w:rsidR="00000000" w:rsidRPr="00FD52C4" w:rsidP="00FD52C4">
            <w:pPr>
              <w:pStyle w:val="ListBullet"/>
            </w:pPr>
            <w:r w:rsidRPr="00FD52C4">
              <w:t>slippery sur</w:t>
            </w:r>
            <w:r w:rsidRPr="00FD52C4">
              <w:t>faces, spills or leaks</w:t>
            </w:r>
          </w:p>
          <w:p w:rsidR="00000000" w:rsidRPr="00FD52C4" w:rsidP="00FD52C4">
            <w:pPr>
              <w:pStyle w:val="ListBullet"/>
            </w:pPr>
            <w:r w:rsidRPr="00FD52C4">
              <w:t>extreme weather</w:t>
            </w:r>
          </w:p>
          <w:p w:rsidR="00000000" w:rsidRPr="00FD52C4" w:rsidP="00FD52C4">
            <w:pPr>
              <w:pStyle w:val="ListBullet"/>
            </w:pPr>
            <w:r w:rsidRPr="00FD52C4">
              <w:t>other hazards that might arise</w:t>
            </w:r>
          </w:p>
          <w:p w:rsidR="00000000" w:rsidRPr="00FD52C4" w:rsidP="00FD52C4">
            <w:pPr>
              <w:pStyle w:val="BodyText"/>
            </w:pPr>
          </w:p>
          <w:p w:rsidR="00000000" w:rsidRPr="00FD52C4" w:rsidP="00FD52C4">
            <w:pPr>
              <w:pStyle w:val="BodyText"/>
            </w:pPr>
            <w:r w:rsidRPr="00FD52C4">
              <w:t xml:space="preserve">Identifying risks requires consideration of specific hazards, and: </w:t>
            </w:r>
          </w:p>
          <w:p w:rsidR="00000000" w:rsidRPr="00FD52C4" w:rsidP="00FD52C4">
            <w:pPr>
              <w:pStyle w:val="ListBullet"/>
            </w:pPr>
            <w:r w:rsidRPr="00FD52C4">
              <w:t xml:space="preserve">what level of harm can occur </w:t>
            </w:r>
          </w:p>
          <w:p w:rsidR="00000000" w:rsidRPr="00FD52C4" w:rsidP="00FD52C4">
            <w:pPr>
              <w:pStyle w:val="ListBullet"/>
            </w:pPr>
            <w:r w:rsidRPr="00FD52C4">
              <w:t>how harm can occur (various chains of events that could result in harm fr</w:t>
            </w:r>
            <w:r w:rsidRPr="00FD52C4">
              <w:t>om the hazard)</w:t>
            </w:r>
          </w:p>
          <w:p w:rsidR="00000000" w:rsidRPr="00FD52C4" w:rsidP="00FD52C4">
            <w:pPr>
              <w:pStyle w:val="ListBullet"/>
            </w:pPr>
            <w:r w:rsidRPr="00FD52C4">
              <w:t>the likelihood that harm will occur</w:t>
            </w:r>
          </w:p>
          <w:p w:rsidR="00000000" w:rsidRPr="00FD52C4" w:rsidP="00FD52C4">
            <w:pPr>
              <w:pStyle w:val="BodyText"/>
            </w:pPr>
          </w:p>
        </w:tc>
      </w:tr>
    </w:tbl>
    <w:p w:rsidR="00000000" w:rsidRPr="00FD52C4" w:rsidP="00FD52C4">
      <w:pPr>
        <w:pStyle w:val="BodyText"/>
      </w:pPr>
    </w:p>
    <w:p w:rsidR="00000000" w:rsidRPr="00FD52C4" w:rsidP="00FD52C4">
      <w:pPr>
        <w:pStyle w:val="AllowPageBreak"/>
      </w:pPr>
    </w:p>
    <w:p w:rsidR="00000000" w:rsidRPr="00FD52C4" w:rsidP="00FD52C4">
      <w:pPr>
        <w:pStyle w:val="Heading1"/>
      </w:pPr>
      <w:bookmarkStart w:id="9" w:name="O_908830"/>
      <w:bookmarkEnd w:id="9"/>
      <w:r w:rsidRPr="00FD52C4">
        <w:t>Unit Mapping Information</w:t>
      </w:r>
    </w:p>
    <w:p w:rsidR="00000000" w:rsidRPr="00FD52C4" w:rsidP="005A6C2A">
      <w:pPr>
        <w:pStyle w:val="BodyText"/>
      </w:pPr>
      <w:r w:rsidRPr="00FD52C4">
        <w:t>Release 1. Supersedes and is equivalent to PMAOMIR346B Assess and secure an incident site</w:t>
      </w:r>
    </w:p>
    <w:p w:rsidR="00000000" w:rsidRPr="00FD52C4" w:rsidP="00FD52C4">
      <w:pPr>
        <w:pStyle w:val="Heading1"/>
      </w:pPr>
      <w:bookmarkStart w:id="10" w:name="O_908823"/>
      <w:bookmarkEnd w:id="10"/>
      <w:r w:rsidRPr="00FD52C4">
        <w:t>Links</w:t>
      </w:r>
    </w:p>
    <w:p w:rsidR="00000000" w:rsidRPr="00FD52C4" w:rsidP="005A6C2A">
      <w:pPr>
        <w:pStyle w:val="BodyText"/>
      </w:pPr>
      <w:r w:rsidRPr="00FD52C4">
        <w:t>Companion Volume implementation guides are foun</w:t>
      </w:r>
      <w:r w:rsidRPr="00FD52C4">
        <w:t xml:space="preserve">d in VETNet - </w:t>
      </w:r>
      <w:r>
        <w:fldChar w:fldCharType="begin"/>
      </w:r>
      <w:r>
        <w:instrText xml:space="preserve"> HYPERLINK "https://vetnet.gov.au/Pages/TrainingDocs.aspx?q=9fc2cf53-e570-4e9f-ad6a-b228ffdb6875" </w:instrText>
      </w:r>
      <w:r>
        <w:fldChar w:fldCharType="separate"/>
      </w:r>
      <w:r w:rsidRPr="00EE520A">
        <w:rPr>
          <w:rStyle w:val="Hyperlink"/>
        </w:rPr>
        <w:t>https://vetnet.gov.au/Pages/TrainingDocs.aspx?q=9fc2cf53-e570-4e9f-ad6a-b228ffdb6875</w:t>
      </w:r>
      <w:r>
        <w:fldChar w:fldCharType="end"/>
      </w:r>
    </w:p>
    <w:p w:rsidR="00000000" w:rsidRPr="00FD52C4" w:rsidP="005A6C2A">
      <w:pPr>
        <w:pStyle w:val="BodyText"/>
        <w:sectPr w:rsidSect="00FD52C4">
          <w:headerReference w:type="default" r:id="rId10"/>
          <w:footerReference w:type="default" r:id="rId11"/>
          <w:pgSz w:w="11908" w:h="16833"/>
          <w:pgMar w:top="1702" w:right="1418" w:bottom="1702" w:left="1418" w:header="992" w:footer="992" w:gutter="0"/>
          <w:cols w:space="720"/>
          <w:noEndnote/>
          <w:docGrid w:linePitch="299"/>
        </w:sectPr>
      </w:pPr>
    </w:p>
    <w:p w:rsidR="00000000" w:rsidRPr="00FD52C4" w:rsidP="00FD52C4">
      <w:pPr>
        <w:pStyle w:val="SuperHeading"/>
      </w:pPr>
      <w:r w:rsidRPr="00FD52C4">
        <w:t>Assessment Requirements for PMAOMIR346 Assess and secure an incident site</w:t>
      </w:r>
    </w:p>
    <w:p w:rsidR="00000000" w:rsidRPr="00FD52C4" w:rsidP="00FD52C4">
      <w:pPr>
        <w:pStyle w:val="Heading1"/>
      </w:pPr>
      <w:bookmarkStart w:id="11" w:name="O_908825"/>
      <w:bookmarkEnd w:id="11"/>
      <w:r w:rsidRPr="00FD52C4">
        <w:t>Modification History</w:t>
      </w:r>
    </w:p>
    <w:p w:rsidR="00000000" w:rsidRPr="00FD52C4" w:rsidP="005A6C2A">
      <w:pPr>
        <w:pStyle w:val="BodyText"/>
      </w:pPr>
      <w:r w:rsidRPr="00FD52C4">
        <w:t>Release 1. Supersedes and is equivalent to PMAOMIR346B Assess and secure an incident site</w:t>
      </w:r>
    </w:p>
    <w:p w:rsidR="00000000" w:rsidRPr="00FD52C4" w:rsidP="00FD52C4">
      <w:pPr>
        <w:pStyle w:val="Heading1"/>
      </w:pPr>
      <w:bookmarkStart w:id="12" w:name="O_908828"/>
      <w:bookmarkEnd w:id="12"/>
      <w:r w:rsidRPr="00FD52C4">
        <w:t>Performance Evidence</w:t>
      </w:r>
    </w:p>
    <w:p w:rsidR="00000000" w:rsidRPr="00FD52C4" w:rsidP="005A6C2A">
      <w:pPr>
        <w:pStyle w:val="BodyText"/>
      </w:pPr>
      <w:r w:rsidRPr="00FD52C4">
        <w:t>Evidence required to demonstrate competence in this unit must be relevant to and satisfy the requirements of the elements and p</w:t>
      </w:r>
      <w:r w:rsidRPr="00FD52C4">
        <w:t>erformance criteria, and include the ability to:</w:t>
      </w:r>
    </w:p>
    <w:p w:rsidR="00000000" w:rsidRPr="00FD52C4" w:rsidP="00FD52C4">
      <w:pPr>
        <w:pStyle w:val="ListBullet"/>
      </w:pPr>
      <w:r w:rsidRPr="00FD52C4">
        <w:t>secure the site to preserve and maintain safety of personnel and restricted access</w:t>
      </w:r>
    </w:p>
    <w:p w:rsidR="00000000" w:rsidRPr="00FD52C4" w:rsidP="00FD52C4">
      <w:pPr>
        <w:pStyle w:val="ListBullet"/>
      </w:pPr>
      <w:r w:rsidRPr="00FD52C4">
        <w:t xml:space="preserve">prioritise the safety and/or successful recovery of persons </w:t>
      </w:r>
    </w:p>
    <w:p w:rsidR="00000000" w:rsidRPr="00FD52C4" w:rsidP="00FD52C4">
      <w:pPr>
        <w:pStyle w:val="ListBullet"/>
      </w:pPr>
      <w:r w:rsidRPr="00FD52C4">
        <w:t>ensure that actions do not inhibit incident response effective</w:t>
      </w:r>
      <w:r w:rsidRPr="00FD52C4">
        <w:t>ness or further contribute to the incident</w:t>
      </w:r>
    </w:p>
    <w:p w:rsidR="00000000" w:rsidRPr="00FD52C4" w:rsidP="00FD52C4">
      <w:pPr>
        <w:pStyle w:val="ListBullet"/>
      </w:pPr>
      <w:r w:rsidRPr="00FD52C4">
        <w:t>complete reports and records</w:t>
      </w:r>
    </w:p>
    <w:p w:rsidR="00000000" w:rsidRPr="00FD52C4" w:rsidP="00FD52C4">
      <w:pPr>
        <w:pStyle w:val="ListBullet"/>
      </w:pPr>
      <w:r w:rsidRPr="00FD52C4">
        <w:t xml:space="preserve">accurately record witness statements and incident and site conditions </w:t>
      </w:r>
    </w:p>
    <w:p w:rsidR="00000000" w:rsidRPr="00FD52C4" w:rsidP="00FD52C4">
      <w:pPr>
        <w:pStyle w:val="ListBullet"/>
      </w:pPr>
      <w:r w:rsidRPr="00FD52C4">
        <w:t>communicate effectively with survivors, emergency personnel and others in stressful environments</w:t>
      </w:r>
    </w:p>
    <w:p w:rsidR="00000000" w:rsidRPr="00FD52C4" w:rsidP="00FD52C4">
      <w:pPr>
        <w:pStyle w:val="ListBullet"/>
      </w:pPr>
      <w:r w:rsidRPr="00FD52C4">
        <w:t>react appropriat</w:t>
      </w:r>
      <w:r w:rsidRPr="00FD52C4">
        <w:t>ely under stress.</w:t>
      </w:r>
    </w:p>
    <w:p w:rsidR="00000000" w:rsidRPr="00FD52C4" w:rsidP="00FD52C4">
      <w:pPr>
        <w:pStyle w:val="AllowPageBreak"/>
      </w:pPr>
    </w:p>
    <w:p w:rsidR="00000000" w:rsidRPr="00FD52C4" w:rsidP="00FD52C4">
      <w:pPr>
        <w:pStyle w:val="Heading1"/>
      </w:pPr>
      <w:bookmarkStart w:id="13" w:name="O_908827"/>
      <w:bookmarkEnd w:id="13"/>
      <w:r w:rsidRPr="00FD52C4">
        <w:t>Knowledge Evidence</w:t>
      </w:r>
    </w:p>
    <w:p w:rsidR="00000000" w:rsidRPr="00FD52C4" w:rsidP="005A6C2A">
      <w:pPr>
        <w:pStyle w:val="BodyText"/>
      </w:pPr>
      <w:r w:rsidRPr="00FD52C4">
        <w:t>Evidence must be provided that demonstrates knowledge of:</w:t>
      </w:r>
    </w:p>
    <w:p w:rsidR="00000000" w:rsidRPr="00FD52C4" w:rsidP="00FD52C4">
      <w:pPr>
        <w:pStyle w:val="ListBullet"/>
      </w:pPr>
      <w:r w:rsidRPr="00FD52C4">
        <w:t>organisational procedures, including those covering:</w:t>
      </w:r>
    </w:p>
    <w:p w:rsidR="00000000" w:rsidRPr="00FD52C4" w:rsidP="00FD52C4">
      <w:pPr>
        <w:pStyle w:val="ListBullet2"/>
      </w:pPr>
      <w:r w:rsidRPr="00FD52C4">
        <w:t>incident, fire and accident response</w:t>
      </w:r>
    </w:p>
    <w:p w:rsidR="00000000" w:rsidRPr="00FD52C4" w:rsidP="00FD52C4">
      <w:pPr>
        <w:pStyle w:val="ListBullet2"/>
      </w:pPr>
      <w:r w:rsidRPr="00FD52C4">
        <w:t>incident, fire and accident reporting and investigation</w:t>
      </w:r>
    </w:p>
    <w:p w:rsidR="00000000" w:rsidRPr="00FD52C4" w:rsidP="00FD52C4">
      <w:pPr>
        <w:pStyle w:val="ListBullet2"/>
      </w:pPr>
      <w:r w:rsidRPr="00FD52C4">
        <w:t>communication systems</w:t>
      </w:r>
    </w:p>
    <w:p w:rsidR="00000000" w:rsidRPr="00FD52C4" w:rsidP="00FD52C4">
      <w:pPr>
        <w:pStyle w:val="ListBullet2"/>
      </w:pPr>
      <w:r w:rsidRPr="00FD52C4">
        <w:t>emergency response plans</w:t>
      </w:r>
    </w:p>
    <w:p w:rsidR="00000000" w:rsidRPr="00FD52C4" w:rsidP="00FD52C4">
      <w:pPr>
        <w:pStyle w:val="ListBullet2"/>
      </w:pPr>
      <w:r w:rsidRPr="00FD52C4">
        <w:t>reporting requirements</w:t>
      </w:r>
    </w:p>
    <w:p w:rsidR="00000000" w:rsidRPr="00FD52C4" w:rsidP="00FD52C4">
      <w:pPr>
        <w:pStyle w:val="ListBullet"/>
      </w:pPr>
      <w:r w:rsidRPr="00FD52C4">
        <w:t>hazards that may arise in the job/work environment, and:</w:t>
      </w:r>
    </w:p>
    <w:p w:rsidR="00000000" w:rsidRPr="00FD52C4" w:rsidP="00FD52C4">
      <w:pPr>
        <w:pStyle w:val="ListBullet2"/>
      </w:pPr>
      <w:r w:rsidRPr="00FD52C4">
        <w:t xml:space="preserve">their possible causes </w:t>
      </w:r>
    </w:p>
    <w:p w:rsidR="00000000" w:rsidRPr="00FD52C4" w:rsidP="00FD52C4">
      <w:pPr>
        <w:pStyle w:val="ListBullet2"/>
      </w:pPr>
      <w:r w:rsidRPr="00FD52C4">
        <w:t>potential consequences</w:t>
      </w:r>
    </w:p>
    <w:p w:rsidR="00000000" w:rsidRPr="00FD52C4" w:rsidP="00FD52C4">
      <w:pPr>
        <w:pStyle w:val="ListBullet2"/>
      </w:pPr>
      <w:r w:rsidRPr="00FD52C4">
        <w:t>risks</w:t>
      </w:r>
    </w:p>
    <w:p w:rsidR="00000000" w:rsidRPr="00FD52C4" w:rsidP="00FD52C4">
      <w:pPr>
        <w:pStyle w:val="ListBullet2"/>
      </w:pPr>
      <w:r w:rsidRPr="00FD52C4">
        <w:t>appropriate risk co</w:t>
      </w:r>
      <w:r w:rsidRPr="00FD52C4">
        <w:t>ntrols</w:t>
      </w:r>
    </w:p>
    <w:p w:rsidR="00000000" w:rsidRPr="00FD52C4" w:rsidP="00FD52C4">
      <w:pPr>
        <w:pStyle w:val="ListBullet"/>
      </w:pPr>
      <w:r w:rsidRPr="00FD52C4">
        <w:t>methods of securing an incident site</w:t>
      </w:r>
    </w:p>
    <w:p w:rsidR="00000000" w:rsidRPr="00FD52C4" w:rsidP="00FD52C4">
      <w:pPr>
        <w:pStyle w:val="ListBullet"/>
      </w:pPr>
      <w:r w:rsidRPr="00FD52C4">
        <w:t xml:space="preserve">techniques for removing survivors and non-survivors from an incident site </w:t>
      </w:r>
    </w:p>
    <w:p w:rsidR="00000000" w:rsidRPr="00FD52C4" w:rsidP="00FD52C4">
      <w:pPr>
        <w:pStyle w:val="ListBullet"/>
      </w:pPr>
      <w:r w:rsidRPr="00FD52C4">
        <w:t>types of information which may assist in investigations</w:t>
      </w:r>
    </w:p>
    <w:p w:rsidR="00000000" w:rsidRPr="00FD52C4" w:rsidP="00FD52C4">
      <w:pPr>
        <w:pStyle w:val="ListBullet"/>
      </w:pPr>
      <w:r w:rsidRPr="00FD52C4">
        <w:t xml:space="preserve">techniques for recording information </w:t>
      </w:r>
    </w:p>
    <w:p w:rsidR="00000000" w:rsidRPr="00FD52C4" w:rsidP="00FD52C4">
      <w:pPr>
        <w:pStyle w:val="ListBullet"/>
      </w:pPr>
      <w:r w:rsidRPr="00FD52C4">
        <w:t>problem-solving techniques.</w:t>
      </w:r>
    </w:p>
    <w:p w:rsidR="00000000" w:rsidRPr="00FD52C4" w:rsidP="00FD52C4">
      <w:pPr>
        <w:pStyle w:val="AllowPageBreak"/>
      </w:pPr>
    </w:p>
    <w:p w:rsidR="00000000" w:rsidRPr="00FD52C4" w:rsidP="00FD52C4">
      <w:pPr>
        <w:pStyle w:val="Heading1"/>
      </w:pPr>
      <w:bookmarkStart w:id="14" w:name="O_908826"/>
      <w:bookmarkEnd w:id="14"/>
      <w:r w:rsidRPr="00FD52C4">
        <w:t>Assessment Conditions</w:t>
      </w:r>
    </w:p>
    <w:p w:rsidR="00000000" w:rsidRPr="00FD52C4" w:rsidP="00FD52C4">
      <w:pPr>
        <w:pStyle w:val="ListBullet"/>
      </w:pPr>
      <w:r w:rsidRPr="00FD52C4">
        <w:t xml:space="preserve">Competency must be achieved before performing this work unsupervised. Therefore this unit will typically be assessed off the job. Where assessment is undertaken on the job, appropriate supervision and safety precautions must </w:t>
      </w:r>
      <w:r w:rsidRPr="00FD52C4">
        <w:t>be provided.</w:t>
      </w:r>
    </w:p>
    <w:p w:rsidR="00000000" w:rsidRPr="00FD52C4" w:rsidP="00FD52C4">
      <w:pPr>
        <w:pStyle w:val="ListBullet"/>
      </w:pPr>
      <w:r w:rsidRPr="00FD52C4">
        <w:t xml:space="preserve">The unit should be assessed holistically and the judgement of competence based on a holistic assessment of the evidence. </w:t>
      </w:r>
    </w:p>
    <w:p w:rsidR="00000000" w:rsidRPr="00FD52C4" w:rsidP="00FD52C4">
      <w:pPr>
        <w:pStyle w:val="ListBullet"/>
      </w:pPr>
      <w:r w:rsidRPr="00FD52C4">
        <w:t>The collection of performance evidence:</w:t>
      </w:r>
    </w:p>
    <w:p w:rsidR="00000000" w:rsidRPr="00FD52C4" w:rsidP="00FD52C4">
      <w:pPr>
        <w:pStyle w:val="ListBullet2"/>
      </w:pPr>
      <w:r w:rsidRPr="00FD52C4">
        <w:t>should provide evidence of the ability to perform over the range of situations w</w:t>
      </w:r>
      <w:r w:rsidRPr="00FD52C4">
        <w:t>hich might be expected to be encountered, including typical disruptions to normal, smooth work conditions</w:t>
      </w:r>
    </w:p>
    <w:p w:rsidR="00000000" w:rsidRPr="00FD52C4" w:rsidP="00FD52C4">
      <w:pPr>
        <w:pStyle w:val="ListBullet2"/>
      </w:pPr>
      <w:r w:rsidRPr="00FD52C4">
        <w:t>must include securing an incident, the use of appropriate tools, equipment and safety gear requiring demonstration of preparation, operation, completi</w:t>
      </w:r>
      <w:r w:rsidRPr="00FD52C4">
        <w:t>on and responding to problems</w:t>
      </w:r>
    </w:p>
    <w:p w:rsidR="00000000" w:rsidRPr="00FD52C4" w:rsidP="00FD52C4">
      <w:pPr>
        <w:pStyle w:val="ListBullet2"/>
      </w:pPr>
      <w:r w:rsidRPr="00FD52C4">
        <w:t>may use industry-based simulation particularly where safety, lack of opportunity or significant cost is an issue.</w:t>
      </w:r>
    </w:p>
    <w:p w:rsidR="00000000" w:rsidRPr="00FD52C4" w:rsidP="00FD52C4">
      <w:pPr>
        <w:pStyle w:val="ListBullet"/>
      </w:pPr>
      <w:r w:rsidRPr="00FD52C4">
        <w:t>Off-the-job assessment must sufficiently reflect realistic operational workplace conditions that cover all aspe</w:t>
      </w:r>
      <w:r w:rsidRPr="00FD52C4">
        <w:t xml:space="preserve">cts of workplace performance, including environment, task skills, task management skills, contingency management skills and job role environment skills. </w:t>
      </w:r>
    </w:p>
    <w:p w:rsidR="00000000" w:rsidRPr="00FD52C4" w:rsidP="00FD52C4">
      <w:pPr>
        <w:pStyle w:val="ListBullet"/>
      </w:pPr>
      <w:r w:rsidRPr="00FD52C4">
        <w:t xml:space="preserve">Assessment in a simulated environment should use evidence collected from one or more of: </w:t>
      </w:r>
    </w:p>
    <w:p w:rsidR="00000000" w:rsidRPr="00FD52C4" w:rsidP="00FD52C4">
      <w:pPr>
        <w:pStyle w:val="ListBullet2"/>
      </w:pPr>
      <w:r w:rsidRPr="00FD52C4">
        <w:t>walk-throughs</w:t>
      </w:r>
    </w:p>
    <w:p w:rsidR="00000000" w:rsidRPr="00FD52C4" w:rsidP="00FD52C4">
      <w:pPr>
        <w:pStyle w:val="ListBullet2"/>
      </w:pPr>
      <w:r w:rsidRPr="00FD52C4">
        <w:t xml:space="preserve">demonstration of skills </w:t>
      </w:r>
    </w:p>
    <w:p w:rsidR="00000000" w:rsidRPr="00FD52C4" w:rsidP="00FD52C4">
      <w:pPr>
        <w:pStyle w:val="ListBullet2"/>
      </w:pPr>
      <w:r w:rsidRPr="00FD52C4">
        <w:t xml:space="preserve">industry-based case studies/scenarios </w:t>
      </w:r>
    </w:p>
    <w:p w:rsidR="00000000" w:rsidRPr="00FD52C4" w:rsidP="00FD52C4">
      <w:pPr>
        <w:pStyle w:val="ListBullet2"/>
      </w:pPr>
      <w:r w:rsidRPr="00FD52C4">
        <w:t>‘what ifs’.</w:t>
      </w:r>
    </w:p>
    <w:p w:rsidR="00000000" w:rsidRPr="00FD52C4" w:rsidP="00FD52C4">
      <w:pPr>
        <w:pStyle w:val="ListBullet"/>
      </w:pPr>
      <w:r w:rsidRPr="00FD52C4">
        <w:t xml:space="preserve">Knowledge evidence may be collected concurrently with performance evidence (provided a record is kept) or through an independent process, such as workbooks, written </w:t>
      </w:r>
      <w:r w:rsidRPr="00FD52C4">
        <w:t xml:space="preserve">assessments or interviews (provided a record is kept). </w:t>
      </w:r>
    </w:p>
    <w:p w:rsidR="00000000" w:rsidRPr="00FD52C4" w:rsidP="00FD52C4">
      <w:pPr>
        <w:pStyle w:val="ListBullet"/>
      </w:pPr>
      <w:r w:rsidRPr="00FD52C4">
        <w:t>Assessment processes and techniques must be appropriate to the language, literacy and numeracy requirements of the work being performed and the needs of the candidate.</w:t>
      </w:r>
    </w:p>
    <w:p w:rsidR="00000000" w:rsidRPr="00FD52C4" w:rsidP="00FD52C4">
      <w:pPr>
        <w:pStyle w:val="ListBullet"/>
      </w:pPr>
      <w:r w:rsidRPr="00FD52C4">
        <w:t>Conditions for assessment must i</w:t>
      </w:r>
      <w:r w:rsidRPr="00FD52C4">
        <w:t>nclude access to all tools, equipment, materials and documentation required, including relevant workplace procedures, product and manufacturing specifications associated with this unit.</w:t>
      </w:r>
    </w:p>
    <w:p w:rsidR="00000000" w:rsidRPr="00FD52C4" w:rsidP="00FD52C4">
      <w:pPr>
        <w:pStyle w:val="ListBullet"/>
      </w:pPr>
      <w:r w:rsidRPr="00FD52C4">
        <w:t>Foundation skills are integral to competent performance of the unit an</w:t>
      </w:r>
      <w:r w:rsidRPr="00FD52C4">
        <w:t>d should not be assessed separately.</w:t>
      </w:r>
    </w:p>
    <w:p w:rsidR="00000000" w:rsidRPr="00FD52C4" w:rsidP="00FD52C4">
      <w:pPr>
        <w:pStyle w:val="ListBullet"/>
      </w:pPr>
      <w:r w:rsidRPr="00FD52C4">
        <w:t>Assessors must satisfy the assessor competency requirements that are in place at the time of the assessment as set by the VET regulator.</w:t>
      </w:r>
    </w:p>
    <w:p w:rsidR="00000000" w:rsidRPr="00FD52C4" w:rsidP="00FD52C4">
      <w:pPr>
        <w:pStyle w:val="ListBullet"/>
      </w:pPr>
      <w:r w:rsidRPr="00FD52C4">
        <w:t>In addition, the assessor or anyone acting in subject matter expert role in assess</w:t>
      </w:r>
      <w:r w:rsidRPr="00FD52C4">
        <w:t xml:space="preserve">ment must demonstrate both technical competency and currency. If the assessor cannot demonstrate technical competency and currency they must assess with a subject matter expert who does meet these requirements. </w:t>
      </w:r>
    </w:p>
    <w:p w:rsidR="00000000" w:rsidRPr="00FD52C4" w:rsidP="00FD52C4">
      <w:pPr>
        <w:pStyle w:val="ListBullet"/>
      </w:pPr>
      <w:r w:rsidRPr="00FD52C4">
        <w:t>Technical competence can be demonstrated thr</w:t>
      </w:r>
      <w:r w:rsidRPr="00FD52C4">
        <w:t>ough one or more of:</w:t>
      </w:r>
    </w:p>
    <w:p w:rsidR="00000000" w:rsidRPr="00FD52C4" w:rsidP="00FD52C4">
      <w:pPr>
        <w:pStyle w:val="ListBullet2"/>
      </w:pPr>
      <w:r w:rsidRPr="00FD52C4">
        <w:t xml:space="preserve">relevant VET or other qualification/Statement of Attainment </w:t>
      </w:r>
    </w:p>
    <w:p w:rsidR="00000000" w:rsidRPr="00FD52C4" w:rsidP="00FD52C4">
      <w:pPr>
        <w:pStyle w:val="ListBullet2"/>
      </w:pPr>
      <w:r w:rsidRPr="00FD52C4">
        <w:t xml:space="preserve">appropriate workplace experience undertaking the type of work being assessed under routine and non-routine conditions </w:t>
      </w:r>
    </w:p>
    <w:p w:rsidR="00000000" w:rsidRPr="00FD52C4" w:rsidP="00FD52C4">
      <w:pPr>
        <w:pStyle w:val="ListBullet2"/>
      </w:pPr>
      <w:r w:rsidRPr="00FD52C4">
        <w:t>appropriate workplace experience supervising/evaluating the type of work being assessed under routine and non-routine conditions</w:t>
      </w:r>
    </w:p>
    <w:p w:rsidR="00000000" w:rsidRPr="00FD52C4" w:rsidP="00FD52C4">
      <w:pPr>
        <w:pStyle w:val="ListBullet"/>
      </w:pPr>
      <w:r w:rsidRPr="00FD52C4">
        <w:t>Currency can be demonstrated through one or more of:</w:t>
      </w:r>
    </w:p>
    <w:p w:rsidR="00000000" w:rsidRPr="00FD52C4" w:rsidP="00FD52C4">
      <w:pPr>
        <w:pStyle w:val="ListBullet2"/>
      </w:pPr>
      <w:r w:rsidRPr="00FD52C4">
        <w:t xml:space="preserve">being currently employed undertaking the type of work being assessed </w:t>
      </w:r>
    </w:p>
    <w:p w:rsidR="00000000" w:rsidRPr="00FD52C4" w:rsidP="00FD52C4">
      <w:pPr>
        <w:pStyle w:val="ListBullet2"/>
      </w:pPr>
      <w:r w:rsidRPr="00FD52C4">
        <w:t>be</w:t>
      </w:r>
      <w:r w:rsidRPr="00FD52C4">
        <w:t xml:space="preserve">ing employed by the organisation undertaking the type of work being assessed and having maintained currency in accordance with that organisation’s policies and procedures </w:t>
      </w:r>
    </w:p>
    <w:p w:rsidR="00000000" w:rsidRPr="00FD52C4" w:rsidP="00FD52C4">
      <w:pPr>
        <w:pStyle w:val="ListBullet2"/>
      </w:pPr>
      <w:r w:rsidRPr="00FD52C4">
        <w:t>having consulted/had contact with an organisation undertaking the type of work being</w:t>
      </w:r>
      <w:r w:rsidRPr="00FD52C4">
        <w:t xml:space="preserve"> assessed within the last twelve months, the consultation/contact being related to assessment </w:t>
      </w:r>
    </w:p>
    <w:p w:rsidR="00000000" w:rsidRPr="00FD52C4" w:rsidP="00FD52C4">
      <w:pPr>
        <w:pStyle w:val="ListBullet2"/>
      </w:pPr>
      <w:r w:rsidRPr="00FD52C4">
        <w:t xml:space="preserve">conducting on-the-job training/assessments of the type of work being assessed </w:t>
      </w:r>
    </w:p>
    <w:p w:rsidR="00000000" w:rsidRPr="00FD52C4" w:rsidP="00FD52C4">
      <w:pPr>
        <w:pStyle w:val="ListBullet2"/>
      </w:pPr>
      <w:r w:rsidRPr="00FD52C4">
        <w:t>being an active member of a relevant professional body and participating in activi</w:t>
      </w:r>
      <w:r w:rsidRPr="00FD52C4">
        <w:t>ties relevant to the assessment of this type of work</w:t>
      </w:r>
    </w:p>
    <w:p w:rsidR="00000000" w:rsidRPr="00FD52C4" w:rsidP="00FD52C4">
      <w:pPr>
        <w:pStyle w:val="AllowPageBreak"/>
      </w:pPr>
    </w:p>
    <w:p w:rsidR="00000000" w:rsidRPr="00FD52C4" w:rsidP="00FD52C4">
      <w:pPr>
        <w:pStyle w:val="Heading1"/>
      </w:pPr>
      <w:bookmarkStart w:id="15" w:name="O_908824"/>
      <w:bookmarkEnd w:id="15"/>
      <w:r w:rsidRPr="00FD52C4">
        <w:t>Links</w:t>
      </w:r>
    </w:p>
    <w:p w:rsidR="00000000" w:rsidRPr="00FD52C4" w:rsidP="005A6C2A">
      <w:pPr>
        <w:pStyle w:val="BodyText"/>
      </w:pPr>
      <w:r w:rsidRPr="00FD52C4">
        <w:t xml:space="preserve">Companion Volume implementation guides are found in VETNet - </w:t>
      </w:r>
      <w:r>
        <w:fldChar w:fldCharType="begin"/>
      </w:r>
      <w:r>
        <w:instrText xml:space="preserve"> HYPERLINK "https://vetnet.gov.au/Pages/TrainingDocs.aspx?q=9fc2cf53-e570-4e9f-ad6a-b228ffdb6875" </w:instrText>
      </w:r>
      <w:r>
        <w:fldChar w:fldCharType="separate"/>
      </w:r>
      <w:r w:rsidRPr="00EE520A">
        <w:rPr>
          <w:rStyle w:val="Hyperlink"/>
        </w:rPr>
        <w:t>https://vetnet.gov.au/Pages/TrainingDocs.aspx?q=9fc2cf53-e570-4e9f-ad6a-b228ffdb6875</w:t>
      </w:r>
      <w:r>
        <w:fldChar w:fldCharType="end"/>
      </w:r>
    </w:p>
    <w:p w:rsidR="00000000" w:rsidRPr="00FD52C4" w:rsidP="00FD52C4"/>
    <w:sectPr w:rsidSect="00FD52C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52C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52C4" w:rsidRPr="005A6C2A" w:rsidP="005A6C2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52C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6C2A" w:rsidP="00FD52C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5A6C2A" w:rsidP="00FD52C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5A6C2A" w:rsidP="00FD52C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52C4" w:rsidP="00FD52C4">
    <w:pPr>
      <w:pStyle w:val="Footer"/>
      <w:framePr w:wrap="around"/>
    </w:pPr>
    <w:r>
      <w:fldChar w:fldCharType="begin"/>
    </w:r>
    <w:r>
      <w:instrText xml:space="preserve"> DOCPROPERTY  Subject  \* MERGEFORMAT </w:instrText>
    </w:r>
    <w:r>
      <w:fldChar w:fldCharType="separate"/>
    </w:r>
    <w:r w:rsidR="005A6C2A">
      <w:t>Approved</w:t>
    </w:r>
    <w:r w:rsidR="005A6C2A">
      <w:fldChar w:fldCharType="end"/>
    </w:r>
    <w:r>
      <w:tab/>
      <w:t xml:space="preserve">Page </w:t>
    </w:r>
    <w:r>
      <w:fldChar w:fldCharType="begin"/>
    </w:r>
    <w:r>
      <w:instrText xml:space="preserve"> PAGE  \* Arabic  \* MERGEFORMAT </w:instrText>
    </w:r>
    <w:r>
      <w:fldChar w:fldCharType="separate"/>
    </w:r>
    <w:r w:rsidR="005A6C2A">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A6C2A">
      <w:rPr>
        <w:noProof/>
      </w:rPr>
      <w:t>7</w:t>
    </w:r>
    <w:r>
      <w:rPr>
        <w:noProof/>
      </w:rPr>
      <w:fldChar w:fldCharType="end"/>
    </w:r>
  </w:p>
  <w:p w:rsidR="00FD52C4" w:rsidP="00FD52C4">
    <w:pPr>
      <w:pStyle w:val="Footer"/>
      <w:framePr w:wrap="around"/>
    </w:pPr>
    <w:r>
      <w:t xml:space="preserve">© Commonwealth of Australia, </w:t>
    </w:r>
    <w:r>
      <w:fldChar w:fldCharType="begin"/>
    </w:r>
    <w:r>
      <w:instrText xml:space="preserve"> DATE  \@ "yyyy"  \* MERGEFORMAT </w:instrText>
    </w:r>
    <w:r>
      <w:fldChar w:fldCharType="separate"/>
    </w:r>
    <w:r w:rsidR="005A6C2A">
      <w:rPr>
        <w:noProof/>
      </w:rPr>
      <w:t>2025</w:t>
    </w:r>
    <w:r>
      <w:fldChar w:fldCharType="end"/>
    </w:r>
    <w:r>
      <w:tab/>
    </w:r>
    <w:r>
      <w:fldChar w:fldCharType="begin"/>
    </w:r>
    <w:r>
      <w:instrText xml:space="preserve"> DOCPROPERTY  Author  \* MERGEFORMAT </w:instrText>
    </w:r>
    <w:r>
      <w:fldChar w:fldCharType="separate"/>
    </w:r>
    <w:r w:rsidR="005A6C2A">
      <w:t>Manufacturing Industry Skills Alliance</w:t>
    </w:r>
    <w:r w:rsidR="005A6C2A">
      <w:fldChar w:fldCharType="end"/>
    </w:r>
  </w:p>
  <w:p w:rsidR="00FD52C4" w:rsidP="00FD52C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52C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6C2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D52C4" w:rsidRPr="005A6C2A" w:rsidP="005A6C2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52C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6C2A" w:rsidRPr="002D2AF8" w:rsidP="00FD52C4">
    <w:pPr>
      <w:pStyle w:val="Header"/>
      <w:framePr w:wrap="around"/>
    </w:pPr>
    <w:r>
      <w:fldChar w:fldCharType="begin"/>
    </w:r>
    <w:r>
      <w:instrText xml:space="preserve"> TITLE   \* MERGEFORMAT </w:instrText>
    </w:r>
    <w:r>
      <w:fldChar w:fldCharType="separate"/>
    </w:r>
    <w:r>
      <w:t>PMAOMIR346 Assess and secure an incident site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A6C2A" w:rsidP="00FD52C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52C4" w:rsidRPr="002D2AF8" w:rsidP="00FD52C4">
    <w:pPr>
      <w:pStyle w:val="Header"/>
      <w:framePr w:wrap="around"/>
    </w:pPr>
    <w:r>
      <w:fldChar w:fldCharType="begin"/>
    </w:r>
    <w:r>
      <w:instrText xml:space="preserve"> TITLE   \* MERGEFORMAT </w:instrText>
    </w:r>
    <w:r>
      <w:fldChar w:fldCharType="separate"/>
    </w:r>
    <w:r w:rsidR="005A6C2A">
      <w:t>PMAOMIR346 Assess and secure an incident site</w:t>
    </w:r>
    <w:r w:rsidR="005A6C2A">
      <w:fldChar w:fldCharType="end"/>
    </w:r>
    <w:r>
      <w:tab/>
      <w:t xml:space="preserve">Date this document was generated: </w:t>
    </w:r>
    <w:r>
      <w:fldChar w:fldCharType="begin"/>
    </w:r>
    <w:r>
      <w:instrText xml:space="preserve"> CREATEDATE  \@ "d MMMM yyyy"  \* MERGEFORMAT </w:instrText>
    </w:r>
    <w:r>
      <w:fldChar w:fldCharType="separate"/>
    </w:r>
    <w:r w:rsidR="005A6C2A">
      <w:rPr>
        <w:noProof/>
      </w:rPr>
      <w:t>2 March 2025</w:t>
    </w:r>
    <w:r>
      <w:fldChar w:fldCharType="end"/>
    </w:r>
  </w:p>
  <w:p w:rsidR="00FD52C4" w:rsidP="00FD52C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27E59A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12E787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764DED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D52C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D52C4"/>
    <w:pPr>
      <w:spacing w:before="360" w:after="60"/>
      <w:outlineLvl w:val="0"/>
    </w:pPr>
    <w:rPr>
      <w:sz w:val="32"/>
    </w:rPr>
  </w:style>
  <w:style w:type="paragraph" w:styleId="Heading2">
    <w:name w:val="heading 2"/>
    <w:basedOn w:val="HeadingBase"/>
    <w:next w:val="BodyText"/>
    <w:link w:val="Heading2Char"/>
    <w:qFormat/>
    <w:rsid w:val="00FD52C4"/>
    <w:pPr>
      <w:keepLines/>
      <w:spacing w:before="240" w:after="120"/>
      <w:outlineLvl w:val="1"/>
    </w:pPr>
    <w:rPr>
      <w:sz w:val="28"/>
      <w:szCs w:val="40"/>
    </w:rPr>
  </w:style>
  <w:style w:type="paragraph" w:styleId="Heading3">
    <w:name w:val="heading 3"/>
    <w:basedOn w:val="HeadingBase"/>
    <w:next w:val="BodyText"/>
    <w:link w:val="Heading3Char"/>
    <w:qFormat/>
    <w:rsid w:val="00FD52C4"/>
    <w:pPr>
      <w:spacing w:before="180" w:after="120"/>
      <w:outlineLvl w:val="2"/>
    </w:pPr>
    <w:rPr>
      <w:spacing w:val="-10"/>
      <w:kern w:val="32"/>
    </w:rPr>
  </w:style>
  <w:style w:type="paragraph" w:styleId="Heading4">
    <w:name w:val="heading 4"/>
    <w:basedOn w:val="HeadingBase"/>
    <w:next w:val="BodyText"/>
    <w:link w:val="Heading4Char"/>
    <w:qFormat/>
    <w:rsid w:val="00FD52C4"/>
    <w:pPr>
      <w:spacing w:before="160" w:after="120"/>
      <w:outlineLvl w:val="3"/>
    </w:pPr>
    <w:rPr>
      <w:sz w:val="22"/>
    </w:rPr>
  </w:style>
  <w:style w:type="paragraph" w:styleId="Heading5">
    <w:name w:val="heading 5"/>
    <w:basedOn w:val="HeadingBase"/>
    <w:next w:val="Normal"/>
    <w:link w:val="Heading5Char"/>
    <w:qFormat/>
    <w:rsid w:val="00FD52C4"/>
    <w:pPr>
      <w:spacing w:before="80"/>
      <w:outlineLvl w:val="4"/>
    </w:pPr>
    <w:rPr>
      <w:color w:val="918585"/>
      <w:sz w:val="20"/>
    </w:rPr>
  </w:style>
  <w:style w:type="paragraph" w:styleId="Heading6">
    <w:name w:val="heading 6"/>
    <w:basedOn w:val="HeadingBase"/>
    <w:next w:val="Normal"/>
    <w:link w:val="Heading6Char"/>
    <w:qFormat/>
    <w:rsid w:val="00FD52C4"/>
    <w:pPr>
      <w:spacing w:before="60"/>
      <w:outlineLvl w:val="5"/>
    </w:pPr>
    <w:rPr>
      <w:color w:val="918585"/>
      <w:sz w:val="20"/>
    </w:rPr>
  </w:style>
  <w:style w:type="paragraph" w:styleId="Heading7">
    <w:name w:val="heading 7"/>
    <w:basedOn w:val="Normal"/>
    <w:next w:val="Normal"/>
    <w:link w:val="Heading7Char"/>
    <w:qFormat/>
    <w:rsid w:val="00FD52C4"/>
    <w:pPr>
      <w:ind w:left="720"/>
      <w:outlineLvl w:val="6"/>
    </w:pPr>
    <w:rPr>
      <w:i/>
    </w:rPr>
  </w:style>
  <w:style w:type="paragraph" w:styleId="Heading8">
    <w:name w:val="heading 8"/>
    <w:basedOn w:val="Normal"/>
    <w:next w:val="Normal"/>
    <w:link w:val="Heading8Char"/>
    <w:qFormat/>
    <w:rsid w:val="00FD52C4"/>
    <w:pPr>
      <w:ind w:left="720"/>
      <w:outlineLvl w:val="7"/>
    </w:pPr>
    <w:rPr>
      <w:i/>
    </w:rPr>
  </w:style>
  <w:style w:type="paragraph" w:styleId="Heading9">
    <w:name w:val="heading 9"/>
    <w:basedOn w:val="Normal"/>
    <w:next w:val="Normal"/>
    <w:link w:val="Heading9Char"/>
    <w:qFormat/>
    <w:rsid w:val="00FD52C4"/>
    <w:pPr>
      <w:ind w:left="720"/>
      <w:outlineLvl w:val="8"/>
    </w:pPr>
    <w:rPr>
      <w:i/>
    </w:rPr>
  </w:style>
  <w:style w:type="character" w:default="1" w:styleId="DefaultParagraphFont">
    <w:name w:val="Default Paragraph Font"/>
    <w:uiPriority w:val="1"/>
    <w:unhideWhenUsed/>
    <w:rsid w:val="00FD52C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D52C4"/>
  </w:style>
  <w:style w:type="character" w:customStyle="1" w:styleId="Heading1Char">
    <w:name w:val="Heading 1 Char"/>
    <w:basedOn w:val="DefaultParagraphFont"/>
    <w:link w:val="Heading1"/>
    <w:rsid w:val="00FD52C4"/>
    <w:rPr>
      <w:rFonts w:ascii="Times New Roman" w:eastAsia="Times New Roman" w:hAnsi="Times New Roman" w:cs="Times New Roman"/>
      <w:b/>
      <w:sz w:val="32"/>
      <w:szCs w:val="20"/>
      <w:lang w:eastAsia="en-US"/>
    </w:rPr>
  </w:style>
  <w:style w:type="paragraph" w:styleId="BodyText">
    <w:name w:val="Body Text"/>
    <w:basedOn w:val="Normal"/>
    <w:link w:val="BodyTextChar"/>
    <w:rsid w:val="00FD52C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D52C4"/>
    <w:rPr>
      <w:rFonts w:ascii="Times New Roman" w:eastAsia="Times New Roman" w:hAnsi="Times New Roman" w:cs="Times New Roman"/>
      <w:sz w:val="24"/>
      <w:lang w:eastAsia="en-US"/>
    </w:rPr>
  </w:style>
  <w:style w:type="paragraph" w:styleId="ListBullet">
    <w:name w:val="List Bullet"/>
    <w:basedOn w:val="List"/>
    <w:rsid w:val="00FD52C4"/>
    <w:pPr>
      <w:numPr>
        <w:numId w:val="12"/>
      </w:numPr>
      <w:tabs>
        <w:tab w:val="clear" w:pos="340"/>
      </w:tabs>
      <w:spacing w:before="40" w:after="40"/>
    </w:pPr>
  </w:style>
  <w:style w:type="character" w:customStyle="1" w:styleId="SpecialBold">
    <w:name w:val="Special Bold"/>
    <w:basedOn w:val="DefaultParagraphFont"/>
    <w:rsid w:val="00FD52C4"/>
    <w:rPr>
      <w:b/>
      <w:spacing w:val="0"/>
    </w:rPr>
  </w:style>
  <w:style w:type="paragraph" w:styleId="ListBullet2">
    <w:name w:val="List Bullet 2"/>
    <w:basedOn w:val="List2"/>
    <w:rsid w:val="00FD52C4"/>
    <w:pPr>
      <w:numPr>
        <w:numId w:val="13"/>
      </w:numPr>
      <w:tabs>
        <w:tab w:val="clear" w:pos="680"/>
      </w:tabs>
    </w:pPr>
  </w:style>
  <w:style w:type="paragraph" w:customStyle="1" w:styleId="SuperHeading">
    <w:name w:val="SuperHeading"/>
    <w:basedOn w:val="Normal"/>
    <w:rsid w:val="00FD52C4"/>
    <w:pPr>
      <w:spacing w:before="240" w:after="120"/>
      <w:outlineLvl w:val="0"/>
    </w:pPr>
    <w:rPr>
      <w:rFonts w:ascii="Times New Roman" w:hAnsi="Times New Roman"/>
      <w:b/>
      <w:sz w:val="32"/>
    </w:rPr>
  </w:style>
  <w:style w:type="paragraph" w:customStyle="1" w:styleId="AllowPageBreak">
    <w:name w:val="AllowPageBreak"/>
    <w:rsid w:val="00FD52C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D52C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D52C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D52C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D52C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D52C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D52C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D52C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D52C4"/>
    <w:rPr>
      <w:rFonts w:ascii="Courier New" w:eastAsia="Times New Roman" w:hAnsi="Courier New" w:cs="Times New Roman"/>
      <w:i/>
      <w:szCs w:val="20"/>
      <w:lang w:eastAsia="en-US"/>
    </w:rPr>
  </w:style>
  <w:style w:type="paragraph" w:customStyle="1" w:styleId="HeadingBase">
    <w:name w:val="Heading Base"/>
    <w:rsid w:val="00FD52C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D52C4"/>
    <w:pPr>
      <w:tabs>
        <w:tab w:val="right" w:leader="dot" w:pos="9072"/>
      </w:tabs>
      <w:ind w:left="567"/>
    </w:pPr>
    <w:rPr>
      <w:szCs w:val="22"/>
    </w:rPr>
  </w:style>
  <w:style w:type="paragraph" w:customStyle="1" w:styleId="TOCBase">
    <w:name w:val="TOC Base"/>
    <w:rsid w:val="00FD52C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D52C4"/>
    <w:pPr>
      <w:tabs>
        <w:tab w:val="right" w:leader="dot" w:pos="9072"/>
      </w:tabs>
      <w:spacing w:before="40" w:after="40"/>
      <w:ind w:left="284"/>
    </w:pPr>
    <w:rPr>
      <w:rFonts w:ascii="Times New Roman" w:hAnsi="Times New Roman"/>
    </w:rPr>
  </w:style>
  <w:style w:type="paragraph" w:styleId="TOC1">
    <w:name w:val="toc 1"/>
    <w:basedOn w:val="TOCBase"/>
    <w:next w:val="Normal"/>
    <w:rsid w:val="00FD52C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D52C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D52C4"/>
    <w:rPr>
      <w:rFonts w:ascii="Times New Roman" w:eastAsia="Times New Roman" w:hAnsi="Times New Roman" w:cs="Times New Roman"/>
      <w:sz w:val="16"/>
      <w:lang w:eastAsia="en-US"/>
    </w:rPr>
  </w:style>
  <w:style w:type="paragraph" w:styleId="Title">
    <w:name w:val="Title"/>
    <w:basedOn w:val="HeadingBase"/>
    <w:link w:val="TitleChar"/>
    <w:qFormat/>
    <w:rsid w:val="00FD52C4"/>
    <w:pPr>
      <w:spacing w:before="5040"/>
      <w:jc w:val="center"/>
    </w:pPr>
    <w:rPr>
      <w:sz w:val="48"/>
      <w:szCs w:val="72"/>
      <w:lang w:val="en-US"/>
    </w:rPr>
  </w:style>
  <w:style w:type="character" w:customStyle="1" w:styleId="TitleChar">
    <w:name w:val="Title Char"/>
    <w:basedOn w:val="DefaultParagraphFont"/>
    <w:link w:val="Title"/>
    <w:rsid w:val="00FD52C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D52C4"/>
    <w:pPr>
      <w:tabs>
        <w:tab w:val="left" w:pos="3600"/>
        <w:tab w:val="left" w:pos="3958"/>
      </w:tabs>
    </w:pPr>
  </w:style>
  <w:style w:type="paragraph" w:styleId="List">
    <w:name w:val="List"/>
    <w:basedOn w:val="BodyText"/>
    <w:next w:val="BodyText"/>
    <w:rsid w:val="00FD52C4"/>
    <w:pPr>
      <w:tabs>
        <w:tab w:val="left" w:pos="340"/>
      </w:tabs>
      <w:spacing w:before="60" w:after="60"/>
      <w:ind w:left="340" w:hanging="340"/>
    </w:pPr>
  </w:style>
  <w:style w:type="paragraph" w:customStyle="1" w:styleId="Note">
    <w:name w:val="Note"/>
    <w:basedOn w:val="BodyText"/>
    <w:rsid w:val="00FD52C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D52C4"/>
    <w:pPr>
      <w:framePr w:wrap="auto" w:hAnchor="text" w:y="6049"/>
    </w:pPr>
    <w:rPr>
      <w:color w:val="000000"/>
      <w:sz w:val="40"/>
    </w:rPr>
  </w:style>
  <w:style w:type="paragraph" w:customStyle="1" w:styleId="TOCTitle">
    <w:name w:val="TOCTitle"/>
    <w:basedOn w:val="Heading1"/>
    <w:rsid w:val="00FD52C4"/>
    <w:pPr>
      <w:spacing w:after="240"/>
      <w:jc w:val="center"/>
      <w:outlineLvl w:val="9"/>
    </w:pPr>
    <w:rPr>
      <w:caps/>
    </w:rPr>
  </w:style>
  <w:style w:type="paragraph" w:customStyle="1" w:styleId="Version">
    <w:name w:val="Version"/>
    <w:rsid w:val="00FD52C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D52C4"/>
    <w:pPr>
      <w:keepNext w:val="0"/>
      <w:tabs>
        <w:tab w:val="right" w:pos="4176"/>
      </w:tabs>
      <w:ind w:left="198" w:hanging="198"/>
    </w:pPr>
    <w:rPr>
      <w:rFonts w:ascii="Garamond" w:hAnsi="Garamond"/>
    </w:rPr>
  </w:style>
  <w:style w:type="paragraph" w:styleId="IndexHeading">
    <w:name w:val="index heading"/>
    <w:basedOn w:val="Normal"/>
    <w:next w:val="Index1"/>
    <w:semiHidden/>
    <w:rsid w:val="00FD52C4"/>
    <w:pPr>
      <w:spacing w:before="120" w:after="120"/>
    </w:pPr>
    <w:rPr>
      <w:rFonts w:ascii="Arial" w:hAnsi="Arial"/>
      <w:b/>
      <w:color w:val="918585"/>
      <w:sz w:val="24"/>
    </w:rPr>
  </w:style>
  <w:style w:type="paragraph" w:styleId="Header">
    <w:name w:val="header"/>
    <w:basedOn w:val="Normal"/>
    <w:link w:val="HeaderChar"/>
    <w:rsid w:val="00FD52C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D52C4"/>
    <w:rPr>
      <w:rFonts w:ascii="Times New Roman" w:eastAsia="Times New Roman" w:hAnsi="Times New Roman" w:cs="Times New Roman"/>
      <w:sz w:val="16"/>
      <w:szCs w:val="20"/>
      <w:lang w:val="en-GB" w:eastAsia="en-US"/>
    </w:rPr>
  </w:style>
  <w:style w:type="paragraph" w:customStyle="1" w:styleId="Chapter">
    <w:name w:val="Chapter"/>
    <w:basedOn w:val="Normal"/>
    <w:rsid w:val="00FD52C4"/>
    <w:pPr>
      <w:spacing w:before="240"/>
    </w:pPr>
    <w:rPr>
      <w:rFonts w:ascii="Times New Roman" w:hAnsi="Times New Roman"/>
      <w:smallCaps/>
      <w:spacing w:val="80"/>
      <w:sz w:val="28"/>
    </w:rPr>
  </w:style>
  <w:style w:type="paragraph" w:customStyle="1" w:styleId="InChapter">
    <w:name w:val="InChapter"/>
    <w:basedOn w:val="Heading3"/>
    <w:rsid w:val="00FD52C4"/>
    <w:pPr>
      <w:spacing w:after="240"/>
      <w:outlineLvl w:val="9"/>
    </w:pPr>
    <w:rPr>
      <w:noProof/>
    </w:rPr>
  </w:style>
  <w:style w:type="paragraph" w:styleId="Index2">
    <w:name w:val="index 2"/>
    <w:basedOn w:val="Normal"/>
    <w:next w:val="Normal"/>
    <w:semiHidden/>
    <w:rsid w:val="00FD52C4"/>
    <w:pPr>
      <w:tabs>
        <w:tab w:val="right" w:pos="4176"/>
      </w:tabs>
      <w:ind w:left="568" w:hanging="284"/>
    </w:pPr>
    <w:rPr>
      <w:rFonts w:ascii="Garamond" w:hAnsi="Garamond"/>
    </w:rPr>
  </w:style>
  <w:style w:type="paragraph" w:customStyle="1" w:styleId="Byline">
    <w:name w:val="Byline"/>
    <w:rsid w:val="00FD52C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D52C4"/>
    <w:pPr>
      <w:tabs>
        <w:tab w:val="clear" w:pos="3600"/>
        <w:tab w:val="clear" w:pos="3958"/>
      </w:tabs>
      <w:jc w:val="right"/>
    </w:pPr>
  </w:style>
  <w:style w:type="character" w:styleId="Emphasis">
    <w:name w:val="Emphasis"/>
    <w:basedOn w:val="DefaultParagraphFont"/>
    <w:qFormat/>
    <w:rsid w:val="00FD52C4"/>
    <w:rPr>
      <w:i/>
    </w:rPr>
  </w:style>
  <w:style w:type="paragraph" w:styleId="Caption">
    <w:name w:val="caption"/>
    <w:basedOn w:val="BodyText"/>
    <w:next w:val="Normal"/>
    <w:qFormat/>
    <w:rsid w:val="00FD52C4"/>
    <w:pPr>
      <w:framePr w:w="2268" w:hSpace="181" w:vSpace="181" w:wrap="around" w:vAnchor="text" w:hAnchor="page" w:x="1135" w:y="285" w:anchorLock="1"/>
    </w:pPr>
    <w:rPr>
      <w:i/>
    </w:rPr>
  </w:style>
  <w:style w:type="paragraph" w:customStyle="1" w:styleId="MiniTOCTitle">
    <w:name w:val="MiniTOCTitle"/>
    <w:basedOn w:val="Heading4"/>
    <w:rsid w:val="00FD52C4"/>
    <w:pPr>
      <w:spacing w:before="240"/>
      <w:outlineLvl w:val="9"/>
    </w:pPr>
    <w:rPr>
      <w:noProof/>
      <w:sz w:val="24"/>
    </w:rPr>
  </w:style>
  <w:style w:type="paragraph" w:customStyle="1" w:styleId="MiniTOCItem">
    <w:name w:val="MiniTOCItem"/>
    <w:basedOn w:val="ListBullet"/>
    <w:rsid w:val="00FD52C4"/>
    <w:pPr>
      <w:numPr>
        <w:numId w:val="0"/>
      </w:numPr>
      <w:tabs>
        <w:tab w:val="right" w:leader="dot" w:pos="6521"/>
      </w:tabs>
      <w:spacing w:before="0" w:after="0"/>
    </w:pPr>
  </w:style>
  <w:style w:type="paragraph" w:customStyle="1" w:styleId="TOFTitle">
    <w:name w:val="TOFTitle"/>
    <w:basedOn w:val="TOCTitle"/>
    <w:rsid w:val="00FD52C4"/>
  </w:style>
  <w:style w:type="paragraph" w:styleId="TableofFigures">
    <w:name w:val="table of figures"/>
    <w:basedOn w:val="Normal"/>
    <w:next w:val="Normal"/>
    <w:semiHidden/>
    <w:rsid w:val="00FD52C4"/>
    <w:pPr>
      <w:tabs>
        <w:tab w:val="right" w:leader="dot" w:pos="9072"/>
      </w:tabs>
      <w:ind w:left="970" w:hanging="403"/>
    </w:pPr>
    <w:rPr>
      <w:rFonts w:ascii="Times New Roman" w:hAnsi="Times New Roman"/>
      <w:b/>
    </w:rPr>
  </w:style>
  <w:style w:type="paragraph" w:styleId="ListNumber">
    <w:name w:val="List Number"/>
    <w:basedOn w:val="List"/>
    <w:rsid w:val="00FD52C4"/>
    <w:pPr>
      <w:numPr>
        <w:numId w:val="15"/>
      </w:numPr>
      <w:tabs>
        <w:tab w:val="clear" w:pos="340"/>
      </w:tabs>
    </w:pPr>
  </w:style>
  <w:style w:type="character" w:customStyle="1" w:styleId="WingdingSymbols">
    <w:name w:val="Wingding Symbols"/>
    <w:rsid w:val="00FD52C4"/>
    <w:rPr>
      <w:rFonts w:ascii="Wingdings" w:hAnsi="Wingdings"/>
    </w:rPr>
  </w:style>
  <w:style w:type="paragraph" w:customStyle="1" w:styleId="TableHeading">
    <w:name w:val="Table Heading"/>
    <w:basedOn w:val="HeadingBase"/>
    <w:rsid w:val="00FD52C4"/>
    <w:pPr>
      <w:keepLines/>
      <w:pBdr>
        <w:bottom w:val="single" w:sz="6" w:space="1" w:color="918585"/>
      </w:pBdr>
      <w:spacing w:before="240"/>
    </w:pPr>
  </w:style>
  <w:style w:type="character" w:customStyle="1" w:styleId="HotSpot">
    <w:name w:val="HotSpot"/>
    <w:rsid w:val="00FD52C4"/>
    <w:rPr>
      <w:color w:val="0033CC"/>
      <w:u w:val="none"/>
    </w:rPr>
  </w:style>
  <w:style w:type="paragraph" w:customStyle="1" w:styleId="BodyTextRight">
    <w:name w:val="Body Text Right"/>
    <w:basedOn w:val="BodyText"/>
    <w:rsid w:val="00FD52C4"/>
    <w:pPr>
      <w:spacing w:before="0" w:after="0"/>
      <w:jc w:val="right"/>
    </w:pPr>
  </w:style>
  <w:style w:type="paragraph" w:styleId="Index3">
    <w:name w:val="index 3"/>
    <w:basedOn w:val="ListNumber2"/>
    <w:next w:val="Normal"/>
    <w:semiHidden/>
    <w:rsid w:val="00FD52C4"/>
    <w:pPr>
      <w:numPr>
        <w:numId w:val="0"/>
      </w:numPr>
      <w:tabs>
        <w:tab w:val="right" w:leader="dot" w:pos="4176"/>
      </w:tabs>
    </w:pPr>
  </w:style>
  <w:style w:type="paragraph" w:styleId="ListNumber2">
    <w:name w:val="List Number 2"/>
    <w:basedOn w:val="List2"/>
    <w:rsid w:val="00FD52C4"/>
    <w:pPr>
      <w:numPr>
        <w:numId w:val="10"/>
      </w:numPr>
      <w:tabs>
        <w:tab w:val="clear" w:pos="1060"/>
      </w:tabs>
    </w:pPr>
  </w:style>
  <w:style w:type="paragraph" w:customStyle="1" w:styleId="MarginNote">
    <w:name w:val="Margin Note"/>
    <w:basedOn w:val="BodyText"/>
    <w:rsid w:val="00FD52C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D52C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D52C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D52C4"/>
    <w:rPr>
      <w:sz w:val="32"/>
    </w:rPr>
  </w:style>
  <w:style w:type="paragraph" w:customStyle="1" w:styleId="HeadingProcedure">
    <w:name w:val="Heading Procedure"/>
    <w:basedOn w:val="HeadingBase"/>
    <w:next w:val="Normal"/>
    <w:rsid w:val="00FD52C4"/>
    <w:pPr>
      <w:tabs>
        <w:tab w:val="left" w:pos="0"/>
      </w:tabs>
      <w:spacing w:before="120" w:after="60"/>
    </w:pPr>
    <w:rPr>
      <w:i/>
      <w:color w:val="918585"/>
      <w:sz w:val="22"/>
    </w:rPr>
  </w:style>
  <w:style w:type="paragraph" w:customStyle="1" w:styleId="TableBodyText">
    <w:name w:val="Table Body Text"/>
    <w:basedOn w:val="BodyText"/>
    <w:rsid w:val="00FD52C4"/>
    <w:pPr>
      <w:spacing w:before="60" w:after="60"/>
    </w:pPr>
  </w:style>
  <w:style w:type="paragraph" w:styleId="ListContinue">
    <w:name w:val="List Continue"/>
    <w:basedOn w:val="List"/>
    <w:rsid w:val="00FD52C4"/>
    <w:pPr>
      <w:ind w:firstLine="0"/>
    </w:pPr>
  </w:style>
  <w:style w:type="paragraph" w:customStyle="1" w:styleId="ListNote">
    <w:name w:val="List Note"/>
    <w:basedOn w:val="List"/>
    <w:rsid w:val="00FD52C4"/>
    <w:pPr>
      <w:pBdr>
        <w:top w:val="single" w:sz="6" w:space="2" w:color="918585"/>
        <w:bottom w:val="single" w:sz="6" w:space="2" w:color="918585"/>
      </w:pBdr>
      <w:tabs>
        <w:tab w:val="left" w:pos="1021"/>
      </w:tabs>
      <w:ind w:firstLine="0"/>
    </w:pPr>
  </w:style>
  <w:style w:type="paragraph" w:customStyle="1" w:styleId="Warning">
    <w:name w:val="Warning"/>
    <w:basedOn w:val="BodyText"/>
    <w:rsid w:val="00FD52C4"/>
    <w:pPr>
      <w:shd w:val="clear" w:color="auto" w:fill="D9D9D9"/>
      <w:tabs>
        <w:tab w:val="left" w:pos="992"/>
      </w:tabs>
      <w:ind w:left="119" w:right="119"/>
    </w:pPr>
    <w:rPr>
      <w:sz w:val="20"/>
    </w:rPr>
  </w:style>
  <w:style w:type="paragraph" w:customStyle="1" w:styleId="MarginIcons">
    <w:name w:val="Margin Icons"/>
    <w:basedOn w:val="BodyText"/>
    <w:rsid w:val="00FD52C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D52C4"/>
    <w:rPr>
      <w:rFonts w:ascii="Courier New" w:hAnsi="Courier New"/>
    </w:rPr>
  </w:style>
  <w:style w:type="paragraph" w:customStyle="1" w:styleId="NoteBullet">
    <w:name w:val="Note Bullet"/>
    <w:basedOn w:val="Note"/>
    <w:rsid w:val="00FD52C4"/>
    <w:pPr>
      <w:tabs>
        <w:tab w:val="clear" w:pos="680"/>
      </w:tabs>
      <w:spacing w:before="60" w:after="60"/>
    </w:pPr>
  </w:style>
  <w:style w:type="paragraph" w:customStyle="1" w:styleId="SubHeading2">
    <w:name w:val="SubHeading2"/>
    <w:basedOn w:val="HeadingBase"/>
    <w:rsid w:val="00FD52C4"/>
    <w:pPr>
      <w:spacing w:before="240" w:after="60"/>
    </w:pPr>
    <w:rPr>
      <w:sz w:val="20"/>
    </w:rPr>
  </w:style>
  <w:style w:type="paragraph" w:customStyle="1" w:styleId="SubHeading1">
    <w:name w:val="SubHeading1"/>
    <w:basedOn w:val="HeadingBase"/>
    <w:rsid w:val="00FD52C4"/>
    <w:pPr>
      <w:spacing w:before="240" w:after="60"/>
    </w:pPr>
    <w:rPr>
      <w:color w:val="918585"/>
      <w:sz w:val="22"/>
    </w:rPr>
  </w:style>
  <w:style w:type="paragraph" w:customStyle="1" w:styleId="SideHeading">
    <w:name w:val="Side Heading"/>
    <w:basedOn w:val="HeadingBase"/>
    <w:rsid w:val="00FD52C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D52C4"/>
    <w:pPr>
      <w:tabs>
        <w:tab w:val="num" w:pos="360"/>
      </w:tabs>
    </w:pPr>
  </w:style>
  <w:style w:type="paragraph" w:styleId="PlainText">
    <w:name w:val="Plain Text"/>
    <w:basedOn w:val="Normal"/>
    <w:link w:val="PlainTextChar"/>
    <w:rsid w:val="00FD52C4"/>
    <w:rPr>
      <w:sz w:val="20"/>
    </w:rPr>
  </w:style>
  <w:style w:type="character" w:customStyle="1" w:styleId="PlainTextChar">
    <w:name w:val="Plain Text Char"/>
    <w:basedOn w:val="DefaultParagraphFont"/>
    <w:link w:val="PlainText"/>
    <w:rsid w:val="00FD52C4"/>
    <w:rPr>
      <w:rFonts w:ascii="Courier New" w:eastAsia="Times New Roman" w:hAnsi="Courier New" w:cs="Times New Roman"/>
      <w:sz w:val="20"/>
      <w:szCs w:val="20"/>
      <w:lang w:eastAsia="en-US"/>
    </w:rPr>
  </w:style>
  <w:style w:type="character" w:customStyle="1" w:styleId="MenuOption">
    <w:name w:val="Menu Option"/>
    <w:basedOn w:val="DefaultParagraphFont"/>
    <w:rsid w:val="00FD52C4"/>
    <w:rPr>
      <w:b/>
      <w:smallCaps/>
    </w:rPr>
  </w:style>
  <w:style w:type="paragraph" w:customStyle="1" w:styleId="TableListNumber">
    <w:name w:val="Table List Number"/>
    <w:basedOn w:val="ListNumber"/>
    <w:rsid w:val="00FD52C4"/>
    <w:pPr>
      <w:numPr>
        <w:numId w:val="0"/>
      </w:numPr>
    </w:pPr>
  </w:style>
  <w:style w:type="paragraph" w:styleId="TOC4">
    <w:name w:val="toc 4"/>
    <w:basedOn w:val="TOCBase"/>
    <w:next w:val="Normal"/>
    <w:semiHidden/>
    <w:rsid w:val="00FD52C4"/>
    <w:pPr>
      <w:tabs>
        <w:tab w:val="right" w:leader="dot" w:pos="9071"/>
      </w:tabs>
      <w:ind w:left="1701"/>
    </w:pPr>
  </w:style>
  <w:style w:type="paragraph" w:customStyle="1" w:styleId="ListAlpha">
    <w:name w:val="List Alpha"/>
    <w:basedOn w:val="List"/>
    <w:rsid w:val="00FD52C4"/>
    <w:pPr>
      <w:numPr>
        <w:numId w:val="9"/>
      </w:numPr>
    </w:pPr>
  </w:style>
  <w:style w:type="paragraph" w:customStyle="1" w:styleId="ListAlpha2">
    <w:name w:val="List Alpha 2"/>
    <w:basedOn w:val="List2"/>
    <w:rsid w:val="00FD52C4"/>
    <w:pPr>
      <w:numPr>
        <w:numId w:val="8"/>
      </w:numPr>
    </w:pPr>
  </w:style>
  <w:style w:type="paragraph" w:styleId="List2">
    <w:name w:val="List 2"/>
    <w:basedOn w:val="BodyText"/>
    <w:rsid w:val="00FD52C4"/>
    <w:pPr>
      <w:tabs>
        <w:tab w:val="left" w:pos="680"/>
      </w:tabs>
      <w:spacing w:before="60" w:after="60"/>
      <w:ind w:left="680" w:hanging="340"/>
    </w:pPr>
  </w:style>
  <w:style w:type="paragraph" w:styleId="List3">
    <w:name w:val="List 3"/>
    <w:basedOn w:val="BodyText"/>
    <w:rsid w:val="00FD52C4"/>
    <w:pPr>
      <w:tabs>
        <w:tab w:val="left" w:pos="1021"/>
      </w:tabs>
      <w:spacing w:before="60" w:after="60"/>
      <w:ind w:left="1020" w:hanging="340"/>
    </w:pPr>
  </w:style>
  <w:style w:type="paragraph" w:styleId="List4">
    <w:name w:val="List 4"/>
    <w:basedOn w:val="BodyText"/>
    <w:rsid w:val="00FD52C4"/>
    <w:pPr>
      <w:tabs>
        <w:tab w:val="left" w:pos="1361"/>
      </w:tabs>
      <w:spacing w:before="60" w:after="60"/>
      <w:ind w:left="1361" w:hanging="340"/>
    </w:pPr>
  </w:style>
  <w:style w:type="paragraph" w:styleId="List5">
    <w:name w:val="List 5"/>
    <w:basedOn w:val="BodyText"/>
    <w:rsid w:val="00FD52C4"/>
    <w:pPr>
      <w:tabs>
        <w:tab w:val="left" w:pos="1701"/>
      </w:tabs>
      <w:spacing w:before="60" w:after="60"/>
      <w:ind w:left="1701" w:hanging="340"/>
    </w:pPr>
  </w:style>
  <w:style w:type="paragraph" w:styleId="ListBullet3">
    <w:name w:val="List Bullet 3"/>
    <w:basedOn w:val="List3"/>
    <w:rsid w:val="00FD52C4"/>
    <w:pPr>
      <w:numPr>
        <w:numId w:val="14"/>
      </w:numPr>
      <w:tabs>
        <w:tab w:val="clear" w:pos="1021"/>
      </w:tabs>
      <w:ind w:left="1037" w:hanging="357"/>
    </w:pPr>
  </w:style>
  <w:style w:type="paragraph" w:styleId="ListBullet4">
    <w:name w:val="List Bullet 4"/>
    <w:basedOn w:val="List4"/>
    <w:rsid w:val="00FD52C4"/>
    <w:pPr>
      <w:numPr>
        <w:numId w:val="3"/>
      </w:numPr>
      <w:tabs>
        <w:tab w:val="clear" w:pos="1361"/>
      </w:tabs>
    </w:pPr>
  </w:style>
  <w:style w:type="paragraph" w:styleId="ListBullet5">
    <w:name w:val="List Bullet 5"/>
    <w:basedOn w:val="List5"/>
    <w:rsid w:val="00FD52C4"/>
    <w:pPr>
      <w:numPr>
        <w:numId w:val="4"/>
      </w:numPr>
    </w:pPr>
  </w:style>
  <w:style w:type="paragraph" w:styleId="ListContinue2">
    <w:name w:val="List Continue 2"/>
    <w:basedOn w:val="List2"/>
    <w:rsid w:val="00FD52C4"/>
    <w:pPr>
      <w:ind w:firstLine="0"/>
    </w:pPr>
  </w:style>
  <w:style w:type="paragraph" w:styleId="ListContinue3">
    <w:name w:val="List Continue 3"/>
    <w:basedOn w:val="List3"/>
    <w:rsid w:val="00FD52C4"/>
    <w:pPr>
      <w:ind w:left="1021" w:firstLine="0"/>
    </w:pPr>
  </w:style>
  <w:style w:type="paragraph" w:styleId="ListContinue4">
    <w:name w:val="List Continue 4"/>
    <w:basedOn w:val="List4"/>
    <w:rsid w:val="00FD52C4"/>
    <w:pPr>
      <w:ind w:firstLine="0"/>
    </w:pPr>
  </w:style>
  <w:style w:type="paragraph" w:styleId="ListContinue5">
    <w:name w:val="List Continue 5"/>
    <w:basedOn w:val="List5"/>
    <w:rsid w:val="00FD52C4"/>
    <w:pPr>
      <w:ind w:firstLine="0"/>
    </w:pPr>
  </w:style>
  <w:style w:type="paragraph" w:styleId="ListNumber3">
    <w:name w:val="List Number 3"/>
    <w:basedOn w:val="List3"/>
    <w:rsid w:val="00FD52C4"/>
    <w:pPr>
      <w:numPr>
        <w:numId w:val="5"/>
      </w:numPr>
    </w:pPr>
  </w:style>
  <w:style w:type="paragraph" w:styleId="ListNumber4">
    <w:name w:val="List Number 4"/>
    <w:basedOn w:val="List4"/>
    <w:rsid w:val="00FD52C4"/>
    <w:pPr>
      <w:numPr>
        <w:numId w:val="6"/>
      </w:numPr>
    </w:pPr>
  </w:style>
  <w:style w:type="paragraph" w:styleId="ListNumber5">
    <w:name w:val="List Number 5"/>
    <w:basedOn w:val="List5"/>
    <w:rsid w:val="00FD52C4"/>
    <w:pPr>
      <w:numPr>
        <w:numId w:val="7"/>
      </w:numPr>
    </w:pPr>
  </w:style>
  <w:style w:type="paragraph" w:styleId="BlockText">
    <w:name w:val="Block Text"/>
    <w:basedOn w:val="Normal"/>
    <w:rsid w:val="00FD52C4"/>
    <w:pPr>
      <w:spacing w:after="120"/>
      <w:ind w:left="1440" w:right="1440"/>
    </w:pPr>
  </w:style>
  <w:style w:type="character" w:customStyle="1" w:styleId="Subscript">
    <w:name w:val="Subscript"/>
    <w:basedOn w:val="DefaultParagraphFont"/>
    <w:rsid w:val="00FD52C4"/>
    <w:rPr>
      <w:sz w:val="16"/>
      <w:vertAlign w:val="subscript"/>
    </w:rPr>
  </w:style>
  <w:style w:type="character" w:customStyle="1" w:styleId="Superscript">
    <w:name w:val="Superscript"/>
    <w:basedOn w:val="DefaultParagraphFont"/>
    <w:rsid w:val="00FD52C4"/>
    <w:rPr>
      <w:sz w:val="16"/>
      <w:vertAlign w:val="superscript"/>
    </w:rPr>
  </w:style>
  <w:style w:type="character" w:customStyle="1" w:styleId="Symbols">
    <w:name w:val="Symbols"/>
    <w:basedOn w:val="DefaultParagraphFont"/>
    <w:rsid w:val="00FD52C4"/>
    <w:rPr>
      <w:rFonts w:ascii="Symbol" w:hAnsi="Symbol"/>
    </w:rPr>
  </w:style>
  <w:style w:type="character" w:customStyle="1" w:styleId="MenuOptions">
    <w:name w:val="Menu Options"/>
    <w:basedOn w:val="DefaultParagraphFont"/>
    <w:rsid w:val="00FD52C4"/>
    <w:rPr>
      <w:rFonts w:ascii="Arial Narrow" w:hAnsi="Arial Narrow"/>
      <w:smallCaps/>
    </w:rPr>
  </w:style>
  <w:style w:type="character" w:customStyle="1" w:styleId="Buttons">
    <w:name w:val="Buttons"/>
    <w:basedOn w:val="DefaultParagraphFont"/>
    <w:rsid w:val="00FD52C4"/>
    <w:rPr>
      <w:b/>
    </w:rPr>
  </w:style>
  <w:style w:type="character" w:customStyle="1" w:styleId="Underlined">
    <w:name w:val="Underlined"/>
    <w:basedOn w:val="DefaultParagraphFont"/>
    <w:rsid w:val="00FD52C4"/>
    <w:rPr>
      <w:u w:val="single"/>
    </w:rPr>
  </w:style>
  <w:style w:type="paragraph" w:customStyle="1" w:styleId="TableBodyTextRight">
    <w:name w:val="Table Body Text Right"/>
    <w:basedOn w:val="TableBodyText"/>
    <w:rsid w:val="00FD52C4"/>
    <w:pPr>
      <w:widowControl w:val="0"/>
      <w:autoSpaceDE w:val="0"/>
      <w:autoSpaceDN w:val="0"/>
      <w:adjustRightInd w:val="0"/>
      <w:jc w:val="right"/>
    </w:pPr>
    <w:rPr>
      <w:rFonts w:cs="Arial"/>
      <w:szCs w:val="18"/>
    </w:rPr>
  </w:style>
  <w:style w:type="paragraph" w:customStyle="1" w:styleId="CopyrightText">
    <w:name w:val="Copyright Text"/>
    <w:basedOn w:val="BodyText"/>
    <w:rsid w:val="00FD52C4"/>
    <w:rPr>
      <w:sz w:val="18"/>
    </w:rPr>
  </w:style>
  <w:style w:type="paragraph" w:customStyle="1" w:styleId="BodySmallRight">
    <w:name w:val="Body Small Right"/>
    <w:basedOn w:val="BodyTextRight"/>
    <w:rsid w:val="00FD52C4"/>
    <w:rPr>
      <w:sz w:val="18"/>
      <w:szCs w:val="18"/>
    </w:rPr>
  </w:style>
  <w:style w:type="paragraph" w:customStyle="1" w:styleId="MarginEdition">
    <w:name w:val="Margin Edition"/>
    <w:basedOn w:val="MarginNote"/>
    <w:rsid w:val="00FD52C4"/>
    <w:pPr>
      <w:spacing w:before="0" w:after="0"/>
    </w:pPr>
    <w:rPr>
      <w:rFonts w:ascii="Times New Roman" w:hAnsi="Times New Roman"/>
      <w:color w:val="999999"/>
    </w:rPr>
  </w:style>
  <w:style w:type="paragraph" w:customStyle="1" w:styleId="Spacer">
    <w:name w:val="Spacer"/>
    <w:basedOn w:val="Normal"/>
    <w:rsid w:val="00FD52C4"/>
    <w:rPr>
      <w:sz w:val="2"/>
      <w:szCs w:val="2"/>
    </w:rPr>
  </w:style>
  <w:style w:type="character" w:customStyle="1" w:styleId="Small">
    <w:name w:val="Small"/>
    <w:basedOn w:val="DefaultParagraphFont"/>
    <w:rsid w:val="00FD52C4"/>
    <w:rPr>
      <w:sz w:val="16"/>
    </w:rPr>
  </w:style>
  <w:style w:type="paragraph" w:customStyle="1" w:styleId="WideTable">
    <w:name w:val="Wide Table"/>
    <w:basedOn w:val="Normal"/>
    <w:rsid w:val="00FD52C4"/>
    <w:pPr>
      <w:ind w:left="-1418"/>
    </w:pPr>
    <w:rPr>
      <w:sz w:val="2"/>
      <w:szCs w:val="2"/>
    </w:rPr>
  </w:style>
  <w:style w:type="character" w:styleId="PageNumber">
    <w:name w:val="page number"/>
    <w:basedOn w:val="DefaultParagraphFont"/>
    <w:rsid w:val="00FD52C4"/>
  </w:style>
  <w:style w:type="paragraph" w:styleId="Quote">
    <w:name w:val="Quote"/>
    <w:basedOn w:val="Heading1"/>
    <w:link w:val="QuoteChar"/>
    <w:qFormat/>
    <w:rsid w:val="00FD52C4"/>
    <w:rPr>
      <w:b w:val="0"/>
      <w:sz w:val="72"/>
      <w:szCs w:val="72"/>
      <w:lang w:val="en-NZ"/>
    </w:rPr>
  </w:style>
  <w:style w:type="character" w:customStyle="1" w:styleId="QuoteChar">
    <w:name w:val="Quote Char"/>
    <w:basedOn w:val="DefaultParagraphFont"/>
    <w:link w:val="Quote"/>
    <w:rsid w:val="00FD52C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D52C4"/>
    <w:pPr>
      <w:pageBreakBefore/>
    </w:pPr>
  </w:style>
  <w:style w:type="paragraph" w:customStyle="1" w:styleId="Border">
    <w:name w:val="Border"/>
    <w:basedOn w:val="Normal"/>
    <w:qFormat/>
    <w:rsid w:val="00FD52C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D52C4"/>
    <w:rPr>
      <w:b/>
      <w:bCs/>
      <w:i/>
      <w:iCs/>
      <w:color w:val="auto"/>
    </w:rPr>
  </w:style>
  <w:style w:type="paragraph" w:styleId="IntenseQuote">
    <w:name w:val="Intense Quote"/>
    <w:basedOn w:val="Normal"/>
    <w:next w:val="Normal"/>
    <w:link w:val="IntenseQuoteChar"/>
    <w:uiPriority w:val="30"/>
    <w:qFormat/>
    <w:rsid w:val="00FD52C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D52C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D52C4"/>
    <w:rPr>
      <w:smallCaps/>
      <w:color w:val="auto"/>
      <w:u w:val="single"/>
    </w:rPr>
  </w:style>
  <w:style w:type="character" w:styleId="IntenseReference">
    <w:name w:val="Intense Reference"/>
    <w:basedOn w:val="DefaultParagraphFont"/>
    <w:uiPriority w:val="32"/>
    <w:qFormat/>
    <w:rsid w:val="00FD52C4"/>
    <w:rPr>
      <w:b/>
      <w:bCs/>
      <w:smallCaps/>
      <w:color w:val="auto"/>
      <w:spacing w:val="5"/>
      <w:u w:val="single"/>
    </w:rPr>
  </w:style>
  <w:style w:type="paragraph" w:customStyle="1" w:styleId="2ColumnHeading">
    <w:name w:val="2Column Heading"/>
    <w:basedOn w:val="BodyText"/>
    <w:qFormat/>
    <w:rsid w:val="00FD52C4"/>
    <w:pPr>
      <w:spacing w:after="60"/>
      <w:ind w:left="-2268"/>
    </w:pPr>
    <w:rPr>
      <w:b/>
    </w:rPr>
  </w:style>
  <w:style w:type="paragraph" w:customStyle="1" w:styleId="Heading1TOC">
    <w:name w:val="Heading1 TOC"/>
    <w:basedOn w:val="Normal"/>
    <w:qFormat/>
    <w:rsid w:val="00FD52C4"/>
    <w:pPr>
      <w:spacing w:before="240" w:after="120"/>
    </w:pPr>
    <w:rPr>
      <w:rFonts w:ascii="Times New Roman" w:hAnsi="Times New Roman"/>
      <w:b/>
      <w:sz w:val="32"/>
    </w:rPr>
  </w:style>
  <w:style w:type="paragraph" w:customStyle="1" w:styleId="Heading2TOC">
    <w:name w:val="Heading2 TOC"/>
    <w:basedOn w:val="Normal"/>
    <w:qFormat/>
    <w:rsid w:val="00FD52C4"/>
    <w:pPr>
      <w:spacing w:before="240" w:after="60"/>
    </w:pPr>
    <w:rPr>
      <w:rFonts w:ascii="Times New Roman" w:hAnsi="Times New Roman"/>
      <w:b/>
      <w:sz w:val="28"/>
    </w:rPr>
  </w:style>
  <w:style w:type="character" w:customStyle="1" w:styleId="Underline">
    <w:name w:val="Underline"/>
    <w:basedOn w:val="DefaultParagraphFont"/>
    <w:qFormat/>
    <w:rsid w:val="00FD52C4"/>
    <w:rPr>
      <w:u w:val="single"/>
    </w:rPr>
  </w:style>
  <w:style w:type="character" w:customStyle="1" w:styleId="BoldandItalics">
    <w:name w:val="Bold and Italics"/>
    <w:qFormat/>
    <w:rsid w:val="00FD52C4"/>
    <w:rPr>
      <w:b/>
      <w:i/>
      <w:u w:val="none"/>
    </w:rPr>
  </w:style>
  <w:style w:type="paragraph" w:styleId="BalloonText">
    <w:name w:val="Balloon Text"/>
    <w:basedOn w:val="Normal"/>
    <w:link w:val="BalloonTextChar"/>
    <w:rsid w:val="00FD52C4"/>
    <w:rPr>
      <w:rFonts w:ascii="Tahoma" w:hAnsi="Tahoma" w:cs="Tahoma"/>
      <w:sz w:val="16"/>
      <w:szCs w:val="16"/>
    </w:rPr>
  </w:style>
  <w:style w:type="character" w:customStyle="1" w:styleId="BalloonTextChar">
    <w:name w:val="Balloon Text Char"/>
    <w:basedOn w:val="DefaultParagraphFont"/>
    <w:link w:val="BalloonText"/>
    <w:rsid w:val="00FD52C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D52C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D52C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D52C4"/>
    <w:rPr>
      <w:b/>
      <w:color w:val="660033"/>
      <w:spacing w:val="0"/>
    </w:rPr>
  </w:style>
  <w:style w:type="paragraph" w:customStyle="1" w:styleId="Nameditemlist">
    <w:name w:val="Named item list"/>
    <w:basedOn w:val="BodyText"/>
    <w:qFormat/>
    <w:rsid w:val="00FD52C4"/>
    <w:pPr>
      <w:tabs>
        <w:tab w:val="left" w:pos="2835"/>
      </w:tabs>
      <w:ind w:left="2835" w:hanging="2835"/>
    </w:pPr>
  </w:style>
  <w:style w:type="paragraph" w:customStyle="1" w:styleId="BodyTextnopadding">
    <w:name w:val="Body Text no padding"/>
    <w:basedOn w:val="BodyText"/>
    <w:qFormat/>
    <w:rsid w:val="00FD52C4"/>
    <w:pPr>
      <w:spacing w:before="0" w:after="0"/>
    </w:pPr>
  </w:style>
  <w:style w:type="paragraph" w:customStyle="1" w:styleId="BodyTextBold">
    <w:name w:val="Body Text Bold"/>
    <w:basedOn w:val="BodyText"/>
    <w:qFormat/>
    <w:rsid w:val="00FD52C4"/>
    <w:rPr>
      <w:b/>
    </w:rPr>
  </w:style>
  <w:style w:type="character" w:styleId="Hyperlink">
    <w:name w:val="Hyperlink"/>
    <w:basedOn w:val="DefaultParagraphFont"/>
    <w:uiPriority w:val="99"/>
    <w:unhideWhenUsed/>
    <w:rsid w:val="005A6C2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1879</Words>
  <Characters>11693</Characters>
  <Application>Microsoft Office Word</Application>
  <DocSecurity>0</DocSecurity>
  <Lines>389</Lines>
  <Paragraphs>256</Paragraphs>
  <ScaleCrop>false</ScaleCrop>
  <Company>Author-it Software Corporation Ltd.</Company>
  <LinksUpToDate>false</LinksUpToDate>
  <CharactersWithSpaces>13316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PMAOMIR346 Assess and secure an incident site</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2025-03-02T01:00:00Z</dcterms:created>
  <dcterms:modified xsi:type="dcterms:W3CDTF">2025-03-02T01:00:00Z</dcterms:modified>
</cp:coreProperties>
</file>