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0AE" w:rsidP="003B6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PMA20116 Certificate II in Process Plant Operations</w:t>
      </w:r>
      <w:r>
        <w:fldChar w:fldCharType="end"/>
      </w:r>
    </w:p>
    <w:p w:rsidR="003B60AE" w:rsidP="003B60AE">
      <w:pPr>
        <w:pStyle w:val="Version"/>
        <w:sectPr w:rsidSect="00F51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F512A9" w:rsidP="00F512A9">
      <w:pPr>
        <w:pStyle w:val="SuperHeading"/>
      </w:pPr>
      <w:r w:rsidRPr="00F512A9">
        <w:t>PMA20116 Certificate II in Process Plant Operations</w:t>
      </w:r>
    </w:p>
    <w:p w:rsidR="00000000" w:rsidRPr="00F512A9" w:rsidP="00F512A9">
      <w:pPr>
        <w:pStyle w:val="Heading1"/>
      </w:pPr>
      <w:bookmarkStart w:id="1" w:name="O_1247193"/>
      <w:bookmarkEnd w:id="1"/>
      <w:r w:rsidRPr="00F512A9">
        <w:t>Modification History</w:t>
      </w:r>
    </w:p>
    <w:p w:rsidR="00000000" w:rsidRPr="00F512A9" w:rsidP="003B60AE">
      <w:pPr>
        <w:pStyle w:val="BodyText"/>
      </w:pPr>
      <w:r w:rsidRPr="00F512A9">
        <w:t xml:space="preserve">Release 4. 10 PMASMELT coded units reinstated into the elective group. Equivalent. </w:t>
      </w:r>
    </w:p>
    <w:p w:rsidR="00000000" w:rsidRPr="00F512A9" w:rsidP="003B60AE">
      <w:pPr>
        <w:pStyle w:val="BodyText"/>
      </w:pPr>
      <w:r w:rsidRPr="00F512A9">
        <w:t>Release 3. 16 low use units removed from elective bank as determined at December 2020 AISC meeting in response to Skills Ministers</w:t>
      </w:r>
      <w:r>
        <w:t>’</w:t>
      </w:r>
      <w:r w:rsidRPr="00F512A9">
        <w:t xml:space="preserve"> objectives</w:t>
      </w:r>
      <w:r w:rsidRPr="00F512A9">
        <w:t>. Equivalent.</w:t>
      </w:r>
    </w:p>
    <w:p w:rsidR="00000000" w:rsidRPr="00F512A9" w:rsidP="003B60AE">
      <w:pPr>
        <w:pStyle w:val="BodyText"/>
      </w:pPr>
      <w:r w:rsidRPr="00F512A9">
        <w:t>Release 2. Elective unit codes and titles updated. Supersedes and equivalent to PMA20116 Certificate II in Process Plant Operations (Release 1).</w:t>
      </w:r>
    </w:p>
    <w:p w:rsidR="00000000" w:rsidRPr="00F512A9" w:rsidP="003B60AE">
      <w:pPr>
        <w:pStyle w:val="BodyText"/>
      </w:pPr>
      <w:r w:rsidRPr="00F512A9">
        <w:t>Release 1. Supersedes and is equivalent to PMA20113 Certificate II in Process Plant Operations.</w:t>
      </w:r>
    </w:p>
    <w:p w:rsidR="00000000" w:rsidRPr="00F512A9" w:rsidP="00F512A9">
      <w:pPr>
        <w:pStyle w:val="Heading1"/>
      </w:pPr>
      <w:bookmarkStart w:id="2" w:name="O_1247192"/>
      <w:bookmarkEnd w:id="2"/>
      <w:r w:rsidRPr="00F512A9">
        <w:t>Qualification Description</w:t>
      </w:r>
    </w:p>
    <w:p w:rsidR="00000000" w:rsidRPr="00F512A9" w:rsidP="003B60AE">
      <w:pPr>
        <w:pStyle w:val="BodyText"/>
      </w:pPr>
      <w:r w:rsidRPr="00F512A9">
        <w:t>The PMA20116 Certificate II in Process Plant Operations is a technical qualification for operators in the hydrocarbons, petrochemical, chemical, metal/ore processing and related process manufacturing industry sec</w:t>
      </w:r>
      <w:r w:rsidRPr="00F512A9">
        <w:t xml:space="preserve">tors. It is intended for competent operators who operate production equipment or undertake similar roles directly producing products. The operator would apply a breadth and depth of knowledge to a defined range of situations and would be expected to apply </w:t>
      </w:r>
      <w:r w:rsidRPr="00F512A9">
        <w:t>this knowledge to solve a defined range of problems by applying known solutions to a limited range of predictable problems.</w:t>
      </w:r>
    </w:p>
    <w:p w:rsidR="00000000" w:rsidRPr="00F512A9" w:rsidP="003B60AE">
      <w:pPr>
        <w:pStyle w:val="BodyText"/>
      </w:pPr>
      <w:r w:rsidRPr="00F512A9">
        <w:t>Other non-technical Certificate II qualifications are available for production support employees at this level, such as MSM20116 Ce</w:t>
      </w:r>
      <w:r w:rsidRPr="00F512A9">
        <w:t>rtificate II in Process Manufacturing.</w:t>
      </w:r>
    </w:p>
    <w:p w:rsidR="00000000" w:rsidRPr="00F512A9" w:rsidP="00F512A9">
      <w:pPr>
        <w:pStyle w:val="Heading1"/>
      </w:pPr>
      <w:bookmarkStart w:id="3" w:name="O_1247191"/>
      <w:bookmarkEnd w:id="3"/>
      <w:r w:rsidRPr="00F512A9">
        <w:t>Entry Requirements</w:t>
      </w:r>
    </w:p>
    <w:p w:rsidR="00000000" w:rsidRPr="00F512A9" w:rsidP="003B60AE">
      <w:pPr>
        <w:pStyle w:val="BodyText"/>
      </w:pPr>
      <w:r w:rsidRPr="00F512A9">
        <w:t>There are no entry requirements for this qualification.</w:t>
      </w:r>
    </w:p>
    <w:p w:rsidR="00000000" w:rsidRPr="00F512A9" w:rsidP="00F512A9">
      <w:pPr>
        <w:pStyle w:val="Heading1"/>
      </w:pPr>
      <w:bookmarkStart w:id="4" w:name="O_1247190"/>
      <w:bookmarkEnd w:id="4"/>
      <w:r w:rsidRPr="00F512A9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4689"/>
        <w:gridCol w:w="2349"/>
      </w:tblGrid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A9" w:rsidP="00F512A9">
            <w:pPr>
              <w:pStyle w:val="BodyText"/>
            </w:pPr>
            <w:r w:rsidRPr="00F512A9">
              <w:t>To be awarded the PMA20116 Certificate II in Process Plant Operations competency must be</w:t>
            </w:r>
            <w:r w:rsidRPr="00F512A9">
              <w:t xml:space="preserve"> achieved in </w:t>
            </w:r>
            <w:r w:rsidRPr="00F512A9">
              <w:rPr>
                <w:rStyle w:val="SpecialBold"/>
              </w:rPr>
              <w:t>sixteen</w:t>
            </w:r>
            <w:r w:rsidRPr="00F512A9">
              <w:t xml:space="preserve"> (</w:t>
            </w:r>
            <w:r w:rsidRPr="00F512A9">
              <w:rPr>
                <w:rStyle w:val="SpecialBold"/>
              </w:rPr>
              <w:t>16</w:t>
            </w:r>
            <w:r w:rsidRPr="00F512A9">
              <w:t>) units of competency:</w:t>
            </w:r>
          </w:p>
          <w:p w:rsidR="00000000" w:rsidRPr="00F512A9" w:rsidP="00F512A9">
            <w:pPr>
              <w:pStyle w:val="ListBullet"/>
            </w:pPr>
            <w:r w:rsidRPr="00F512A9">
              <w:rPr>
                <w:rStyle w:val="SpecialBold"/>
              </w:rPr>
              <w:t>five</w:t>
            </w:r>
            <w:r w:rsidRPr="00F512A9">
              <w:t xml:space="preserve"> (</w:t>
            </w:r>
            <w:r w:rsidRPr="00F512A9">
              <w:rPr>
                <w:rStyle w:val="SpecialBold"/>
              </w:rPr>
              <w:t>5</w:t>
            </w:r>
            <w:r w:rsidRPr="00F512A9">
              <w:t>) core units of competency</w:t>
            </w:r>
          </w:p>
          <w:p w:rsidR="00000000" w:rsidRPr="00F512A9" w:rsidP="00F512A9">
            <w:pPr>
              <w:pStyle w:val="ListBullet"/>
            </w:pPr>
            <w:r w:rsidRPr="00F512A9">
              <w:rPr>
                <w:rStyle w:val="SpecialBold"/>
              </w:rPr>
              <w:t>eleven</w:t>
            </w:r>
            <w:r w:rsidRPr="00F512A9">
              <w:t xml:space="preserve"> (</w:t>
            </w:r>
            <w:r w:rsidRPr="00F512A9">
              <w:rPr>
                <w:rStyle w:val="SpecialBold"/>
              </w:rPr>
              <w:t>11</w:t>
            </w:r>
            <w:r w:rsidRPr="00F512A9">
              <w:t>) elective units of competency, chosen as specified below:</w:t>
            </w:r>
          </w:p>
          <w:p w:rsidR="00000000" w:rsidRPr="00F512A9" w:rsidP="00F512A9">
            <w:pPr>
              <w:pStyle w:val="ListBullet2"/>
            </w:pPr>
            <w:r w:rsidRPr="00F512A9">
              <w:t xml:space="preserve">a minimum of </w:t>
            </w:r>
            <w:r w:rsidRPr="00F512A9">
              <w:rPr>
                <w:rStyle w:val="SpecialBold"/>
              </w:rPr>
              <w:t>four</w:t>
            </w:r>
            <w:r w:rsidRPr="00F512A9">
              <w:t xml:space="preserve"> (</w:t>
            </w:r>
            <w:r w:rsidRPr="00F512A9">
              <w:rPr>
                <w:rStyle w:val="SpecialBold"/>
              </w:rPr>
              <w:t>4</w:t>
            </w:r>
            <w:r w:rsidRPr="00F512A9">
              <w:t>) units of competency from Group A</w:t>
            </w:r>
          </w:p>
          <w:p w:rsidR="00000000" w:rsidRPr="00F512A9" w:rsidP="00F512A9">
            <w:pPr>
              <w:pStyle w:val="ListBullet2"/>
            </w:pPr>
            <w:r w:rsidRPr="00F512A9">
              <w:t xml:space="preserve">the remainder may be chosen from Groups A, B and C (with a maximum of </w:t>
            </w:r>
            <w:r w:rsidRPr="00F512A9">
              <w:rPr>
                <w:rStyle w:val="SpecialBold"/>
              </w:rPr>
              <w:t>five</w:t>
            </w:r>
            <w:r w:rsidRPr="00F512A9">
              <w:t xml:space="preserve"> (</w:t>
            </w:r>
            <w:r w:rsidRPr="00F512A9">
              <w:rPr>
                <w:rStyle w:val="SpecialBold"/>
              </w:rPr>
              <w:t>5</w:t>
            </w:r>
            <w:r w:rsidRPr="00F512A9">
              <w:t xml:space="preserve">) from Group C) to bring the total number of electives to </w:t>
            </w:r>
            <w:r w:rsidRPr="00F512A9">
              <w:rPr>
                <w:rStyle w:val="SpecialBold"/>
              </w:rPr>
              <w:t>eleven</w:t>
            </w:r>
            <w:r w:rsidRPr="00F512A9">
              <w:t xml:space="preserve"> (</w:t>
            </w:r>
            <w:r w:rsidRPr="00F512A9">
              <w:rPr>
                <w:rStyle w:val="SpecialBold"/>
              </w:rPr>
              <w:t>11</w:t>
            </w:r>
            <w:r w:rsidRPr="00F512A9">
              <w:t>).</w:t>
            </w:r>
          </w:p>
          <w:p w:rsidR="00000000" w:rsidRPr="00F512A9" w:rsidP="00F512A9">
            <w:pPr>
              <w:pStyle w:val="BodyText"/>
            </w:pPr>
          </w:p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Note</w:t>
            </w:r>
            <w:r w:rsidRPr="00F512A9">
              <w:t xml:space="preserve">: </w:t>
            </w:r>
            <w:r w:rsidRPr="00F512A9">
              <w:rPr>
                <w:rStyle w:val="SpecialBold"/>
              </w:rPr>
              <w:t>Three</w:t>
            </w:r>
            <w:r w:rsidRPr="00F512A9">
              <w:t xml:space="preserve"> (</w:t>
            </w:r>
            <w:r w:rsidRPr="00F512A9">
              <w:rPr>
                <w:rStyle w:val="SpecialBold"/>
              </w:rPr>
              <w:t>3</w:t>
            </w:r>
            <w:r w:rsidRPr="00F512A9">
              <w:t>) of the Group C units can be chosen from other qualifications in this Training Package, othe</w:t>
            </w:r>
            <w:r w:rsidRPr="00F512A9">
              <w:t xml:space="preserve">r endorsed Training Packages and accredited courses, where those units are </w:t>
            </w:r>
            <w:r w:rsidRPr="00F512A9">
              <w:t>packaged in a Certificate II.</w:t>
            </w:r>
          </w:p>
          <w:p w:rsidR="00000000" w:rsidRPr="00F512A9" w:rsidP="00F512A9">
            <w:pPr>
              <w:pStyle w:val="BodyText"/>
            </w:pPr>
          </w:p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Note</w:t>
            </w:r>
            <w:r w:rsidRPr="00F512A9">
              <w:t>: Where prerequisite units are identified they must be counted in the total number of units required for achievement of the qualification.</w:t>
            </w:r>
          </w:p>
          <w:p w:rsidR="00000000" w:rsidRPr="00F512A9" w:rsidP="00F512A9">
            <w:pPr>
              <w:pStyle w:val="BodyText"/>
            </w:pPr>
          </w:p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Core u</w:t>
            </w:r>
            <w:r w:rsidRPr="00F512A9">
              <w:rPr>
                <w:rStyle w:val="SpecialBold"/>
              </w:rPr>
              <w:t>nits of competency</w:t>
            </w:r>
          </w:p>
          <w:p w:rsidR="00000000" w:rsidRPr="00F512A9" w:rsidP="00F512A9">
            <w:pPr>
              <w:pStyle w:val="BodyText"/>
            </w:pPr>
            <w:r w:rsidRPr="00F512A9">
              <w:t xml:space="preserve">Complete all </w:t>
            </w:r>
            <w:r w:rsidRPr="00F512A9">
              <w:rPr>
                <w:rStyle w:val="SpecialBold"/>
              </w:rPr>
              <w:t>five (5)</w:t>
            </w:r>
            <w:r w:rsidRPr="00F512A9">
              <w:t xml:space="preserve"> units from the following list.</w:t>
            </w:r>
          </w:p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Unit code</w:t>
            </w:r>
          </w:p>
        </w:tc>
        <w:tc>
          <w:tcPr>
            <w:tcW w:w="7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rPr>
                <w:rStyle w:val="SpecialBold"/>
              </w:rPr>
              <w:t>Unit title</w:t>
            </w: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MSMENV272</w:t>
            </w:r>
          </w:p>
        </w:tc>
        <w:tc>
          <w:tcPr>
            <w:tcW w:w="7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Participate in environmentally sustainable work practices</w:t>
            </w: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MSMSUP100</w:t>
            </w:r>
          </w:p>
        </w:tc>
        <w:tc>
          <w:tcPr>
            <w:tcW w:w="7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Apply workplace context to own job</w:t>
            </w: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MSMSUP102</w:t>
            </w:r>
          </w:p>
        </w:tc>
        <w:tc>
          <w:tcPr>
            <w:tcW w:w="7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Communicate in the workplace</w:t>
            </w: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MSMWHS110</w:t>
            </w:r>
          </w:p>
        </w:tc>
        <w:tc>
          <w:tcPr>
            <w:tcW w:w="7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Follow emergency response procedures</w:t>
            </w: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MSMWHS200</w:t>
            </w:r>
          </w:p>
        </w:tc>
        <w:tc>
          <w:tcPr>
            <w:tcW w:w="7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Work safely</w:t>
            </w: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A9" w:rsidP="00F512A9">
            <w:pPr>
              <w:pStyle w:val="BodyText"/>
            </w:pPr>
          </w:p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ELECTIVE UNITS</w:t>
            </w:r>
          </w:p>
          <w:p w:rsidR="00000000" w:rsidRPr="00F512A9" w:rsidP="00F512A9">
            <w:pPr>
              <w:pStyle w:val="BodyText"/>
            </w:pPr>
          </w:p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Group A – Technical electives</w:t>
            </w:r>
          </w:p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Unit code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rPr>
                <w:rStyle w:val="SpecialBold"/>
              </w:rPr>
              <w:t>Prerequisites</w:t>
            </w: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FBPPHM3001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Apply Good Manufacturing Practice requirements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MEM04001B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melting furnaces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MEM13004B  </w:t>
            </w: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MSMOPS200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MSMOPS212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Use organisation computers or data systems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PMAOPS201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fluid flow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PMAOPS202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fluid mixing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PMAOPS204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Select and use utilities and services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PMAOPS205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Operate heat </w:t>
            </w:r>
            <w:r w:rsidRPr="00F512A9">
              <w:t>exchangers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PMAOPS208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chemical separation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PMAOPS210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solids handling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PMAOPS213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Package product/material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PMAOPS216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local control system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PMAOPS217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wet milling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PMAOPS220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Monitor chemical reactions in the process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PMAOPS221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and monitor prime movers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PMAOPS222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and monitor pumping systems and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A9" w:rsidP="00F512A9">
            <w:pPr>
              <w:pStyle w:val="BodyText"/>
            </w:pPr>
            <w:r w:rsidRPr="00F512A9">
              <w:t>PMAOPS221 or</w:t>
            </w:r>
          </w:p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PMAOPS331</w:t>
            </w: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PMAOPS223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and monitor valve systems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PMAOPS224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Provide fluids for utilitie</w:t>
            </w:r>
            <w:r w:rsidRPr="00F512A9">
              <w:t>s and support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PMAOPS226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Monitor and operate flare systems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PMAOPS230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Monitor, operate and maintain pipeline stations and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PMAOPS231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Control gas odourisation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PMAOPS232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filtration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PMAOPS233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Monitor wells and gathering systems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PMAOPS234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Monitor and operate low pressure compressors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PMAOPS236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Monitor continuous process plant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PMAOPS240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Store fluids in bulk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PMAOPS241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Joule-Thomson effect device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PMAOPS246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separation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PMAOPS247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powered separation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PMAOPS260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Conduct screening operations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PMAOPS261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bulk solids loading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PMAOPS262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digestion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PMAOPS264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solvent extraction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PMAOPS280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Interpret process plant schematics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PMAOPS331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and troubleshoot a gas turbine system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PMASMELT260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Form carbon anodes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PMASMELT261 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Bake carbon anodes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PMASMELT262 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Clean and strip anode rods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PMASMELT263 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Spray carbon anodes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PMASMELT264 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Start up reduction cells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PMASMELT265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reduction cells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PMASMELT266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Deliver molten metal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PMASMELT267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Cast ingots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PMASMELT268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vertical direct casting process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PMASMELT269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cell tending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PMASMELT270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Supply product from reduction cells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MSMPMC302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equipment to blend/mix materials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MSMPMC303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grinding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MSMPMC306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crushing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MSMPMC324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Move materials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UEPOPS319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and monitor gas production plant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A9" w:rsidP="00F512A9">
            <w:pPr>
              <w:pStyle w:val="BodyText"/>
            </w:pPr>
          </w:p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One</w:t>
            </w:r>
            <w:r w:rsidRPr="00F512A9">
              <w:t xml:space="preserve"> (</w:t>
            </w:r>
            <w:r w:rsidRPr="00F512A9">
              <w:rPr>
                <w:rStyle w:val="SpecialBold"/>
              </w:rPr>
              <w:t>1</w:t>
            </w:r>
            <w:r w:rsidRPr="00F512A9">
              <w:t>) unit may be chosen from Group A in PMA30116 Certificate III in Process Plant Operations</w:t>
            </w:r>
          </w:p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A9" w:rsidP="00F512A9">
            <w:pPr>
              <w:pStyle w:val="BodyText"/>
            </w:pPr>
          </w:p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Group B –Support electives</w:t>
            </w:r>
          </w:p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Unit code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rPr>
                <w:rStyle w:val="SpecialBold"/>
              </w:rPr>
              <w:t>Prerequisites</w:t>
            </w: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HLTAID011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Provide first aid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MEM05012C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Perform routine manual metal arc welding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MEM09002B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Interpret technical drawing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MEM16005A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as a team member to conduct manufacturing, engineering or related activities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 </w:t>
            </w: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MSL952001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Collect routine site samples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MSMPER200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Work in accordance with an issued permit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MSMPER201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Monitor and control work permits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MSMPER202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Observe permit work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MSMPER205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Enter confined space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MSMPER200</w:t>
            </w: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MSMSUP200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Achieve work outcomes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MSMSUP204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Pack products or materials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MSMSUP205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Transfer loads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MSMSUP210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Process and record information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MSMSUP240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Undertake minor maintenance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MSMSUP273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Handle goods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MSMSUP280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Manage conflict at work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MSMSUP291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Participate in continuous improvement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MSMSUP292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Sample and test materials and product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MSMWHS201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Conduct hazard analysis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MSMWHS205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Control minor incidents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MSMWHS210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Undertake first response to non-fire incidents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MSMWHS212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Undertake first response to fire incidents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MSMWHS216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breathing apparatus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MSMWHS217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Gas test atmospheres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MSMWHS218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Control the risks of falls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MSS402002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Sustain process improvements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MSS402082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Apply cost factors to work practices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MSS402031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Interpret product costs in terms of customer requirements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MSS402040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Apply 5S procedures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MSS402050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Monitor process capability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MSS402051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Apply quality standards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MSS402083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Use planning software systems in operations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MSS402080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Undertake root cause analysis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MSS402081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Contribute to the application of a proactive maintenance strategy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PMAOMIR210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Control evacuation to muster point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PMASUP236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Operate vehicles in the field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PMASUP237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Undertake crane, dogging and load transfer op</w:t>
            </w:r>
            <w:r w:rsidRPr="00F512A9">
              <w:t xml:space="preserve">erations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PMASUP241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Maintain pipeline easements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PMASUP242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Monitor pipeline civil works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PMASUP243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Monitor and maintain pipeline coatings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PMASUP244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Prepare and isolate plant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PMASUP245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Break and make flanged joints using hand tools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PMASUP246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Disconnect and reconnect non-flared tube fitting joints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PMAWHS211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Prepare equipment for emergency response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PMAWHS213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Undertake fire control and emergency rescue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PMAWHS214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Undertake helicopter safety and escape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PMAWHS215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Apply offshore facility a</w:t>
            </w:r>
            <w:r w:rsidRPr="00F512A9">
              <w:t>bandonment and sea survival procedures and practices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TLID2010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Operate a forklift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A9" w:rsidP="00F512A9">
            <w:pPr>
              <w:pStyle w:val="BodyText"/>
            </w:pPr>
          </w:p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Group C – Other electives</w:t>
            </w:r>
          </w:p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Unit code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A9" w:rsidP="00F512A9">
            <w:pPr>
              <w:pStyle w:val="BodyText"/>
            </w:pPr>
            <w:r w:rsidRPr="00F512A9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rPr>
                <w:rStyle w:val="SpecialBold"/>
              </w:rPr>
              <w:t>Prerequisites</w:t>
            </w: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FBPPHM2001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Follow work procedures to maintain Good Manufacturing Practice requirements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MEM11011B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Undertake manual handling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 </w:t>
            </w: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MSMOPS100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 xml:space="preserve">Use equipment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MSMOPS102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Perform tasks to support production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MSMSUP101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Clean workplace or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MSMSUP106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Work in a team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MSMENV172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Identify and minimise environmental hazards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MSMWHS100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Follow WHS procedures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PMAOPS101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Read dials and indicators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PMAOPS105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  <w:r w:rsidRPr="00F512A9">
              <w:t>Select and prepare materials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2A9">
            <w:pPr>
              <w:pStyle w:val="BodyText"/>
              <w:rPr>
                <w:lang w:val="en-NZ"/>
              </w:rPr>
            </w:pPr>
          </w:p>
        </w:tc>
      </w:tr>
      <w:tr w:rsidTr="003B60A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2A9" w:rsidP="00F512A9">
            <w:pPr>
              <w:pStyle w:val="BodyText"/>
            </w:pPr>
          </w:p>
          <w:p w:rsidR="00000000" w:rsidRPr="00F512A9" w:rsidP="00F512A9">
            <w:pPr>
              <w:pStyle w:val="BodyText"/>
            </w:pPr>
            <w:r w:rsidRPr="00F512A9">
              <w:t xml:space="preserve">Up to </w:t>
            </w:r>
            <w:r w:rsidRPr="00F512A9">
              <w:rPr>
                <w:rStyle w:val="SpecialBold"/>
              </w:rPr>
              <w:t>three</w:t>
            </w:r>
            <w:r w:rsidRPr="00F512A9">
              <w:t xml:space="preserve"> (3) relevant units may be chosen from this Training Package, other en</w:t>
            </w:r>
            <w:r w:rsidRPr="00F512A9">
              <w:t>dorsed Training Packages and accredited courses where those units are packaged in a Certificate II.</w:t>
            </w:r>
          </w:p>
        </w:tc>
      </w:tr>
    </w:tbl>
    <w:p w:rsidR="00000000" w:rsidRPr="00F512A9" w:rsidP="00F512A9">
      <w:pPr>
        <w:pStyle w:val="BodyText"/>
      </w:pPr>
    </w:p>
    <w:p w:rsidR="00000000" w:rsidRPr="00F512A9" w:rsidP="00F512A9">
      <w:pPr>
        <w:pStyle w:val="AllowPageBreak"/>
      </w:pPr>
    </w:p>
    <w:p w:rsidR="00000000" w:rsidRPr="00F512A9" w:rsidP="00F512A9">
      <w:pPr>
        <w:pStyle w:val="Heading1"/>
      </w:pPr>
      <w:bookmarkStart w:id="5" w:name="O_1247189"/>
      <w:bookmarkEnd w:id="5"/>
      <w:r w:rsidRPr="00F512A9">
        <w:t>Qualification Mapping Information</w:t>
      </w:r>
    </w:p>
    <w:p w:rsidR="00000000" w:rsidRPr="00F512A9" w:rsidP="003B60AE">
      <w:pPr>
        <w:pStyle w:val="BodyText"/>
      </w:pPr>
      <w:r w:rsidRPr="00F512A9">
        <w:t>Release 4. Supersedes and is equivalent to PMA20116 Certificate II in Process Plant Operations (Release 3). 10 PMASMELT units reinstated into elective group.</w:t>
      </w:r>
    </w:p>
    <w:p w:rsidR="00000000" w:rsidRPr="00F512A9" w:rsidP="003B60AE">
      <w:pPr>
        <w:pStyle w:val="BodyText"/>
      </w:pPr>
      <w:r w:rsidRPr="00F512A9">
        <w:t>Release 3. Supersedes and is equivalent to PMA20116 Certificate II in Process Plant Operations (Re</w:t>
      </w:r>
      <w:r w:rsidRPr="00F512A9">
        <w:t xml:space="preserve">lease 2). </w:t>
      </w:r>
    </w:p>
    <w:p w:rsidR="00000000" w:rsidRPr="00F512A9" w:rsidP="003B60AE">
      <w:pPr>
        <w:pStyle w:val="BodyText"/>
      </w:pPr>
      <w:r w:rsidRPr="00F512A9">
        <w:t xml:space="preserve">Release 2. Supersedes and is equivalent to PMA20116 Certificate II in Process Plant Operations (Release 1). </w:t>
      </w:r>
    </w:p>
    <w:p w:rsidR="00000000" w:rsidRPr="00F512A9" w:rsidP="003B60AE">
      <w:pPr>
        <w:pStyle w:val="BodyText"/>
      </w:pPr>
      <w:r w:rsidRPr="00F512A9">
        <w:t xml:space="preserve">Release 1. Supersedes and is equivalent to PMA20113 Certificate II in Process Plant Operations.  </w:t>
      </w:r>
    </w:p>
    <w:p w:rsidR="00000000" w:rsidRPr="00F512A9" w:rsidP="00F512A9">
      <w:pPr>
        <w:pStyle w:val="Heading1"/>
      </w:pPr>
      <w:bookmarkStart w:id="6" w:name="O_1247194"/>
      <w:bookmarkEnd w:id="6"/>
      <w:r w:rsidRPr="00F512A9">
        <w:t>Links</w:t>
      </w:r>
    </w:p>
    <w:p w:rsidR="00000000" w:rsidRPr="00F512A9" w:rsidP="003B60AE">
      <w:pPr>
        <w:pStyle w:val="BodyText"/>
      </w:pPr>
      <w:r w:rsidRPr="00F512A9">
        <w:t>Companion Vol</w:t>
      </w:r>
      <w:r w:rsidRPr="00F512A9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25B6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512A9" w:rsidP="00F512A9"/>
    <w:sectPr w:rsidSect="00F512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A9" w:rsidRPr="003B60AE" w:rsidP="003B6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AE" w:rsidP="00F51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3B60AE" w:rsidP="00F51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60AE" w:rsidP="00F51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2A9" w:rsidRPr="003B60AE" w:rsidP="003B60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AE" w:rsidRPr="002D2AF8" w:rsidP="00F51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PMA20116 Certificate II in Process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3B60AE" w:rsidP="00F51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F67B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AEF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40FD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2A9"/>
  </w:style>
  <w:style w:type="character" w:customStyle="1" w:styleId="Heading1Char">
    <w:name w:val="Heading 1 Char"/>
    <w:basedOn w:val="DefaultParagraphFont"/>
    <w:link w:val="Heading1"/>
    <w:rsid w:val="00F51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2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2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12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12A9"/>
    <w:rPr>
      <w:b/>
      <w:spacing w:val="0"/>
    </w:rPr>
  </w:style>
  <w:style w:type="paragraph" w:styleId="ListBullet2">
    <w:name w:val="List Bullet 2"/>
    <w:basedOn w:val="List2"/>
    <w:rsid w:val="00F512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1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1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2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2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1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1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1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2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12A9"/>
    <w:rPr>
      <w:i/>
    </w:rPr>
  </w:style>
  <w:style w:type="paragraph" w:styleId="Caption">
    <w:name w:val="caption"/>
    <w:basedOn w:val="BodyText"/>
    <w:next w:val="Normal"/>
    <w:qFormat/>
    <w:rsid w:val="00F51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2A9"/>
  </w:style>
  <w:style w:type="paragraph" w:styleId="TableofFigures">
    <w:name w:val="table of figures"/>
    <w:basedOn w:val="Normal"/>
    <w:next w:val="Normal"/>
    <w:semiHidden/>
    <w:rsid w:val="00F51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2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12A9"/>
    <w:rPr>
      <w:rFonts w:ascii="Wingdings" w:hAnsi="Wingdings"/>
    </w:rPr>
  </w:style>
  <w:style w:type="paragraph" w:customStyle="1" w:styleId="TableHeading">
    <w:name w:val="Table Heading"/>
    <w:basedOn w:val="HeadingBase"/>
    <w:rsid w:val="00F51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2A9"/>
    <w:rPr>
      <w:color w:val="0033CC"/>
      <w:u w:val="none"/>
    </w:rPr>
  </w:style>
  <w:style w:type="paragraph" w:customStyle="1" w:styleId="BodyTextRight">
    <w:name w:val="Body Text Right"/>
    <w:basedOn w:val="BodyText"/>
    <w:rsid w:val="00F51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2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2A9"/>
    <w:rPr>
      <w:sz w:val="32"/>
    </w:rPr>
  </w:style>
  <w:style w:type="paragraph" w:customStyle="1" w:styleId="HeadingProcedure">
    <w:name w:val="Heading Procedure"/>
    <w:basedOn w:val="HeadingBase"/>
    <w:next w:val="Normal"/>
    <w:rsid w:val="00F51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2A9"/>
    <w:pPr>
      <w:spacing w:before="60" w:after="60"/>
    </w:pPr>
  </w:style>
  <w:style w:type="paragraph" w:styleId="ListContinue">
    <w:name w:val="List Continue"/>
    <w:basedOn w:val="List"/>
    <w:rsid w:val="00F512A9"/>
    <w:pPr>
      <w:ind w:firstLine="0"/>
    </w:pPr>
  </w:style>
  <w:style w:type="paragraph" w:customStyle="1" w:styleId="ListNote">
    <w:name w:val="List Note"/>
    <w:basedOn w:val="List"/>
    <w:rsid w:val="00F51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2A9"/>
    <w:rPr>
      <w:rFonts w:ascii="Courier New" w:hAnsi="Courier New"/>
    </w:rPr>
  </w:style>
  <w:style w:type="paragraph" w:customStyle="1" w:styleId="NoteBullet">
    <w:name w:val="Note Bullet"/>
    <w:basedOn w:val="Note"/>
    <w:rsid w:val="00F51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2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1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2A9"/>
    <w:rPr>
      <w:b/>
      <w:smallCaps/>
    </w:rPr>
  </w:style>
  <w:style w:type="paragraph" w:customStyle="1" w:styleId="TableListNumber">
    <w:name w:val="Table List Number"/>
    <w:basedOn w:val="ListNumber"/>
    <w:rsid w:val="00F51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2A9"/>
    <w:pPr>
      <w:numPr>
        <w:numId w:val="9"/>
      </w:numPr>
    </w:pPr>
  </w:style>
  <w:style w:type="paragraph" w:customStyle="1" w:styleId="ListAlpha2">
    <w:name w:val="List Alpha 2"/>
    <w:basedOn w:val="List2"/>
    <w:rsid w:val="00F512A9"/>
    <w:pPr>
      <w:numPr>
        <w:numId w:val="8"/>
      </w:numPr>
    </w:pPr>
  </w:style>
  <w:style w:type="paragraph" w:styleId="List2">
    <w:name w:val="List 2"/>
    <w:basedOn w:val="BodyText"/>
    <w:rsid w:val="00F51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2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2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12A9"/>
    <w:pPr>
      <w:numPr>
        <w:numId w:val="4"/>
      </w:numPr>
    </w:pPr>
  </w:style>
  <w:style w:type="paragraph" w:styleId="ListContinue2">
    <w:name w:val="List Continue 2"/>
    <w:basedOn w:val="List2"/>
    <w:rsid w:val="00F512A9"/>
    <w:pPr>
      <w:ind w:firstLine="0"/>
    </w:pPr>
  </w:style>
  <w:style w:type="paragraph" w:styleId="ListContinue3">
    <w:name w:val="List Continue 3"/>
    <w:basedOn w:val="List3"/>
    <w:rsid w:val="00F512A9"/>
    <w:pPr>
      <w:ind w:left="1021" w:firstLine="0"/>
    </w:pPr>
  </w:style>
  <w:style w:type="paragraph" w:styleId="ListContinue4">
    <w:name w:val="List Continue 4"/>
    <w:basedOn w:val="List4"/>
    <w:rsid w:val="00F512A9"/>
    <w:pPr>
      <w:ind w:firstLine="0"/>
    </w:pPr>
  </w:style>
  <w:style w:type="paragraph" w:styleId="ListContinue5">
    <w:name w:val="List Continue 5"/>
    <w:basedOn w:val="List5"/>
    <w:rsid w:val="00F512A9"/>
    <w:pPr>
      <w:ind w:firstLine="0"/>
    </w:pPr>
  </w:style>
  <w:style w:type="paragraph" w:styleId="ListNumber3">
    <w:name w:val="List Number 3"/>
    <w:basedOn w:val="List3"/>
    <w:rsid w:val="00F512A9"/>
    <w:pPr>
      <w:numPr>
        <w:numId w:val="5"/>
      </w:numPr>
    </w:pPr>
  </w:style>
  <w:style w:type="paragraph" w:styleId="ListNumber4">
    <w:name w:val="List Number 4"/>
    <w:basedOn w:val="List4"/>
    <w:rsid w:val="00F512A9"/>
    <w:pPr>
      <w:numPr>
        <w:numId w:val="6"/>
      </w:numPr>
    </w:pPr>
  </w:style>
  <w:style w:type="paragraph" w:styleId="ListNumber5">
    <w:name w:val="List Number 5"/>
    <w:basedOn w:val="List5"/>
    <w:rsid w:val="00F512A9"/>
    <w:pPr>
      <w:numPr>
        <w:numId w:val="7"/>
      </w:numPr>
    </w:pPr>
  </w:style>
  <w:style w:type="paragraph" w:styleId="BlockText">
    <w:name w:val="Block Text"/>
    <w:basedOn w:val="Normal"/>
    <w:rsid w:val="00F51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2A9"/>
    <w:rPr>
      <w:sz w:val="16"/>
      <w:vertAlign w:val="superscript"/>
    </w:rPr>
  </w:style>
  <w:style w:type="character" w:customStyle="1" w:styleId="Symbols">
    <w:name w:val="Symbols"/>
    <w:basedOn w:val="DefaultParagraphFont"/>
    <w:rsid w:val="00F512A9"/>
    <w:rPr>
      <w:rFonts w:ascii="Symbol" w:hAnsi="Symbol"/>
    </w:rPr>
  </w:style>
  <w:style w:type="character" w:customStyle="1" w:styleId="MenuOptions">
    <w:name w:val="Menu Options"/>
    <w:basedOn w:val="DefaultParagraphFont"/>
    <w:rsid w:val="00F51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2A9"/>
    <w:rPr>
      <w:b/>
    </w:rPr>
  </w:style>
  <w:style w:type="character" w:customStyle="1" w:styleId="Underlined">
    <w:name w:val="Underlined"/>
    <w:basedOn w:val="DefaultParagraphFont"/>
    <w:rsid w:val="00F512A9"/>
    <w:rPr>
      <w:u w:val="single"/>
    </w:rPr>
  </w:style>
  <w:style w:type="paragraph" w:customStyle="1" w:styleId="TableBodyTextRight">
    <w:name w:val="Table Body Text Right"/>
    <w:basedOn w:val="TableBodyText"/>
    <w:rsid w:val="00F51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2A9"/>
    <w:rPr>
      <w:sz w:val="18"/>
    </w:rPr>
  </w:style>
  <w:style w:type="paragraph" w:customStyle="1" w:styleId="BodySmallRight">
    <w:name w:val="Body Small Right"/>
    <w:basedOn w:val="BodyTextRight"/>
    <w:rsid w:val="00F512A9"/>
    <w:rPr>
      <w:sz w:val="18"/>
      <w:szCs w:val="18"/>
    </w:rPr>
  </w:style>
  <w:style w:type="paragraph" w:customStyle="1" w:styleId="MarginEdition">
    <w:name w:val="Margin Edition"/>
    <w:basedOn w:val="MarginNote"/>
    <w:rsid w:val="00F51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2A9"/>
    <w:rPr>
      <w:sz w:val="2"/>
      <w:szCs w:val="2"/>
    </w:rPr>
  </w:style>
  <w:style w:type="character" w:customStyle="1" w:styleId="Small">
    <w:name w:val="Small"/>
    <w:basedOn w:val="DefaultParagraphFont"/>
    <w:rsid w:val="00F512A9"/>
    <w:rPr>
      <w:sz w:val="16"/>
    </w:rPr>
  </w:style>
  <w:style w:type="paragraph" w:customStyle="1" w:styleId="WideTable">
    <w:name w:val="Wide Table"/>
    <w:basedOn w:val="Normal"/>
    <w:rsid w:val="00F51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2A9"/>
  </w:style>
  <w:style w:type="paragraph" w:styleId="Quote">
    <w:name w:val="Quote"/>
    <w:basedOn w:val="Heading1"/>
    <w:link w:val="QuoteChar"/>
    <w:qFormat/>
    <w:rsid w:val="00F51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2A9"/>
    <w:pPr>
      <w:pageBreakBefore/>
    </w:pPr>
  </w:style>
  <w:style w:type="paragraph" w:customStyle="1" w:styleId="Border">
    <w:name w:val="Border"/>
    <w:basedOn w:val="Normal"/>
    <w:qFormat/>
    <w:rsid w:val="00F51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2A9"/>
    <w:rPr>
      <w:u w:val="single"/>
    </w:rPr>
  </w:style>
  <w:style w:type="character" w:customStyle="1" w:styleId="BoldandItalics">
    <w:name w:val="Bold and Italics"/>
    <w:qFormat/>
    <w:rsid w:val="00F512A9"/>
    <w:rPr>
      <w:b/>
      <w:i/>
      <w:u w:val="none"/>
    </w:rPr>
  </w:style>
  <w:style w:type="paragraph" w:styleId="BalloonText">
    <w:name w:val="Balloon Text"/>
    <w:basedOn w:val="Normal"/>
    <w:link w:val="BalloonTextChar"/>
    <w:rsid w:val="00F51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2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2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2A9"/>
    <w:pPr>
      <w:spacing w:before="0" w:after="0"/>
    </w:pPr>
  </w:style>
  <w:style w:type="paragraph" w:customStyle="1" w:styleId="BodyTextBold">
    <w:name w:val="Body Text Bold"/>
    <w:basedOn w:val="BodyText"/>
    <w:qFormat/>
    <w:rsid w:val="00F512A9"/>
    <w:rPr>
      <w:b/>
    </w:rPr>
  </w:style>
  <w:style w:type="character" w:styleId="Hyperlink">
    <w:name w:val="Hyperlink"/>
    <w:basedOn w:val="DefaultParagraphFont"/>
    <w:uiPriority w:val="99"/>
    <w:unhideWhenUsed/>
    <w:rsid w:val="003B6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1206</Words>
  <Characters>7762</Characters>
  <Application>Microsoft Office Word</Application>
  <DocSecurity>0</DocSecurity>
  <Lines>485</Lines>
  <Paragraphs>332</Paragraphs>
  <ScaleCrop>false</ScaleCrop>
  <Company>Author-it Software Corporation Ltd.</Company>
  <LinksUpToDate>false</LinksUpToDate>
  <CharactersWithSpaces>8636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PMA20116 Certificate II in Process Plant Operations</dc:title>
  <dc:subject>Approved</dc:subject>
  <dc:creator>Innovation and Business Skills Australia</dc:creator>
  <cp:keywords>Release 4</cp:keywords>
  <dc:description>Review Date: 12 April 2008</dc:description>
  <cp:lastModifiedBy>HSD_TPCMSd.prod</cp:lastModifiedBy>
  <cp:revision>3</cp:revision>
  <dcterms:created xsi:type="dcterms:W3CDTF">2022-09-21T14:43:12Z</dcterms:created>
  <dcterms:modified xsi:type="dcterms:W3CDTF">2022-09-20T23:28:00Z</dcterms:modified>
</cp:coreProperties>
</file>