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1CF" w:rsidP="00C061CF">
      <w:pPr>
        <w:pStyle w:val="Title"/>
      </w:pPr>
      <w:r>
        <w:fldChar w:fldCharType="begin"/>
      </w:r>
      <w:r>
        <w:instrText xml:space="preserve"> TITLE   \* MERGEFORMAT </w:instrText>
      </w:r>
      <w:r>
        <w:fldChar w:fldCharType="separate"/>
      </w:r>
      <w:r>
        <w:t>NWP703A Lead water planning processes</w:t>
      </w:r>
      <w:r>
        <w:fldChar w:fldCharType="end"/>
      </w:r>
    </w:p>
    <w:p w:rsidR="00C061CF" w:rsidP="00C061CF">
      <w:pPr>
        <w:pStyle w:val="Version"/>
        <w:sectPr w:rsidSect="00A166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16618" w:rsidP="00A16618">
      <w:pPr>
        <w:pStyle w:val="SuperHeading"/>
      </w:pPr>
      <w:r w:rsidRPr="00A16618">
        <w:t>NWP703A Lead water planning processes</w:t>
      </w:r>
    </w:p>
    <w:p w:rsidR="00000000" w:rsidRPr="00A16618" w:rsidP="00A16618">
      <w:pPr>
        <w:pStyle w:val="SuperHeading"/>
      </w:pPr>
    </w:p>
    <w:p w:rsidR="00000000" w:rsidRPr="00A16618" w:rsidP="00A16618">
      <w:pPr>
        <w:pStyle w:val="Heading1"/>
      </w:pPr>
      <w:bookmarkStart w:id="1" w:name="O_403044"/>
      <w:bookmarkEnd w:id="1"/>
      <w:r w:rsidRPr="00A16618">
        <w:t>Modification History</w:t>
      </w:r>
    </w:p>
    <w:p w:rsidR="00000000" w:rsidRPr="00A16618" w:rsidP="00A16618">
      <w:pPr>
        <w:pStyle w:val="BodyText"/>
      </w:pPr>
      <w:r w:rsidRPr="00A16618">
        <w:t>NWP703A Release 2:</w:t>
      </w:r>
      <w:r w:rsidRPr="00A16618">
        <w:tab/>
        <w:t>Layout adjusted. No changes to content.</w:t>
      </w:r>
    </w:p>
    <w:p w:rsidR="00000000" w:rsidRPr="00A16618" w:rsidP="00A16618">
      <w:pPr>
        <w:pStyle w:val="BodyText"/>
      </w:pPr>
      <w:r w:rsidRPr="00A16618">
        <w:t>NWP703A Release 1:</w:t>
      </w:r>
      <w:r w:rsidRPr="00A16618">
        <w:tab/>
        <w:t>Primary rele</w:t>
      </w:r>
      <w:r w:rsidRPr="00A16618">
        <w:t>ase.</w:t>
      </w:r>
    </w:p>
    <w:p w:rsidR="00000000" w:rsidRPr="00A16618" w:rsidP="00A16618">
      <w:pPr>
        <w:pStyle w:val="AllowPageBreak"/>
      </w:pPr>
    </w:p>
    <w:p w:rsidR="00000000" w:rsidRPr="00A16618" w:rsidP="00A16618">
      <w:pPr>
        <w:pStyle w:val="Heading1"/>
      </w:pPr>
      <w:bookmarkStart w:id="2" w:name="O_403038"/>
      <w:bookmarkEnd w:id="2"/>
      <w:r w:rsidRPr="00A16618">
        <w:t>Unit Descriptor</w:t>
      </w:r>
    </w:p>
    <w:p w:rsidR="00000000" w:rsidRPr="00A16618" w:rsidP="00A16618">
      <w:pPr>
        <w:pStyle w:val="BodyText"/>
      </w:pPr>
      <w:r w:rsidRPr="00A16618">
        <w:t>This unit of competency describes the outcomes required for effective contribution to the medium and long-term planning of water system infrastructure and service delivery. The ability to access, review and interpret c</w:t>
      </w:r>
      <w:r w:rsidRPr="00A16618">
        <w:t>omplex demographic and technical documents, evaluate alternative options, communicate with a range of stakeholders and formulate logical solutions is essential to performance.</w:t>
      </w:r>
    </w:p>
    <w:p w:rsidR="00000000" w:rsidRPr="00A16618" w:rsidP="00A16618">
      <w:pPr>
        <w:pStyle w:val="AllowPageBreak"/>
      </w:pPr>
    </w:p>
    <w:p w:rsidR="00000000" w:rsidRPr="00A16618" w:rsidP="00A16618">
      <w:pPr>
        <w:pStyle w:val="Heading1"/>
      </w:pPr>
      <w:bookmarkStart w:id="3" w:name="O_403052"/>
      <w:bookmarkEnd w:id="3"/>
      <w:r w:rsidRPr="00A16618">
        <w:t>Application of the Unit</w:t>
      </w:r>
    </w:p>
    <w:p w:rsidR="00000000" w:rsidRPr="00A16618" w:rsidP="00A16618">
      <w:pPr>
        <w:pStyle w:val="BodyText"/>
      </w:pPr>
      <w:r w:rsidRPr="00A16618">
        <w:t>This unit supports the attainment of sk</w:t>
      </w:r>
      <w:r w:rsidRPr="00A16618">
        <w:t xml:space="preserve">ills and knowledge required for managers and senior technical practitioners from a variety of disciplines and backgrounds who are applying their skills to the management of a function, team or division within the water organisation. </w:t>
      </w:r>
    </w:p>
    <w:p w:rsidR="00000000" w:rsidRPr="00A16618" w:rsidP="00A16618">
      <w:pPr>
        <w:pStyle w:val="AllowPageBreak"/>
      </w:pPr>
    </w:p>
    <w:p w:rsidR="00000000" w:rsidRPr="00A16618" w:rsidP="00A16618">
      <w:pPr>
        <w:pStyle w:val="Heading1"/>
      </w:pPr>
      <w:bookmarkStart w:id="4" w:name="O_403045"/>
      <w:bookmarkEnd w:id="4"/>
      <w:r w:rsidRPr="00A16618">
        <w:t>Licen</w:t>
      </w:r>
      <w:r w:rsidRPr="00A16618">
        <w:t>sing/Regulatory Information</w:t>
      </w:r>
    </w:p>
    <w:p w:rsidR="00000000" w:rsidRPr="00A16618" w:rsidP="00A16618">
      <w:pPr>
        <w:pStyle w:val="BodyText"/>
      </w:pPr>
      <w:r w:rsidRPr="00A16618">
        <w:t>Not applicable.</w:t>
      </w:r>
    </w:p>
    <w:p w:rsidR="00000000" w:rsidRPr="00A16618" w:rsidP="00A16618">
      <w:pPr>
        <w:pStyle w:val="AllowPageBreak"/>
      </w:pPr>
    </w:p>
    <w:p w:rsidR="00000000" w:rsidRPr="00A16618" w:rsidP="00A16618">
      <w:pPr>
        <w:pStyle w:val="Heading1"/>
      </w:pPr>
      <w:bookmarkStart w:id="5" w:name="O_403043"/>
      <w:bookmarkEnd w:id="5"/>
      <w:r w:rsidRPr="00A16618">
        <w:t>Pre-Requisites</w:t>
      </w:r>
    </w:p>
    <w:p w:rsidR="00000000" w:rsidRPr="00A16618" w:rsidP="00A16618">
      <w:pPr>
        <w:pStyle w:val="BodyText"/>
      </w:pPr>
      <w:r w:rsidRPr="00A16618">
        <w:t>Not applicable.</w:t>
      </w:r>
    </w:p>
    <w:p w:rsidR="00000000" w:rsidRPr="00A16618" w:rsidP="00A16618">
      <w:pPr>
        <w:pStyle w:val="AllowPageBreak"/>
      </w:pPr>
    </w:p>
    <w:p w:rsidR="00000000" w:rsidRPr="00A16618" w:rsidP="00A16618">
      <w:pPr>
        <w:pStyle w:val="Heading1"/>
      </w:pPr>
      <w:bookmarkStart w:id="6" w:name="O_403048"/>
      <w:bookmarkEnd w:id="6"/>
      <w:r w:rsidRPr="00A16618">
        <w:t>Employability Skills Information</w:t>
      </w:r>
    </w:p>
    <w:p w:rsidR="00000000" w:rsidRPr="00A16618" w:rsidP="00A16618">
      <w:pPr>
        <w:pStyle w:val="BodyText"/>
      </w:pPr>
      <w:r w:rsidRPr="00A16618">
        <w:t>This unit of competency contains employability skills.</w:t>
      </w:r>
    </w:p>
    <w:p w:rsidR="00000000" w:rsidRPr="00A16618" w:rsidP="00A16618">
      <w:pPr>
        <w:pStyle w:val="AllowPageBreak"/>
      </w:pPr>
    </w:p>
    <w:p w:rsidR="00000000" w:rsidRPr="00A16618" w:rsidP="00A16618">
      <w:pPr>
        <w:pStyle w:val="Heading1"/>
      </w:pPr>
      <w:bookmarkStart w:id="7" w:name="O_403049"/>
      <w:bookmarkEnd w:id="7"/>
      <w:r w:rsidRPr="00A16618">
        <w:t>Elements and Performance Criteria Pre-Content</w:t>
      </w:r>
    </w:p>
    <w:tbl>
      <w:tblPr>
        <w:tblW w:w="0" w:type="auto"/>
        <w:tblLayout w:type="fixed"/>
        <w:tblCellMar>
          <w:left w:w="62" w:type="dxa"/>
          <w:right w:w="62" w:type="dxa"/>
        </w:tblCellMar>
        <w:tblLook w:val="0000"/>
      </w:tblPr>
      <w:tblGrid>
        <w:gridCol w:w="2220"/>
        <w:gridCol w:w="6302"/>
      </w:tblGrid>
      <w:tr w:rsidTr="00C061CF">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A16618">
            <w:pPr>
              <w:pStyle w:val="BodyText"/>
              <w:rPr>
                <w:lang w:val="en-NZ"/>
              </w:rPr>
            </w:pPr>
            <w:r w:rsidRPr="00A16618">
              <w:t>Elements describe the essential outcomes of a unit of competency.</w:t>
            </w:r>
          </w:p>
        </w:tc>
        <w:tc>
          <w:tcPr>
            <w:tcW w:w="6302" w:type="dxa"/>
            <w:tcBorders>
              <w:top w:val="nil"/>
              <w:left w:val="nil"/>
              <w:bottom w:val="nil"/>
              <w:right w:val="nil"/>
            </w:tcBorders>
            <w:tcMar>
              <w:top w:w="0" w:type="dxa"/>
              <w:left w:w="62" w:type="dxa"/>
              <w:bottom w:w="0" w:type="dxa"/>
              <w:right w:w="62" w:type="dxa"/>
            </w:tcMar>
          </w:tcPr>
          <w:p w:rsidR="00000000" w:rsidRPr="00A16618" w:rsidP="00A16618">
            <w:pPr>
              <w:pStyle w:val="BodyText"/>
            </w:pPr>
            <w:r w:rsidRPr="00A16618">
              <w:t xml:space="preserve">Performance criteria describe the required performance needed to demonstrate achievement of the element. Where </w:t>
            </w:r>
            <w:r w:rsidRPr="00A16618">
              <w:rPr>
                <w:rStyle w:val="BoldandItalics"/>
              </w:rPr>
              <w:t>bold italicised</w:t>
            </w:r>
            <w:r w:rsidRPr="00A16618">
              <w:t xml:space="preserve"> text is used, further information is detailed in the range statement. Assessment of performance is to be consistent with the evidence guide.</w:t>
            </w:r>
          </w:p>
        </w:tc>
      </w:tr>
    </w:tbl>
    <w:p w:rsidR="00000000" w:rsidRPr="00A16618" w:rsidP="00A16618">
      <w:pPr>
        <w:pStyle w:val="BodyText"/>
      </w:pPr>
    </w:p>
    <w:p w:rsidR="00000000" w:rsidRPr="00A16618" w:rsidP="00A16618">
      <w:pPr>
        <w:pStyle w:val="AllowPageBreak"/>
      </w:pPr>
    </w:p>
    <w:p w:rsidR="00000000" w:rsidRPr="00A16618" w:rsidP="00A16618">
      <w:pPr>
        <w:pStyle w:val="Heading1"/>
      </w:pPr>
      <w:bookmarkStart w:id="8" w:name="O_403050"/>
      <w:bookmarkEnd w:id="8"/>
      <w:r w:rsidRPr="00A16618">
        <w:t>Elements and Performance Criteria</w:t>
      </w:r>
    </w:p>
    <w:tbl>
      <w:tblPr>
        <w:tblW w:w="0" w:type="auto"/>
        <w:tblLayout w:type="fixed"/>
        <w:tblCellMar>
          <w:left w:w="62" w:type="dxa"/>
          <w:right w:w="62" w:type="dxa"/>
        </w:tblCellMar>
        <w:tblLook w:val="0000"/>
      </w:tblPr>
      <w:tblGrid>
        <w:gridCol w:w="2220"/>
        <w:gridCol w:w="6302"/>
      </w:tblGrid>
      <w:tr w:rsidTr="00C061CF">
        <w:tblPrEx>
          <w:tblW w:w="0" w:type="auto"/>
          <w:tblLayout w:type="fixed"/>
          <w:tblCellMar>
            <w:left w:w="62" w:type="dxa"/>
            <w:right w:w="62" w:type="dxa"/>
          </w:tblCellMar>
          <w:tblLook w:val="0000"/>
        </w:tblPrEx>
        <w:trPr>
          <w:tblHeader/>
        </w:trPr>
        <w:tc>
          <w:tcPr>
            <w:tcW w:w="2220" w:type="dxa"/>
            <w:tcBorders>
              <w:top w:val="nil"/>
              <w:left w:val="nil"/>
              <w:bottom w:val="nil"/>
              <w:right w:val="nil"/>
            </w:tcBorders>
            <w:tcMar>
              <w:top w:w="0" w:type="dxa"/>
              <w:left w:w="62" w:type="dxa"/>
              <w:bottom w:w="0" w:type="dxa"/>
              <w:right w:w="62" w:type="dxa"/>
            </w:tcMar>
          </w:tcPr>
          <w:p w:rsidR="00000000" w:rsidRPr="00A16618" w:rsidP="00A16618">
            <w:pPr>
              <w:pStyle w:val="BodyText"/>
            </w:pPr>
            <w:r w:rsidRPr="00A16618">
              <w:rPr>
                <w:rStyle w:val="SpecialBold"/>
              </w:rPr>
              <w:t>ELEMENT</w:t>
            </w:r>
          </w:p>
        </w:tc>
        <w:tc>
          <w:tcPr>
            <w:tcW w:w="6302" w:type="dxa"/>
            <w:tcBorders>
              <w:top w:val="nil"/>
              <w:left w:val="nil"/>
              <w:bottom w:val="nil"/>
              <w:right w:val="nil"/>
            </w:tcBorders>
            <w:tcMar>
              <w:top w:w="0" w:type="dxa"/>
              <w:left w:w="62" w:type="dxa"/>
              <w:bottom w:w="0" w:type="dxa"/>
              <w:right w:w="62" w:type="dxa"/>
            </w:tcMar>
          </w:tcPr>
          <w:p w:rsidR="00000000" w:rsidP="00A16618">
            <w:pPr>
              <w:pStyle w:val="BodyText"/>
              <w:rPr>
                <w:lang w:val="en-NZ"/>
              </w:rPr>
            </w:pPr>
            <w:r w:rsidRPr="00A16618">
              <w:rPr>
                <w:rStyle w:val="SpecialBold"/>
              </w:rPr>
              <w:t>PERFORMANCE CRITERIA</w:t>
            </w:r>
          </w:p>
        </w:tc>
      </w:tr>
      <w:tr w:rsidTr="00C061CF">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A16618">
            <w:pPr>
              <w:pStyle w:val="List"/>
              <w:rPr>
                <w:lang w:val="en-NZ"/>
              </w:rPr>
            </w:pPr>
            <w:r w:rsidRPr="00A16618">
              <w:rPr>
                <w:rStyle w:val="SpecialBold"/>
              </w:rPr>
              <w:t>1</w:t>
            </w:r>
            <w:r w:rsidRPr="00A16618">
              <w:tab/>
            </w:r>
            <w:r w:rsidRPr="00A16618">
              <w:rPr>
                <w:rStyle w:val="SpecialBold"/>
              </w:rPr>
              <w:t>Conduct research to underpin planning process</w:t>
            </w:r>
          </w:p>
        </w:tc>
        <w:tc>
          <w:tcPr>
            <w:tcW w:w="6302" w:type="dxa"/>
            <w:tcBorders>
              <w:top w:val="nil"/>
              <w:left w:val="nil"/>
              <w:bottom w:val="nil"/>
              <w:right w:val="nil"/>
            </w:tcBorders>
            <w:tcMar>
              <w:top w:w="0" w:type="dxa"/>
              <w:left w:w="62" w:type="dxa"/>
              <w:bottom w:w="0" w:type="dxa"/>
              <w:right w:w="62" w:type="dxa"/>
            </w:tcMar>
          </w:tcPr>
          <w:p w:rsidR="00000000" w:rsidRPr="00A16618" w:rsidP="00A16618">
            <w:pPr>
              <w:pStyle w:val="List"/>
            </w:pPr>
            <w:r w:rsidRPr="00A16618">
              <w:t>1.1</w:t>
            </w:r>
            <w:r w:rsidRPr="00A16618">
              <w:tab/>
              <w:t>Forecast medium and long-term demand for water services using population and usage trend data.</w:t>
            </w:r>
          </w:p>
          <w:p w:rsidR="00000000" w:rsidRPr="00A16618" w:rsidP="00A16618">
            <w:pPr>
              <w:pStyle w:val="List"/>
            </w:pPr>
            <w:r w:rsidRPr="00A16618">
              <w:t>1.2</w:t>
            </w:r>
            <w:r w:rsidRPr="00A16618">
              <w:tab/>
              <w:t xml:space="preserve">Research and evaluate current or forecast changes to technology that will affect infrastructure or service </w:t>
            </w:r>
            <w:r w:rsidRPr="00A16618">
              <w:t>delivery.</w:t>
            </w:r>
          </w:p>
          <w:p w:rsidR="00000000" w:rsidRPr="00A16618" w:rsidP="00A16618">
            <w:pPr>
              <w:pStyle w:val="List"/>
            </w:pPr>
            <w:r w:rsidRPr="00A16618">
              <w:t>1.3</w:t>
            </w:r>
            <w:r w:rsidRPr="00A16618">
              <w:tab/>
              <w:t xml:space="preserve">Analyse </w:t>
            </w:r>
            <w:r w:rsidRPr="00A16618">
              <w:rPr>
                <w:rStyle w:val="BoldandItalics"/>
              </w:rPr>
              <w:t>legislative requirements</w:t>
            </w:r>
            <w:r w:rsidRPr="00A16618">
              <w:t xml:space="preserve"> for provision of water services.</w:t>
            </w:r>
          </w:p>
          <w:p w:rsidR="00000000" w:rsidRPr="00A16618" w:rsidP="00A16618">
            <w:pPr>
              <w:pStyle w:val="List"/>
            </w:pPr>
            <w:r w:rsidRPr="00A16618">
              <w:t>1.4</w:t>
            </w:r>
            <w:r w:rsidRPr="00A16618">
              <w:tab/>
              <w:t>Review and evaluate current water system infrastructure or service delivery capacity.</w:t>
            </w:r>
          </w:p>
          <w:p w:rsidR="00000000" w:rsidP="00A16618">
            <w:pPr>
              <w:pStyle w:val="List"/>
              <w:rPr>
                <w:lang w:val="en-NZ"/>
              </w:rPr>
            </w:pPr>
            <w:r w:rsidRPr="00A16618">
              <w:t>1.5</w:t>
            </w:r>
            <w:r w:rsidRPr="00A16618">
              <w:tab/>
              <w:t xml:space="preserve">Evaluate and estimate water organisation's capacity to meet medium- and long-term </w:t>
            </w:r>
            <w:r w:rsidRPr="00A16618">
              <w:t>demand.</w:t>
            </w:r>
          </w:p>
        </w:tc>
      </w:tr>
      <w:tr w:rsidTr="00C061CF">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A16618">
            <w:pPr>
              <w:pStyle w:val="List"/>
              <w:rPr>
                <w:lang w:val="en-NZ"/>
              </w:rPr>
            </w:pPr>
            <w:r w:rsidRPr="00A16618">
              <w:rPr>
                <w:rStyle w:val="SpecialBold"/>
              </w:rPr>
              <w:t>2</w:t>
            </w:r>
            <w:r w:rsidRPr="00A16618">
              <w:tab/>
            </w:r>
            <w:r w:rsidRPr="00A16618">
              <w:rPr>
                <w:rStyle w:val="SpecialBold"/>
              </w:rPr>
              <w:t>Formulate strategy and plan</w:t>
            </w:r>
          </w:p>
        </w:tc>
        <w:tc>
          <w:tcPr>
            <w:tcW w:w="6302" w:type="dxa"/>
            <w:tcBorders>
              <w:top w:val="nil"/>
              <w:left w:val="nil"/>
              <w:bottom w:val="nil"/>
              <w:right w:val="nil"/>
            </w:tcBorders>
            <w:tcMar>
              <w:top w:w="0" w:type="dxa"/>
              <w:left w:w="62" w:type="dxa"/>
              <w:bottom w:w="0" w:type="dxa"/>
              <w:right w:w="62" w:type="dxa"/>
            </w:tcMar>
          </w:tcPr>
          <w:p w:rsidR="00000000" w:rsidRPr="00A16618" w:rsidP="00A16618">
            <w:pPr>
              <w:pStyle w:val="List"/>
            </w:pPr>
            <w:r w:rsidRPr="00A16618">
              <w:t>2.1</w:t>
            </w:r>
            <w:r w:rsidRPr="00A16618">
              <w:tab/>
              <w:t xml:space="preserve">Develop key goals and </w:t>
            </w:r>
            <w:r w:rsidRPr="00A16618">
              <w:rPr>
                <w:rStyle w:val="BoldandItalics"/>
              </w:rPr>
              <w:t>performance indicators</w:t>
            </w:r>
            <w:r w:rsidRPr="00A16618">
              <w:t xml:space="preserve"> for planned water infrastructure or service delivery system in consultation with relevant personnel.</w:t>
            </w:r>
          </w:p>
          <w:p w:rsidR="00000000" w:rsidRPr="00A16618" w:rsidP="00A16618">
            <w:pPr>
              <w:pStyle w:val="List"/>
            </w:pPr>
            <w:r w:rsidRPr="00A16618">
              <w:t>2.2</w:t>
            </w:r>
            <w:r w:rsidRPr="00A16618">
              <w:tab/>
              <w:t>Identify, evaluate and document options for infrastructure or s</w:t>
            </w:r>
            <w:r w:rsidRPr="00A16618">
              <w:t>ervice delivery systems against established performance indicators.</w:t>
            </w:r>
          </w:p>
          <w:p w:rsidR="00000000" w:rsidRPr="00A16618" w:rsidP="00A16618">
            <w:pPr>
              <w:pStyle w:val="List"/>
            </w:pPr>
            <w:r w:rsidRPr="00A16618">
              <w:t>2.3</w:t>
            </w:r>
            <w:r w:rsidRPr="00A16618">
              <w:tab/>
              <w:t>Conduct consultations with relevant external stakeholders and evaluate input used to inform plan's development.</w:t>
            </w:r>
          </w:p>
          <w:p w:rsidR="00000000" w:rsidRPr="00A16618" w:rsidP="00A16618">
            <w:pPr>
              <w:pStyle w:val="List"/>
            </w:pPr>
            <w:r w:rsidRPr="00A16618">
              <w:t>2.4</w:t>
            </w:r>
            <w:r w:rsidRPr="00A16618">
              <w:tab/>
              <w:t>Recommend preferred option to relevant personnel following appropria</w:t>
            </w:r>
            <w:r w:rsidRPr="00A16618">
              <w:t>te consultation and planning processes.</w:t>
            </w:r>
          </w:p>
          <w:p w:rsidR="00000000" w:rsidP="00A16618">
            <w:pPr>
              <w:pStyle w:val="List"/>
              <w:rPr>
                <w:lang w:val="en-NZ"/>
              </w:rPr>
            </w:pPr>
            <w:r w:rsidRPr="00A16618">
              <w:t>2.5</w:t>
            </w:r>
            <w:r w:rsidRPr="00A16618">
              <w:tab/>
              <w:t xml:space="preserve">Develop </w:t>
            </w:r>
            <w:r w:rsidRPr="00A16618">
              <w:rPr>
                <w:rStyle w:val="BoldandItalics"/>
              </w:rPr>
              <w:t>plan</w:t>
            </w:r>
            <w:r w:rsidRPr="00A16618">
              <w:t xml:space="preserve"> for implementation of preferred strategy according to organisational standards.</w:t>
            </w:r>
          </w:p>
        </w:tc>
      </w:tr>
      <w:tr w:rsidTr="00C061CF">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A16618">
            <w:pPr>
              <w:pStyle w:val="List"/>
              <w:rPr>
                <w:lang w:val="en-NZ"/>
              </w:rPr>
            </w:pPr>
            <w:r w:rsidRPr="00A16618">
              <w:rPr>
                <w:rStyle w:val="SpecialBold"/>
              </w:rPr>
              <w:t>3</w:t>
            </w:r>
            <w:r w:rsidRPr="00A16618">
              <w:tab/>
            </w:r>
            <w:r w:rsidRPr="00A16618">
              <w:rPr>
                <w:rStyle w:val="SpecialBold"/>
              </w:rPr>
              <w:t>Lead implementation process</w:t>
            </w:r>
          </w:p>
        </w:tc>
        <w:tc>
          <w:tcPr>
            <w:tcW w:w="6302" w:type="dxa"/>
            <w:tcBorders>
              <w:top w:val="nil"/>
              <w:left w:val="nil"/>
              <w:bottom w:val="nil"/>
              <w:right w:val="nil"/>
            </w:tcBorders>
            <w:tcMar>
              <w:top w:w="0" w:type="dxa"/>
              <w:left w:w="62" w:type="dxa"/>
              <w:bottom w:w="0" w:type="dxa"/>
              <w:right w:w="62" w:type="dxa"/>
            </w:tcMar>
          </w:tcPr>
          <w:p w:rsidR="00000000" w:rsidRPr="00A16618" w:rsidP="00A16618">
            <w:pPr>
              <w:pStyle w:val="List"/>
            </w:pPr>
            <w:r w:rsidRPr="00A16618">
              <w:t>3.1</w:t>
            </w:r>
            <w:r w:rsidRPr="00A16618">
              <w:tab/>
              <w:t xml:space="preserve">Put in place processes to monitor performance of implementation plan against agreed </w:t>
            </w:r>
            <w:r w:rsidRPr="00A16618">
              <w:t>benchmarks and performance indicators.</w:t>
            </w:r>
          </w:p>
          <w:p w:rsidR="00000000" w:rsidRPr="00A16618" w:rsidP="00A16618">
            <w:pPr>
              <w:pStyle w:val="List"/>
            </w:pPr>
            <w:r w:rsidRPr="00A16618">
              <w:t>3.2</w:t>
            </w:r>
            <w:r w:rsidRPr="00A16618">
              <w:tab/>
              <w:t>Plan, implement and monitor reporting processes.</w:t>
            </w:r>
          </w:p>
          <w:p w:rsidR="00000000" w:rsidRPr="00A16618" w:rsidP="00A16618">
            <w:pPr>
              <w:pStyle w:val="List"/>
            </w:pPr>
            <w:r w:rsidRPr="00A16618">
              <w:t>3.3</w:t>
            </w:r>
            <w:r w:rsidRPr="00A16618">
              <w:tab/>
              <w:t>Plan, implement and monitor communication processes to inform staff and other relevant stakeholders of progress of plan's implementation.</w:t>
            </w:r>
          </w:p>
          <w:p w:rsidR="00000000" w:rsidRPr="00A16618" w:rsidP="00A16618">
            <w:pPr>
              <w:pStyle w:val="List"/>
            </w:pPr>
            <w:r w:rsidRPr="00A16618">
              <w:t>3.4</w:t>
            </w:r>
            <w:r w:rsidRPr="00A16618">
              <w:tab/>
            </w:r>
            <w:r w:rsidRPr="00A16618">
              <w:t>Undertake review or refinement of planned tasks in light of changing conditions to ensure attainment of plan's goals.</w:t>
            </w:r>
          </w:p>
        </w:tc>
      </w:tr>
    </w:tbl>
    <w:p w:rsidR="00000000" w:rsidRPr="00A16618" w:rsidP="00A16618">
      <w:pPr>
        <w:pStyle w:val="BodyText"/>
      </w:pPr>
    </w:p>
    <w:p w:rsidR="00000000" w:rsidRPr="00A16618" w:rsidP="00A16618">
      <w:pPr>
        <w:pStyle w:val="AllowPageBreak"/>
      </w:pPr>
    </w:p>
    <w:p w:rsidR="00000000" w:rsidRPr="00A16618" w:rsidP="00A16618">
      <w:pPr>
        <w:pStyle w:val="Heading1"/>
      </w:pPr>
      <w:bookmarkStart w:id="9" w:name="O_403040"/>
      <w:bookmarkEnd w:id="9"/>
      <w:r w:rsidRPr="00A16618">
        <w:t>Required Skills and Knowledge</w:t>
      </w:r>
    </w:p>
    <w:tbl>
      <w:tblPr>
        <w:tblW w:w="0" w:type="auto"/>
        <w:tblLayout w:type="fixed"/>
        <w:tblCellMar>
          <w:left w:w="62" w:type="dxa"/>
          <w:right w:w="62" w:type="dxa"/>
        </w:tblCellMar>
        <w:tblLook w:val="0000"/>
      </w:tblPr>
      <w:tblGrid>
        <w:gridCol w:w="8522"/>
      </w:tblGrid>
      <w:tr w:rsidTr="00C061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6618">
            <w:pPr>
              <w:pStyle w:val="BodyText"/>
              <w:rPr>
                <w:lang w:val="en-NZ"/>
              </w:rPr>
            </w:pPr>
            <w:r w:rsidRPr="00A16618">
              <w:t>This describes the essential skills and knowledge and their level, required for this unit</w:t>
            </w:r>
            <w:r w:rsidRPr="00A16618">
              <w:t>.</w:t>
            </w:r>
          </w:p>
        </w:tc>
      </w:tr>
      <w:tr w:rsidTr="00C061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16618" w:rsidP="00A16618">
            <w:pPr>
              <w:pStyle w:val="BodyText"/>
            </w:pPr>
            <w:r w:rsidRPr="00A16618">
              <w:rPr>
                <w:rStyle w:val="SpecialBold"/>
              </w:rPr>
              <w:t>Required skills</w:t>
            </w:r>
            <w:r w:rsidRPr="00A16618">
              <w:t>:</w:t>
            </w:r>
          </w:p>
          <w:p w:rsidR="00000000" w:rsidRPr="00A16618" w:rsidP="00A16618">
            <w:pPr>
              <w:pStyle w:val="ListBullet"/>
            </w:pPr>
            <w:r w:rsidRPr="00A16618">
              <w:t>research, interpret, analyse, review and apply complex supply and demand data</w:t>
            </w:r>
          </w:p>
          <w:p w:rsidR="00000000" w:rsidRPr="00A16618" w:rsidP="00A16618">
            <w:pPr>
              <w:pStyle w:val="ListBullet"/>
            </w:pPr>
            <w:r w:rsidRPr="00A16618">
              <w:t>interpret, analyse and apply relevant legislative requirements</w:t>
            </w:r>
          </w:p>
          <w:p w:rsidR="00000000" w:rsidRPr="00A16618" w:rsidP="00A16618">
            <w:pPr>
              <w:pStyle w:val="ListBullet"/>
            </w:pPr>
            <w:r w:rsidRPr="00A16618">
              <w:t>apply analytical skills to review of policies, plans and infrastructure</w:t>
            </w:r>
          </w:p>
          <w:p w:rsidR="00000000" w:rsidRPr="00A16618" w:rsidP="00A16618">
            <w:pPr>
              <w:pStyle w:val="ListBullet"/>
            </w:pPr>
            <w:r w:rsidRPr="00A16618">
              <w:t>consult an</w:t>
            </w:r>
            <w:r w:rsidRPr="00A16618">
              <w:t>d communicate with internal and external groups and individuals</w:t>
            </w:r>
          </w:p>
          <w:p w:rsidR="00000000" w:rsidRPr="00A16618" w:rsidP="00A16618">
            <w:pPr>
              <w:pStyle w:val="ListBullet"/>
            </w:pPr>
            <w:r w:rsidRPr="00A16618">
              <w:t>retrieve and evaluate information</w:t>
            </w:r>
          </w:p>
          <w:p w:rsidR="00000000" w:rsidRPr="00A16618" w:rsidP="00A16618">
            <w:pPr>
              <w:pStyle w:val="ListBullet"/>
            </w:pPr>
            <w:r w:rsidRPr="00A16618">
              <w:t>communicate effectively with a wide audience inside and outside the workplace</w:t>
            </w:r>
          </w:p>
          <w:p w:rsidR="00000000" w:rsidRPr="00A16618" w:rsidP="00A16618">
            <w:pPr>
              <w:pStyle w:val="ListBullet"/>
            </w:pPr>
            <w:r w:rsidRPr="00A16618">
              <w:t>prepare reports</w:t>
            </w:r>
          </w:p>
          <w:p w:rsidR="00000000" w:rsidP="00A16618">
            <w:pPr>
              <w:pStyle w:val="ListBullet"/>
              <w:rPr>
                <w:lang w:val="en-NZ"/>
              </w:rPr>
            </w:pPr>
            <w:r w:rsidRPr="00A16618">
              <w:t>solve a wide range of complex problems</w:t>
            </w:r>
          </w:p>
        </w:tc>
      </w:tr>
      <w:tr w:rsidTr="00C061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16618" w:rsidP="00A16618">
            <w:pPr>
              <w:pStyle w:val="BodyText"/>
            </w:pPr>
            <w:r w:rsidRPr="00A16618">
              <w:rPr>
                <w:rStyle w:val="SpecialBold"/>
              </w:rPr>
              <w:t>Required knowledge</w:t>
            </w:r>
            <w:r w:rsidRPr="00A16618">
              <w:t>:</w:t>
            </w:r>
          </w:p>
          <w:p w:rsidR="00000000" w:rsidRPr="00A16618" w:rsidP="00A16618">
            <w:pPr>
              <w:pStyle w:val="ListBullet"/>
            </w:pPr>
            <w:r w:rsidRPr="00A16618">
              <w:t>the</w:t>
            </w:r>
            <w:r w:rsidRPr="00A16618">
              <w:t xml:space="preserve"> structure of the water industry, networks, relationships, stakeholders and interests</w:t>
            </w:r>
          </w:p>
          <w:p w:rsidR="00000000" w:rsidRPr="00A16618" w:rsidP="00A16618">
            <w:pPr>
              <w:pStyle w:val="ListBullet"/>
            </w:pPr>
            <w:r w:rsidRPr="00A16618">
              <w:t>principles and methodology for research and forecasting in system and service planning</w:t>
            </w:r>
          </w:p>
          <w:p w:rsidR="00000000" w:rsidRPr="00A16618" w:rsidP="00A16618">
            <w:pPr>
              <w:pStyle w:val="ListBullet"/>
            </w:pPr>
            <w:r w:rsidRPr="00A16618">
              <w:t>the economic, environmental, social and political issues and trends influencing the</w:t>
            </w:r>
            <w:r w:rsidRPr="00A16618">
              <w:t xml:space="preserve"> water and allied industries</w:t>
            </w:r>
          </w:p>
          <w:p w:rsidR="00000000" w:rsidRPr="00A16618" w:rsidP="00A16618">
            <w:pPr>
              <w:pStyle w:val="ListBullet"/>
            </w:pPr>
            <w:r w:rsidRPr="00A16618">
              <w:t>organisational structure, policies, strategic plans, and operating procedures</w:t>
            </w:r>
          </w:p>
          <w:p w:rsidR="00000000" w:rsidRPr="00A16618" w:rsidP="00A16618">
            <w:pPr>
              <w:pStyle w:val="ListBullet"/>
            </w:pPr>
            <w:r w:rsidRPr="00A16618">
              <w:t>organisational contracts, services, assets and infrastructure</w:t>
            </w:r>
          </w:p>
          <w:p w:rsidR="00000000" w:rsidRPr="00A16618" w:rsidP="00A16618">
            <w:pPr>
              <w:pStyle w:val="ListBullet"/>
            </w:pPr>
            <w:r w:rsidRPr="00A16618">
              <w:t>principles and methods for reviewing, auditing and monitoring organisational and system</w:t>
            </w:r>
            <w:r w:rsidRPr="00A16618">
              <w:t xml:space="preserve"> performance</w:t>
            </w:r>
          </w:p>
          <w:p w:rsidR="00000000" w:rsidRPr="00A16618" w:rsidP="00A16618">
            <w:pPr>
              <w:pStyle w:val="ListBullet"/>
            </w:pPr>
            <w:r w:rsidRPr="00A16618">
              <w:t>current processes for monitoring performance against legislation, codes and standards</w:t>
            </w:r>
          </w:p>
          <w:p w:rsidR="00000000" w:rsidRPr="00A16618" w:rsidP="00A16618">
            <w:pPr>
              <w:pStyle w:val="ListBullet"/>
            </w:pPr>
            <w:r w:rsidRPr="00A16618">
              <w:t>research and reporting processes related to organisational standards and legislative requirements</w:t>
            </w:r>
          </w:p>
          <w:p w:rsidR="00000000" w:rsidRPr="00A16618" w:rsidP="00A16618">
            <w:pPr>
              <w:pStyle w:val="ListBullet"/>
            </w:pPr>
            <w:r w:rsidRPr="00A16618">
              <w:t>risk management principles and strategies and the management of non-compliance</w:t>
            </w:r>
          </w:p>
          <w:p w:rsidR="00000000" w:rsidRPr="00A16618" w:rsidP="00A16618">
            <w:pPr>
              <w:pStyle w:val="ListBullet"/>
            </w:pPr>
            <w:r w:rsidRPr="00A16618">
              <w:t>relevant legislative and licensing requirements and their implementation issues and accountability</w:t>
            </w:r>
          </w:p>
        </w:tc>
      </w:tr>
    </w:tbl>
    <w:p w:rsidR="00000000" w:rsidRPr="00A16618" w:rsidP="00A16618">
      <w:pPr>
        <w:pStyle w:val="BodyText"/>
      </w:pPr>
    </w:p>
    <w:p w:rsidR="00000000" w:rsidRPr="00A16618" w:rsidP="00A16618">
      <w:pPr>
        <w:pStyle w:val="AllowPageBreak"/>
      </w:pPr>
    </w:p>
    <w:p w:rsidR="00000000" w:rsidRPr="00A16618" w:rsidP="00A16618">
      <w:pPr>
        <w:pStyle w:val="Heading1"/>
      </w:pPr>
      <w:bookmarkStart w:id="10" w:name="O_403047"/>
      <w:bookmarkEnd w:id="10"/>
      <w:r w:rsidRPr="00A16618">
        <w:t>Evidence Guide</w:t>
      </w:r>
    </w:p>
    <w:tbl>
      <w:tblPr>
        <w:tblW w:w="0" w:type="auto"/>
        <w:tblLayout w:type="fixed"/>
        <w:tblCellMar>
          <w:left w:w="62" w:type="dxa"/>
          <w:right w:w="62" w:type="dxa"/>
        </w:tblCellMar>
        <w:tblLook w:val="0000"/>
      </w:tblPr>
      <w:tblGrid>
        <w:gridCol w:w="2988"/>
        <w:gridCol w:w="5967"/>
      </w:tblGrid>
      <w:tr w:rsidTr="00C061CF">
        <w:tblPrEx>
          <w:tblW w:w="0" w:type="auto"/>
          <w:tblLayout w:type="fixed"/>
          <w:tblCellMar>
            <w:left w:w="62" w:type="dxa"/>
            <w:right w:w="62" w:type="dxa"/>
          </w:tblCellMar>
          <w:tblLook w:val="0000"/>
        </w:tblPrEx>
        <w:tc>
          <w:tcPr>
            <w:tcW w:w="8955" w:type="dxa"/>
            <w:gridSpan w:val="2"/>
            <w:tcBorders>
              <w:top w:val="nil"/>
              <w:left w:val="nil"/>
              <w:bottom w:val="nil"/>
              <w:right w:val="nil"/>
            </w:tcBorders>
            <w:tcMar>
              <w:top w:w="0" w:type="dxa"/>
              <w:left w:w="62" w:type="dxa"/>
              <w:bottom w:w="0" w:type="dxa"/>
              <w:right w:w="62" w:type="dxa"/>
            </w:tcMar>
          </w:tcPr>
          <w:p w:rsidR="00000000" w:rsidP="00A16618">
            <w:pPr>
              <w:pStyle w:val="BodyText"/>
              <w:rPr>
                <w:lang w:val="en-NZ"/>
              </w:rPr>
            </w:pPr>
            <w:r w:rsidRPr="00A16618">
              <w:t>The evidence guide provides advice on assess</w:t>
            </w:r>
            <w:r w:rsidRPr="00A16618">
              <w:t>ment and must be read in conjunction with the performance criteria, required skills and knowledge, the range statement and the Assessment Guidelines for the Training Package.</w:t>
            </w:r>
          </w:p>
        </w:tc>
      </w:tr>
      <w:tr w:rsidTr="00C061C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16618">
            <w:pPr>
              <w:pStyle w:val="BodyText"/>
              <w:rPr>
                <w:lang w:val="en-NZ"/>
              </w:rPr>
            </w:pPr>
            <w:r w:rsidRPr="00A16618">
              <w:rPr>
                <w:rStyle w:val="SpecialBold"/>
              </w:rPr>
              <w:t>Critical aspects for assessme</w:t>
            </w:r>
            <w:r w:rsidRPr="00A16618">
              <w:rPr>
                <w:rStyle w:val="SpecialBold"/>
              </w:rPr>
              <w:t>nt and evidence required to demonstrate competency in this unit</w:t>
            </w:r>
          </w:p>
        </w:tc>
        <w:tc>
          <w:tcPr>
            <w:tcW w:w="5967" w:type="dxa"/>
            <w:tcBorders>
              <w:top w:val="nil"/>
              <w:left w:val="nil"/>
              <w:bottom w:val="nil"/>
              <w:right w:val="nil"/>
            </w:tcBorders>
            <w:tcMar>
              <w:top w:w="0" w:type="dxa"/>
              <w:left w:w="62" w:type="dxa"/>
              <w:bottom w:w="0" w:type="dxa"/>
              <w:right w:w="62" w:type="dxa"/>
            </w:tcMar>
          </w:tcPr>
          <w:p w:rsidR="00000000" w:rsidRPr="00A16618" w:rsidP="00A16618">
            <w:pPr>
              <w:pStyle w:val="BodyText"/>
            </w:pPr>
            <w:r w:rsidRPr="00A16618">
              <w:t>The candidate should demonstrate the ability to contribute to the medium and long-term planning of water system infrastructure and service delivery including:</w:t>
            </w:r>
          </w:p>
          <w:p w:rsidR="00000000" w:rsidRPr="00A16618" w:rsidP="00A16618">
            <w:pPr>
              <w:pStyle w:val="ListBullet"/>
            </w:pPr>
            <w:r w:rsidRPr="00A16618">
              <w:t>researching, interpreting, analy</w:t>
            </w:r>
            <w:r w:rsidRPr="00A16618">
              <w:t>sing and applying complex supply and demand data to planning process</w:t>
            </w:r>
          </w:p>
          <w:p w:rsidR="00000000" w:rsidRPr="00A16618" w:rsidP="00A16618">
            <w:pPr>
              <w:pStyle w:val="ListBullet"/>
            </w:pPr>
            <w:r w:rsidRPr="00A16618">
              <w:t>reviewing and critically evaluating current infrastructure and service delivery systems</w:t>
            </w:r>
          </w:p>
          <w:p w:rsidR="00000000" w:rsidRPr="00A16618" w:rsidP="00A16618">
            <w:pPr>
              <w:pStyle w:val="ListBullet"/>
            </w:pPr>
            <w:r w:rsidRPr="00A16618">
              <w:t>objectively evaluating options for future infrastructure and service delivery systems against speci</w:t>
            </w:r>
            <w:r w:rsidRPr="00A16618">
              <w:t>fied performance indicators</w:t>
            </w:r>
          </w:p>
          <w:p w:rsidR="00000000" w:rsidRPr="00A16618" w:rsidP="00A16618">
            <w:pPr>
              <w:pStyle w:val="ListBullet"/>
            </w:pPr>
            <w:r w:rsidRPr="00A16618">
              <w:t>preparing plans</w:t>
            </w:r>
          </w:p>
          <w:p w:rsidR="00000000" w:rsidRPr="00A16618" w:rsidP="00A16618">
            <w:pPr>
              <w:pStyle w:val="ListBullet"/>
            </w:pPr>
            <w:r w:rsidRPr="00A16618">
              <w:t>communicating with stakeholders</w:t>
            </w:r>
          </w:p>
          <w:p w:rsidR="00000000" w:rsidP="00A16618">
            <w:pPr>
              <w:pStyle w:val="ListBullet"/>
              <w:rPr>
                <w:lang w:val="en-NZ"/>
              </w:rPr>
            </w:pPr>
            <w:r w:rsidRPr="00A16618">
              <w:t>monitoring and managing the implementation of a plan.</w:t>
            </w:r>
          </w:p>
        </w:tc>
      </w:tr>
      <w:tr w:rsidTr="00C061C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16618">
            <w:pPr>
              <w:pStyle w:val="BodyText"/>
              <w:rPr>
                <w:lang w:val="en-NZ"/>
              </w:rPr>
            </w:pPr>
            <w:r w:rsidRPr="00A16618">
              <w:rPr>
                <w:rStyle w:val="SpecialBold"/>
              </w:rPr>
              <w:t>Context of and specific resources for assessment</w:t>
            </w:r>
          </w:p>
        </w:tc>
        <w:tc>
          <w:tcPr>
            <w:tcW w:w="5967" w:type="dxa"/>
            <w:tcBorders>
              <w:top w:val="nil"/>
              <w:left w:val="nil"/>
              <w:bottom w:val="nil"/>
              <w:right w:val="nil"/>
            </w:tcBorders>
            <w:tcMar>
              <w:top w:w="0" w:type="dxa"/>
              <w:left w:w="62" w:type="dxa"/>
              <w:bottom w:w="0" w:type="dxa"/>
              <w:right w:w="62" w:type="dxa"/>
            </w:tcMar>
          </w:tcPr>
          <w:p w:rsidR="00000000" w:rsidRPr="00A16618" w:rsidP="00A16618">
            <w:pPr>
              <w:pStyle w:val="BodyText"/>
            </w:pPr>
            <w:r w:rsidRPr="00A16618">
              <w:t>Access to the workplace and resources including:</w:t>
            </w:r>
          </w:p>
          <w:p w:rsidR="00000000" w:rsidRPr="00A16618" w:rsidP="00A16618">
            <w:pPr>
              <w:pStyle w:val="ListBullet"/>
            </w:pPr>
            <w:r w:rsidRPr="00A16618">
              <w:t>documentation that should normally be available in a water industry organisation</w:t>
            </w:r>
          </w:p>
          <w:p w:rsidR="00000000" w:rsidRPr="00A16618" w:rsidP="00A16618">
            <w:pPr>
              <w:pStyle w:val="ListBullet"/>
            </w:pPr>
            <w:r w:rsidRPr="00A16618">
              <w:t>relevant codes, standards and government regulations.</w:t>
            </w:r>
          </w:p>
          <w:p w:rsidR="00000000" w:rsidRPr="00A16618" w:rsidP="00A16618">
            <w:pPr>
              <w:pStyle w:val="BodyText"/>
            </w:pPr>
            <w:r w:rsidRPr="00A16618">
              <w:t>Where applicable, physical resources should include equipment modified for people with disabilities.</w:t>
            </w:r>
          </w:p>
          <w:p w:rsidR="00000000" w:rsidRPr="00A16618" w:rsidP="00A16618">
            <w:pPr>
              <w:pStyle w:val="BodyText"/>
            </w:pPr>
            <w:r w:rsidRPr="00A16618">
              <w:t>Access must be provi</w:t>
            </w:r>
            <w:r w:rsidRPr="00A16618">
              <w:t>ded to appropriate learning and assessment support when required.</w:t>
            </w:r>
          </w:p>
          <w:p w:rsidR="00000000" w:rsidRPr="00A16618" w:rsidP="00A16618">
            <w:pPr>
              <w:pStyle w:val="BodyText"/>
            </w:pPr>
            <w:r w:rsidRPr="00A16618">
              <w:t>Assessment processes and techniques must be culturally appropriate, and appropriate to the language and literacy capacity of the candidate and the work being performed.</w:t>
            </w:r>
          </w:p>
          <w:p w:rsidR="00000000" w:rsidRPr="00A16618" w:rsidP="00A16618">
            <w:pPr>
              <w:pStyle w:val="BodyText"/>
            </w:pPr>
            <w:r w:rsidRPr="00A16618">
              <w:t>Validity and sufficie</w:t>
            </w:r>
            <w:r w:rsidRPr="00A16618">
              <w:t>ncy of evidence requires that:</w:t>
            </w:r>
          </w:p>
          <w:p w:rsidR="00000000" w:rsidRPr="00A16618" w:rsidP="00A16618">
            <w:pPr>
              <w:pStyle w:val="ListBullet"/>
            </w:pPr>
            <w:r w:rsidRPr="00A16618">
              <w:t>competency will need to be demonstrated over a period of time reflecting the scope of the role and the practical requirements of the workplace</w:t>
            </w:r>
          </w:p>
          <w:p w:rsidR="00000000" w:rsidRPr="00A16618" w:rsidP="00A16618">
            <w:pPr>
              <w:pStyle w:val="ListBullet"/>
            </w:pPr>
            <w:r w:rsidRPr="00A16618">
              <w:t>where the assessment is part of a structured learning experience the evidence col</w:t>
            </w:r>
            <w:r w:rsidRPr="00A16618">
              <w:t>lected must relate to a number of performances assessed at different points in time and separated by further learning and practice</w:t>
            </w:r>
          </w:p>
          <w:p w:rsidR="00000000" w:rsidRPr="00A16618" w:rsidP="00A16618">
            <w:pPr>
              <w:pStyle w:val="ListBullet"/>
            </w:pPr>
            <w:r w:rsidRPr="00A16618">
              <w:t>a decision of competence should only be made when the assessor has complete confidence in the person's competence over time a</w:t>
            </w:r>
            <w:r w:rsidRPr="00A16618">
              <w:t>nd in various contexts</w:t>
            </w:r>
          </w:p>
          <w:p w:rsidR="00000000" w:rsidRPr="00A16618" w:rsidP="00A16618">
            <w:pPr>
              <w:pStyle w:val="ListBullet"/>
            </w:pPr>
            <w:r w:rsidRPr="00A16618">
              <w:t>all assessment that is part of a structured learning experience must include a combination of direct, indirect and supplementary evidence</w:t>
            </w:r>
          </w:p>
          <w:p w:rsidR="00000000" w:rsidRPr="00A16618" w:rsidP="00A16618">
            <w:pPr>
              <w:pStyle w:val="ListBullet"/>
            </w:pPr>
            <w:r w:rsidRPr="00A16618">
              <w:t>where assessment is for the purpose of recognition (RCC/RPL), the evidence provided will need t</w:t>
            </w:r>
            <w:r w:rsidRPr="00A16618">
              <w:t>o be authenticated and show that it represents competency demonstrated over a period of time</w:t>
            </w:r>
          </w:p>
          <w:p w:rsidR="00000000" w:rsidRPr="00A16618" w:rsidP="00A16618">
            <w:pPr>
              <w:pStyle w:val="ListBullet"/>
            </w:pPr>
            <w:r w:rsidRPr="00A16618">
              <w:t>assessment can be through simulated project-based activity and must include evidence relating to each of the elements in this unit.</w:t>
            </w:r>
          </w:p>
          <w:p w:rsidR="00000000" w:rsidRPr="00A16618" w:rsidP="00A16618">
            <w:pPr>
              <w:pStyle w:val="BodyText"/>
            </w:pPr>
            <w:r w:rsidRPr="00A16618">
              <w:t xml:space="preserve">Questioning will be undertaken </w:t>
            </w:r>
            <w:r w:rsidRPr="00A16618">
              <w:t>in a manner appropriate to the skill levels of the operator and cultural issues that may affect responses to the questions, and will reflect the requirements of the competency and the work being performed.</w:t>
            </w:r>
          </w:p>
        </w:tc>
      </w:tr>
    </w:tbl>
    <w:p w:rsidR="00000000" w:rsidRPr="00A16618" w:rsidP="00A16618">
      <w:pPr>
        <w:pStyle w:val="BodyText"/>
      </w:pPr>
    </w:p>
    <w:p w:rsidR="00000000" w:rsidRPr="00A16618" w:rsidP="00A16618">
      <w:pPr>
        <w:pStyle w:val="AllowPageBreak"/>
      </w:pPr>
    </w:p>
    <w:p w:rsidR="00000000" w:rsidRPr="00A16618" w:rsidP="00A16618">
      <w:pPr>
        <w:pStyle w:val="Heading1"/>
      </w:pPr>
      <w:bookmarkStart w:id="11" w:name="O_403042"/>
      <w:bookmarkEnd w:id="11"/>
      <w:r w:rsidRPr="00A16618">
        <w:t>Range Statement</w:t>
      </w:r>
    </w:p>
    <w:tbl>
      <w:tblPr>
        <w:tblW w:w="0" w:type="auto"/>
        <w:tblLayout w:type="fixed"/>
        <w:tblCellMar>
          <w:left w:w="62" w:type="dxa"/>
          <w:right w:w="62" w:type="dxa"/>
        </w:tblCellMar>
        <w:tblLook w:val="0000"/>
      </w:tblPr>
      <w:tblGrid>
        <w:gridCol w:w="2866"/>
        <w:gridCol w:w="5656"/>
      </w:tblGrid>
      <w:tr w:rsidTr="00C061C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16618">
            <w:pPr>
              <w:pStyle w:val="BodyText"/>
              <w:rPr>
                <w:lang w:val="en-NZ"/>
              </w:rPr>
            </w:pPr>
            <w:r w:rsidRPr="00A16618">
              <w:t xml:space="preserve">The range statement relates to the unit of competency as a whole. It allows for different work environments and situations that may affect performance. </w:t>
            </w:r>
            <w:r w:rsidRPr="00A16618">
              <w:rPr>
                <w:rStyle w:val="BoldandItalics"/>
              </w:rPr>
              <w:t>Bold italicised</w:t>
            </w:r>
            <w:r w:rsidRPr="00A16618">
              <w:t xml:space="preserve"> wording, if used in the performance criteria, is detailed below. Add any essential opera</w:t>
            </w:r>
            <w:r w:rsidRPr="00A16618">
              <w:t>ting conditions that may be present with training and assessment depending on the work situation, needs of the candidate, accessibility of the item, and local industry and regional contexts.</w:t>
            </w:r>
          </w:p>
        </w:tc>
      </w:tr>
      <w:tr w:rsidTr="00C061CF">
        <w:tblPrEx>
          <w:tblW w:w="0" w:type="auto"/>
          <w:tblLayout w:type="fixed"/>
          <w:tblCellMar>
            <w:left w:w="62" w:type="dxa"/>
            <w:right w:w="62" w:type="dxa"/>
          </w:tblCellMar>
          <w:tblLook w:val="0000"/>
        </w:tblPrEx>
        <w:tc>
          <w:tcPr>
            <w:tcW w:w="2866" w:type="dxa"/>
            <w:tcBorders>
              <w:top w:val="nil"/>
              <w:left w:val="nil"/>
              <w:bottom w:val="nil"/>
              <w:right w:val="nil"/>
            </w:tcBorders>
            <w:tcMar>
              <w:top w:w="0" w:type="dxa"/>
              <w:left w:w="62" w:type="dxa"/>
              <w:bottom w:w="0" w:type="dxa"/>
              <w:right w:w="62" w:type="dxa"/>
            </w:tcMar>
          </w:tcPr>
          <w:p w:rsidR="00000000" w:rsidP="00A16618">
            <w:pPr>
              <w:pStyle w:val="BodyText"/>
              <w:rPr>
                <w:lang w:val="en-NZ"/>
              </w:rPr>
            </w:pPr>
            <w:r w:rsidRPr="00A16618">
              <w:rPr>
                <w:rStyle w:val="BoldandItalics"/>
              </w:rPr>
              <w:t>Legislative requirements</w:t>
            </w:r>
            <w:r w:rsidRPr="00A16618">
              <w:t xml:space="preserve"> may include:</w:t>
            </w:r>
          </w:p>
        </w:tc>
        <w:tc>
          <w:tcPr>
            <w:tcW w:w="5656" w:type="dxa"/>
            <w:tcBorders>
              <w:top w:val="nil"/>
              <w:left w:val="nil"/>
              <w:bottom w:val="nil"/>
              <w:right w:val="nil"/>
            </w:tcBorders>
            <w:tcMar>
              <w:top w:w="0" w:type="dxa"/>
              <w:left w:w="62" w:type="dxa"/>
              <w:bottom w:w="0" w:type="dxa"/>
              <w:right w:w="62" w:type="dxa"/>
            </w:tcMar>
          </w:tcPr>
          <w:p w:rsidR="00000000" w:rsidRPr="00A16618" w:rsidP="00A16618">
            <w:pPr>
              <w:pStyle w:val="ListBullet"/>
            </w:pPr>
            <w:r w:rsidRPr="00A16618">
              <w:t>relevant federal legisla</w:t>
            </w:r>
            <w:r w:rsidRPr="00A16618">
              <w:t>tion, including:</w:t>
            </w:r>
          </w:p>
          <w:p w:rsidR="00000000" w:rsidRPr="00A16618" w:rsidP="00A16618">
            <w:pPr>
              <w:pStyle w:val="ListBullet2"/>
            </w:pPr>
            <w:r w:rsidRPr="00A16618">
              <w:t>National Water Commission Act 2004</w:t>
            </w:r>
          </w:p>
          <w:p w:rsidR="00000000" w:rsidRPr="00A16618" w:rsidP="00A16618">
            <w:pPr>
              <w:pStyle w:val="ListBullet2"/>
            </w:pPr>
            <w:r w:rsidRPr="00A16618">
              <w:t>Environment Protection and Biodiversity Conservation Act 1999</w:t>
            </w:r>
          </w:p>
          <w:p w:rsidR="00000000" w:rsidRPr="00A16618" w:rsidP="00A16618">
            <w:pPr>
              <w:pStyle w:val="ListBullet2"/>
            </w:pPr>
            <w:r w:rsidRPr="00A16618">
              <w:t>relevant state or territory legislation relating to water and resource management</w:t>
            </w:r>
          </w:p>
          <w:p w:rsidR="00000000" w:rsidRPr="00A16618" w:rsidP="00A16618">
            <w:pPr>
              <w:pStyle w:val="ListBullet"/>
            </w:pPr>
            <w:r w:rsidRPr="00A16618">
              <w:t>relevant state or territory legislation and regulations relating to OHS, including:</w:t>
            </w:r>
          </w:p>
          <w:p w:rsidR="00000000" w:rsidRPr="00A16618" w:rsidP="00A16618">
            <w:pPr>
              <w:pStyle w:val="ListBullet2"/>
            </w:pPr>
            <w:r w:rsidRPr="00A16618">
              <w:t>protective clothing and equipment</w:t>
            </w:r>
          </w:p>
          <w:p w:rsidR="00000000" w:rsidRPr="00A16618" w:rsidP="00A16618">
            <w:pPr>
              <w:pStyle w:val="ListBullet2"/>
            </w:pPr>
            <w:r w:rsidRPr="00A16618">
              <w:t>use of tools and equipment</w:t>
            </w:r>
          </w:p>
          <w:p w:rsidR="00000000" w:rsidRPr="00A16618" w:rsidP="00A16618">
            <w:pPr>
              <w:pStyle w:val="ListBullet2"/>
            </w:pPr>
            <w:r w:rsidRPr="00A16618">
              <w:t>workplace environment and safety</w:t>
            </w:r>
          </w:p>
          <w:p w:rsidR="00000000" w:rsidRPr="00A16618" w:rsidP="00A16618">
            <w:pPr>
              <w:pStyle w:val="ListBullet2"/>
            </w:pPr>
            <w:r w:rsidRPr="00A16618">
              <w:t>handling of materials</w:t>
            </w:r>
          </w:p>
          <w:p w:rsidR="00000000" w:rsidRPr="00A16618" w:rsidP="00A16618">
            <w:pPr>
              <w:pStyle w:val="ListBullet2"/>
            </w:pPr>
            <w:r w:rsidRPr="00A16618">
              <w:t>use of fire fighting equipment</w:t>
            </w:r>
          </w:p>
          <w:p w:rsidR="00000000" w:rsidRPr="00A16618" w:rsidP="00A16618">
            <w:pPr>
              <w:pStyle w:val="ListBullet2"/>
            </w:pPr>
            <w:r w:rsidRPr="00A16618">
              <w:t>use of first aid equipme</w:t>
            </w:r>
            <w:r w:rsidRPr="00A16618">
              <w:t>nt</w:t>
            </w:r>
          </w:p>
          <w:p w:rsidR="00000000" w:rsidRPr="00A16618" w:rsidP="00A16618">
            <w:pPr>
              <w:pStyle w:val="ListBullet2"/>
            </w:pPr>
            <w:r w:rsidRPr="00A16618">
              <w:t>hazard control and hazardous materials and substances</w:t>
            </w:r>
          </w:p>
          <w:p w:rsidR="00000000" w:rsidRPr="00A16618" w:rsidP="00A16618">
            <w:pPr>
              <w:pStyle w:val="ListBullet2"/>
            </w:pPr>
            <w:r w:rsidRPr="00A16618">
              <w:t>relevant local government by-laws</w:t>
            </w:r>
          </w:p>
          <w:p w:rsidR="00000000" w:rsidRPr="00A16618" w:rsidP="00A16618">
            <w:pPr>
              <w:pStyle w:val="ListBullet"/>
            </w:pPr>
            <w:r w:rsidRPr="00A16618">
              <w:t>relevant government and non-government policies and regulations, such as:</w:t>
            </w:r>
          </w:p>
          <w:p w:rsidR="00000000" w:rsidRPr="00A16618" w:rsidP="00A16618">
            <w:pPr>
              <w:pStyle w:val="ListBullet2"/>
            </w:pPr>
            <w:r w:rsidRPr="00A16618">
              <w:t>National Water Initiative</w:t>
            </w:r>
          </w:p>
          <w:p w:rsidR="00000000" w:rsidRPr="00A16618" w:rsidP="00A16618">
            <w:pPr>
              <w:pStyle w:val="ListBullet2"/>
            </w:pPr>
            <w:r w:rsidRPr="00A16618">
              <w:t>Murray Darling Basin Water Agreement</w:t>
            </w:r>
          </w:p>
          <w:p w:rsidR="00000000" w:rsidP="00A16618">
            <w:pPr>
              <w:pStyle w:val="ListBullet"/>
              <w:rPr>
                <w:lang w:val="en-NZ"/>
              </w:rPr>
            </w:pPr>
            <w:r w:rsidRPr="00A16618">
              <w:t>relevant community planning and development agreements, such as land care agreements</w:t>
            </w:r>
          </w:p>
        </w:tc>
      </w:tr>
      <w:tr w:rsidTr="00C061CF">
        <w:tblPrEx>
          <w:tblW w:w="0" w:type="auto"/>
          <w:tblLayout w:type="fixed"/>
          <w:tblCellMar>
            <w:left w:w="62" w:type="dxa"/>
            <w:right w:w="62" w:type="dxa"/>
          </w:tblCellMar>
          <w:tblLook w:val="0000"/>
        </w:tblPrEx>
        <w:tc>
          <w:tcPr>
            <w:tcW w:w="2866" w:type="dxa"/>
            <w:tcBorders>
              <w:top w:val="nil"/>
              <w:left w:val="nil"/>
              <w:bottom w:val="nil"/>
              <w:right w:val="nil"/>
            </w:tcBorders>
            <w:tcMar>
              <w:top w:w="0" w:type="dxa"/>
              <w:left w:w="62" w:type="dxa"/>
              <w:bottom w:w="0" w:type="dxa"/>
              <w:right w:w="62" w:type="dxa"/>
            </w:tcMar>
          </w:tcPr>
          <w:p w:rsidR="00000000" w:rsidP="00A16618">
            <w:pPr>
              <w:pStyle w:val="BodyText"/>
              <w:rPr>
                <w:lang w:val="en-NZ"/>
              </w:rPr>
            </w:pPr>
            <w:r w:rsidRPr="00A16618">
              <w:rPr>
                <w:rStyle w:val="BoldandItalics"/>
              </w:rPr>
              <w:t>Performance indicators</w:t>
            </w:r>
            <w:r w:rsidRPr="00A16618">
              <w:t xml:space="preserve"> to evaluate options for infrastructure and service delivery systems may include:</w:t>
            </w:r>
          </w:p>
        </w:tc>
        <w:tc>
          <w:tcPr>
            <w:tcW w:w="5656" w:type="dxa"/>
            <w:tcBorders>
              <w:top w:val="nil"/>
              <w:left w:val="nil"/>
              <w:bottom w:val="nil"/>
              <w:right w:val="nil"/>
            </w:tcBorders>
            <w:tcMar>
              <w:top w:w="0" w:type="dxa"/>
              <w:left w:w="62" w:type="dxa"/>
              <w:bottom w:w="0" w:type="dxa"/>
              <w:right w:w="62" w:type="dxa"/>
            </w:tcMar>
          </w:tcPr>
          <w:p w:rsidR="00000000" w:rsidRPr="00A16618" w:rsidP="00A16618">
            <w:pPr>
              <w:pStyle w:val="ListBullet"/>
            </w:pPr>
            <w:r w:rsidRPr="00A16618">
              <w:t>cost efficiency</w:t>
            </w:r>
          </w:p>
          <w:p w:rsidR="00000000" w:rsidRPr="00A16618" w:rsidP="00A16618">
            <w:pPr>
              <w:pStyle w:val="ListBullet"/>
            </w:pPr>
            <w:r w:rsidRPr="00A16618">
              <w:t>flexibility and ability to re</w:t>
            </w:r>
            <w:r w:rsidRPr="00A16618">
              <w:t>spond to changing community demands</w:t>
            </w:r>
          </w:p>
          <w:p w:rsidR="00000000" w:rsidRPr="00A16618" w:rsidP="00A16618">
            <w:pPr>
              <w:pStyle w:val="ListBullet"/>
            </w:pPr>
            <w:r w:rsidRPr="00A16618">
              <w:t>environmental sustainability</w:t>
            </w:r>
          </w:p>
          <w:p w:rsidR="00000000" w:rsidRPr="00A16618" w:rsidP="00A16618">
            <w:pPr>
              <w:pStyle w:val="ListBullet"/>
            </w:pPr>
            <w:r w:rsidRPr="00A16618">
              <w:t>congruence with current infrastructure</w:t>
            </w:r>
          </w:p>
          <w:p w:rsidR="00000000" w:rsidRPr="00A16618" w:rsidP="00A16618">
            <w:pPr>
              <w:pStyle w:val="ListBullet"/>
            </w:pPr>
            <w:r w:rsidRPr="00A16618">
              <w:t>level of staff required for operations</w:t>
            </w:r>
          </w:p>
          <w:p w:rsidR="00000000" w:rsidP="00A16618">
            <w:pPr>
              <w:pStyle w:val="ListBullet"/>
              <w:rPr>
                <w:lang w:val="en-NZ"/>
              </w:rPr>
            </w:pPr>
            <w:r w:rsidRPr="00A16618">
              <w:t>maintenance costs</w:t>
            </w:r>
          </w:p>
        </w:tc>
      </w:tr>
      <w:tr w:rsidTr="00C061CF">
        <w:tblPrEx>
          <w:tblW w:w="0" w:type="auto"/>
          <w:tblLayout w:type="fixed"/>
          <w:tblCellMar>
            <w:left w:w="62" w:type="dxa"/>
            <w:right w:w="62" w:type="dxa"/>
          </w:tblCellMar>
          <w:tblLook w:val="0000"/>
        </w:tblPrEx>
        <w:tc>
          <w:tcPr>
            <w:tcW w:w="2866" w:type="dxa"/>
            <w:tcBorders>
              <w:top w:val="nil"/>
              <w:left w:val="nil"/>
              <w:bottom w:val="nil"/>
              <w:right w:val="nil"/>
            </w:tcBorders>
            <w:tcMar>
              <w:top w:w="0" w:type="dxa"/>
              <w:left w:w="62" w:type="dxa"/>
              <w:bottom w:w="0" w:type="dxa"/>
              <w:right w:w="62" w:type="dxa"/>
            </w:tcMar>
          </w:tcPr>
          <w:p w:rsidR="00000000" w:rsidP="00A16618">
            <w:pPr>
              <w:pStyle w:val="BodyText"/>
              <w:rPr>
                <w:lang w:val="en-NZ"/>
              </w:rPr>
            </w:pPr>
            <w:r w:rsidRPr="00A16618">
              <w:rPr>
                <w:rStyle w:val="BoldandItalics"/>
              </w:rPr>
              <w:t>Plan</w:t>
            </w:r>
            <w:r w:rsidRPr="00A16618">
              <w:t xml:space="preserve"> for implementation of strategy may include:</w:t>
            </w:r>
          </w:p>
        </w:tc>
        <w:tc>
          <w:tcPr>
            <w:tcW w:w="5656" w:type="dxa"/>
            <w:tcBorders>
              <w:top w:val="nil"/>
              <w:left w:val="nil"/>
              <w:bottom w:val="nil"/>
              <w:right w:val="nil"/>
            </w:tcBorders>
            <w:tcMar>
              <w:top w:w="0" w:type="dxa"/>
              <w:left w:w="62" w:type="dxa"/>
              <w:bottom w:w="0" w:type="dxa"/>
              <w:right w:w="62" w:type="dxa"/>
            </w:tcMar>
          </w:tcPr>
          <w:p w:rsidR="00000000" w:rsidRPr="00A16618" w:rsidP="00A16618">
            <w:pPr>
              <w:pStyle w:val="ListBullet"/>
            </w:pPr>
            <w:r w:rsidRPr="00A16618">
              <w:t>budget</w:t>
            </w:r>
          </w:p>
          <w:p w:rsidR="00000000" w:rsidRPr="00A16618" w:rsidP="00A16618">
            <w:pPr>
              <w:pStyle w:val="ListBullet"/>
            </w:pPr>
            <w:r w:rsidRPr="00A16618">
              <w:t>timelines</w:t>
            </w:r>
          </w:p>
          <w:p w:rsidR="00000000" w:rsidRPr="00A16618" w:rsidP="00A16618">
            <w:pPr>
              <w:pStyle w:val="ListBullet"/>
            </w:pPr>
            <w:r w:rsidRPr="00A16618">
              <w:t>human resource requirements</w:t>
            </w:r>
          </w:p>
        </w:tc>
      </w:tr>
    </w:tbl>
    <w:p w:rsidR="00C061CF" w:rsidP="00A16618">
      <w:pPr>
        <w:pStyle w:val="BodyText"/>
      </w:pPr>
    </w:p>
    <w:p w:rsidR="00C061CF" w:rsidP="00A16618">
      <w:pPr>
        <w:pStyle w:val="BodyText"/>
      </w:pPr>
    </w:p>
    <w:p w:rsidR="00000000" w:rsidRPr="00A16618" w:rsidP="00A16618">
      <w:pPr>
        <w:pStyle w:val="Heading1"/>
      </w:pPr>
      <w:bookmarkStart w:id="12" w:name="O_403037"/>
      <w:bookmarkEnd w:id="12"/>
      <w:r w:rsidRPr="00A16618">
        <w:t>Unit Sector(s)</w:t>
      </w:r>
    </w:p>
    <w:p w:rsidR="00000000" w:rsidRPr="00A16618" w:rsidP="00A16618">
      <w:pPr>
        <w:pStyle w:val="BodyText"/>
      </w:pPr>
      <w:r w:rsidRPr="00A16618">
        <w:t>Not applicable.</w:t>
      </w:r>
    </w:p>
    <w:p w:rsidR="00000000" w:rsidRPr="00A16618" w:rsidP="00A16618">
      <w:pPr>
        <w:pStyle w:val="AllowPageBreak"/>
      </w:pPr>
    </w:p>
    <w:p w:rsidR="00000000" w:rsidRPr="00A16618" w:rsidP="00A16618">
      <w:pPr>
        <w:pStyle w:val="Heading1"/>
      </w:pPr>
      <w:bookmarkStart w:id="13" w:name="O_403051"/>
      <w:bookmarkEnd w:id="13"/>
      <w:r w:rsidRPr="00A16618">
        <w:t>Competency field</w:t>
      </w:r>
    </w:p>
    <w:p w:rsidR="00000000" w:rsidRPr="00A16618" w:rsidP="00A16618">
      <w:pPr>
        <w:pStyle w:val="BodyText"/>
      </w:pPr>
      <w:r w:rsidRPr="00A16618">
        <w:t>Leadership.</w:t>
      </w:r>
    </w:p>
    <w:p w:rsidR="00000000" w:rsidRPr="00A16618" w:rsidP="00A16618"/>
    <w:sectPr w:rsidSect="00A166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6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1CF" w:rsidP="00C061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6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1CF" w:rsidP="00A166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61CF" w:rsidP="00A166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061CF" w:rsidP="00A166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6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618" w:rsidRPr="00C061CF" w:rsidP="00C061C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6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1CF" w:rsidP="00A16618">
    <w:pPr>
      <w:pStyle w:val="Header"/>
      <w:framePr w:wrap="around"/>
    </w:pPr>
    <w:r>
      <w:fldChar w:fldCharType="begin"/>
    </w:r>
    <w:r>
      <w:instrText xml:space="preserve"> TITLE   \* MERGEFORMAT </w:instrText>
    </w:r>
    <w:r>
      <w:fldChar w:fldCharType="separate"/>
    </w:r>
    <w:r>
      <w:t>NWP703A Lead water planning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61CF" w:rsidP="00A166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C0E1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1CE0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94F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6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6618"/>
    <w:pPr>
      <w:spacing w:before="360" w:after="60"/>
      <w:outlineLvl w:val="0"/>
    </w:pPr>
    <w:rPr>
      <w:sz w:val="32"/>
    </w:rPr>
  </w:style>
  <w:style w:type="paragraph" w:styleId="Heading2">
    <w:name w:val="heading 2"/>
    <w:basedOn w:val="HeadingBase"/>
    <w:next w:val="BodyText"/>
    <w:link w:val="Heading2Char"/>
    <w:qFormat/>
    <w:rsid w:val="00A16618"/>
    <w:pPr>
      <w:keepLines/>
      <w:spacing w:before="240" w:after="120"/>
      <w:outlineLvl w:val="1"/>
    </w:pPr>
    <w:rPr>
      <w:sz w:val="28"/>
      <w:szCs w:val="40"/>
    </w:rPr>
  </w:style>
  <w:style w:type="paragraph" w:styleId="Heading3">
    <w:name w:val="heading 3"/>
    <w:basedOn w:val="HeadingBase"/>
    <w:next w:val="BodyText"/>
    <w:link w:val="Heading3Char"/>
    <w:qFormat/>
    <w:rsid w:val="00A16618"/>
    <w:pPr>
      <w:spacing w:before="180" w:after="120"/>
      <w:outlineLvl w:val="2"/>
    </w:pPr>
    <w:rPr>
      <w:spacing w:val="-10"/>
      <w:kern w:val="32"/>
    </w:rPr>
  </w:style>
  <w:style w:type="paragraph" w:styleId="Heading4">
    <w:name w:val="heading 4"/>
    <w:basedOn w:val="HeadingBase"/>
    <w:next w:val="BodyText"/>
    <w:link w:val="Heading4Char"/>
    <w:qFormat/>
    <w:rsid w:val="00A16618"/>
    <w:pPr>
      <w:spacing w:before="160" w:after="120"/>
      <w:outlineLvl w:val="3"/>
    </w:pPr>
    <w:rPr>
      <w:sz w:val="22"/>
    </w:rPr>
  </w:style>
  <w:style w:type="paragraph" w:styleId="Heading5">
    <w:name w:val="heading 5"/>
    <w:basedOn w:val="HeadingBase"/>
    <w:next w:val="Normal"/>
    <w:link w:val="Heading5Char"/>
    <w:qFormat/>
    <w:rsid w:val="00A16618"/>
    <w:pPr>
      <w:spacing w:before="80"/>
      <w:outlineLvl w:val="4"/>
    </w:pPr>
    <w:rPr>
      <w:color w:val="918585"/>
      <w:sz w:val="20"/>
    </w:rPr>
  </w:style>
  <w:style w:type="paragraph" w:styleId="Heading6">
    <w:name w:val="heading 6"/>
    <w:basedOn w:val="HeadingBase"/>
    <w:next w:val="Normal"/>
    <w:link w:val="Heading6Char"/>
    <w:qFormat/>
    <w:rsid w:val="00A16618"/>
    <w:pPr>
      <w:spacing w:before="60"/>
      <w:outlineLvl w:val="5"/>
    </w:pPr>
    <w:rPr>
      <w:color w:val="918585"/>
      <w:sz w:val="20"/>
    </w:rPr>
  </w:style>
  <w:style w:type="paragraph" w:styleId="Heading7">
    <w:name w:val="heading 7"/>
    <w:basedOn w:val="Normal"/>
    <w:next w:val="Normal"/>
    <w:link w:val="Heading7Char"/>
    <w:qFormat/>
    <w:rsid w:val="00A16618"/>
    <w:pPr>
      <w:ind w:left="720"/>
      <w:outlineLvl w:val="6"/>
    </w:pPr>
    <w:rPr>
      <w:i/>
    </w:rPr>
  </w:style>
  <w:style w:type="paragraph" w:styleId="Heading8">
    <w:name w:val="heading 8"/>
    <w:basedOn w:val="Normal"/>
    <w:next w:val="Normal"/>
    <w:link w:val="Heading8Char"/>
    <w:qFormat/>
    <w:rsid w:val="00A16618"/>
    <w:pPr>
      <w:ind w:left="720"/>
      <w:outlineLvl w:val="7"/>
    </w:pPr>
    <w:rPr>
      <w:i/>
    </w:rPr>
  </w:style>
  <w:style w:type="paragraph" w:styleId="Heading9">
    <w:name w:val="heading 9"/>
    <w:basedOn w:val="Normal"/>
    <w:next w:val="Normal"/>
    <w:link w:val="Heading9Char"/>
    <w:qFormat/>
    <w:rsid w:val="00A16618"/>
    <w:pPr>
      <w:ind w:left="720"/>
      <w:outlineLvl w:val="8"/>
    </w:pPr>
    <w:rPr>
      <w:i/>
    </w:rPr>
  </w:style>
  <w:style w:type="character" w:default="1" w:styleId="DefaultParagraphFont">
    <w:name w:val="Default Paragraph Font"/>
    <w:uiPriority w:val="1"/>
    <w:unhideWhenUsed/>
    <w:rsid w:val="00A166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618"/>
  </w:style>
  <w:style w:type="character" w:customStyle="1" w:styleId="Heading1Char">
    <w:name w:val="Heading 1 Char"/>
    <w:link w:val="Heading1"/>
    <w:rsid w:val="00A16618"/>
    <w:rPr>
      <w:rFonts w:ascii="Times New Roman" w:eastAsia="Times New Roman" w:hAnsi="Times New Roman" w:cs="Times New Roman"/>
      <w:b/>
      <w:sz w:val="32"/>
      <w:szCs w:val="20"/>
      <w:lang w:eastAsia="en-US"/>
    </w:rPr>
  </w:style>
  <w:style w:type="paragraph" w:styleId="BodyText">
    <w:name w:val="Body Text"/>
    <w:basedOn w:val="Normal"/>
    <w:link w:val="BodyTextChar"/>
    <w:rsid w:val="00A16618"/>
    <w:pPr>
      <w:spacing w:before="120" w:after="120"/>
      <w:contextualSpacing/>
    </w:pPr>
    <w:rPr>
      <w:rFonts w:ascii="Times New Roman" w:hAnsi="Times New Roman"/>
      <w:sz w:val="24"/>
      <w:szCs w:val="22"/>
    </w:rPr>
  </w:style>
  <w:style w:type="character" w:customStyle="1" w:styleId="BodyTextChar">
    <w:name w:val="Body Text Char"/>
    <w:link w:val="BodyText"/>
    <w:rsid w:val="00A16618"/>
    <w:rPr>
      <w:rFonts w:ascii="Times New Roman" w:eastAsia="Times New Roman" w:hAnsi="Times New Roman" w:cs="Times New Roman"/>
      <w:sz w:val="24"/>
      <w:lang w:val="en-US" w:eastAsia="en-US"/>
    </w:rPr>
  </w:style>
  <w:style w:type="paragraph" w:styleId="Footer">
    <w:name w:val="footer"/>
    <w:basedOn w:val="Normal"/>
    <w:link w:val="FooterChar"/>
    <w:rsid w:val="00A166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16618"/>
    <w:rPr>
      <w:rFonts w:ascii="Times New Roman" w:eastAsia="Times New Roman" w:hAnsi="Times New Roman" w:cs="Times New Roman"/>
      <w:sz w:val="16"/>
      <w:lang w:val="en-US" w:eastAsia="en-US"/>
    </w:rPr>
  </w:style>
  <w:style w:type="paragraph" w:styleId="List">
    <w:name w:val="List"/>
    <w:basedOn w:val="BodyText"/>
    <w:next w:val="BodyText"/>
    <w:rsid w:val="00A16618"/>
    <w:pPr>
      <w:tabs>
        <w:tab w:val="left" w:pos="340"/>
      </w:tabs>
      <w:spacing w:before="60" w:after="60"/>
      <w:ind w:left="340" w:hanging="340"/>
    </w:pPr>
  </w:style>
  <w:style w:type="paragraph" w:styleId="ListBullet">
    <w:name w:val="List Bullet"/>
    <w:basedOn w:val="List"/>
    <w:rsid w:val="00A16618"/>
    <w:pPr>
      <w:numPr>
        <w:numId w:val="13"/>
      </w:numPr>
      <w:tabs>
        <w:tab w:val="clear" w:pos="340"/>
      </w:tabs>
      <w:spacing w:before="40" w:after="40"/>
    </w:pPr>
  </w:style>
  <w:style w:type="character" w:customStyle="1" w:styleId="SpecialBold">
    <w:name w:val="Special Bold"/>
    <w:rsid w:val="00A16618"/>
    <w:rPr>
      <w:b/>
      <w:spacing w:val="0"/>
    </w:rPr>
  </w:style>
  <w:style w:type="paragraph" w:styleId="ListBullet2">
    <w:name w:val="List Bullet 2"/>
    <w:basedOn w:val="List2"/>
    <w:rsid w:val="00A16618"/>
    <w:pPr>
      <w:numPr>
        <w:numId w:val="14"/>
      </w:numPr>
      <w:tabs>
        <w:tab w:val="clear" w:pos="680"/>
      </w:tabs>
    </w:pPr>
  </w:style>
  <w:style w:type="paragraph" w:customStyle="1" w:styleId="SuperHeading">
    <w:name w:val="SuperHeading"/>
    <w:basedOn w:val="Normal"/>
    <w:rsid w:val="00A16618"/>
    <w:pPr>
      <w:spacing w:before="240" w:after="120"/>
      <w:outlineLvl w:val="0"/>
    </w:pPr>
    <w:rPr>
      <w:rFonts w:ascii="Times New Roman" w:hAnsi="Times New Roman"/>
      <w:b/>
      <w:sz w:val="28"/>
    </w:rPr>
  </w:style>
  <w:style w:type="paragraph" w:customStyle="1" w:styleId="AllowPageBreak">
    <w:name w:val="AllowPageBreak"/>
    <w:rsid w:val="00A166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6618"/>
    <w:rPr>
      <w:b/>
      <w:i/>
      <w:u w:val="none"/>
    </w:rPr>
  </w:style>
  <w:style w:type="character" w:customStyle="1" w:styleId="Heading2Char">
    <w:name w:val="Heading 2 Char"/>
    <w:link w:val="Heading2"/>
    <w:rsid w:val="00A16618"/>
    <w:rPr>
      <w:rFonts w:ascii="Times New Roman" w:eastAsia="Times New Roman" w:hAnsi="Times New Roman" w:cs="Times New Roman"/>
      <w:b/>
      <w:sz w:val="28"/>
      <w:szCs w:val="40"/>
      <w:lang w:eastAsia="en-US"/>
    </w:rPr>
  </w:style>
  <w:style w:type="character" w:customStyle="1" w:styleId="Heading3Char">
    <w:name w:val="Heading 3 Char"/>
    <w:link w:val="Heading3"/>
    <w:rsid w:val="00A1661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16618"/>
    <w:rPr>
      <w:rFonts w:ascii="Times New Roman" w:eastAsia="Times New Roman" w:hAnsi="Times New Roman" w:cs="Times New Roman"/>
      <w:b/>
      <w:szCs w:val="20"/>
      <w:lang w:eastAsia="en-US"/>
    </w:rPr>
  </w:style>
  <w:style w:type="character" w:customStyle="1" w:styleId="Heading5Char">
    <w:name w:val="Heading 5 Char"/>
    <w:link w:val="Heading5"/>
    <w:rsid w:val="00A1661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166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6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66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6618"/>
    <w:rPr>
      <w:rFonts w:ascii="Courier New" w:eastAsia="Times New Roman" w:hAnsi="Courier New" w:cs="Times New Roman"/>
      <w:i/>
      <w:szCs w:val="20"/>
      <w:lang w:val="en-US" w:eastAsia="en-US"/>
    </w:rPr>
  </w:style>
  <w:style w:type="paragraph" w:customStyle="1" w:styleId="HeadingBase">
    <w:name w:val="Heading Base"/>
    <w:rsid w:val="00A166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618"/>
    <w:pPr>
      <w:tabs>
        <w:tab w:val="right" w:leader="dot" w:pos="9072"/>
      </w:tabs>
      <w:ind w:left="567"/>
    </w:pPr>
    <w:rPr>
      <w:szCs w:val="22"/>
    </w:rPr>
  </w:style>
  <w:style w:type="paragraph" w:customStyle="1" w:styleId="TOCBase">
    <w:name w:val="TOC Base"/>
    <w:rsid w:val="00A166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618"/>
    <w:pPr>
      <w:tabs>
        <w:tab w:val="right" w:leader="dot" w:pos="9072"/>
      </w:tabs>
      <w:spacing w:before="40" w:after="40"/>
      <w:ind w:left="284"/>
    </w:pPr>
    <w:rPr>
      <w:rFonts w:ascii="Times New Roman" w:hAnsi="Times New Roman"/>
    </w:rPr>
  </w:style>
  <w:style w:type="paragraph" w:styleId="TOC1">
    <w:name w:val="toc 1"/>
    <w:basedOn w:val="TOCBase"/>
    <w:next w:val="Normal"/>
    <w:rsid w:val="00A166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6618"/>
    <w:pPr>
      <w:spacing w:before="5040"/>
      <w:jc w:val="center"/>
    </w:pPr>
    <w:rPr>
      <w:sz w:val="48"/>
      <w:szCs w:val="72"/>
      <w:lang w:val="en-US"/>
    </w:rPr>
  </w:style>
  <w:style w:type="character" w:customStyle="1" w:styleId="TitleChar">
    <w:name w:val="Title Char"/>
    <w:link w:val="Title"/>
    <w:rsid w:val="00A166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618"/>
    <w:pPr>
      <w:tabs>
        <w:tab w:val="left" w:pos="3600"/>
        <w:tab w:val="left" w:pos="3958"/>
      </w:tabs>
    </w:pPr>
  </w:style>
  <w:style w:type="paragraph" w:customStyle="1" w:styleId="Note">
    <w:name w:val="Note"/>
    <w:basedOn w:val="BodyText"/>
    <w:rsid w:val="00A166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618"/>
    <w:pPr>
      <w:framePr w:wrap="auto" w:hAnchor="text" w:y="6049"/>
    </w:pPr>
    <w:rPr>
      <w:color w:val="000000"/>
      <w:sz w:val="40"/>
    </w:rPr>
  </w:style>
  <w:style w:type="paragraph" w:customStyle="1" w:styleId="TOCTitle">
    <w:name w:val="TOCTitle"/>
    <w:basedOn w:val="Heading1"/>
    <w:rsid w:val="00A16618"/>
    <w:pPr>
      <w:spacing w:after="240"/>
      <w:jc w:val="center"/>
      <w:outlineLvl w:val="9"/>
    </w:pPr>
    <w:rPr>
      <w:caps/>
    </w:rPr>
  </w:style>
  <w:style w:type="paragraph" w:customStyle="1" w:styleId="Version">
    <w:name w:val="Version"/>
    <w:rsid w:val="00A166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6618"/>
    <w:pPr>
      <w:keepNext w:val="0"/>
      <w:tabs>
        <w:tab w:val="right" w:pos="4176"/>
      </w:tabs>
      <w:ind w:left="198" w:hanging="198"/>
    </w:pPr>
    <w:rPr>
      <w:rFonts w:ascii="Garamond" w:hAnsi="Garamond"/>
    </w:rPr>
  </w:style>
  <w:style w:type="paragraph" w:styleId="IndexHeading">
    <w:name w:val="index heading"/>
    <w:basedOn w:val="Normal"/>
    <w:next w:val="Index1"/>
    <w:semiHidden/>
    <w:rsid w:val="00A16618"/>
    <w:pPr>
      <w:spacing w:before="120" w:after="120"/>
    </w:pPr>
    <w:rPr>
      <w:rFonts w:ascii="Arial" w:hAnsi="Arial"/>
      <w:b/>
      <w:color w:val="918585"/>
      <w:sz w:val="24"/>
    </w:rPr>
  </w:style>
  <w:style w:type="paragraph" w:styleId="Header">
    <w:name w:val="header"/>
    <w:basedOn w:val="Normal"/>
    <w:link w:val="HeaderChar"/>
    <w:rsid w:val="00A166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16618"/>
    <w:rPr>
      <w:rFonts w:ascii="Times New Roman" w:eastAsia="Times New Roman" w:hAnsi="Times New Roman" w:cs="Times New Roman"/>
      <w:sz w:val="16"/>
      <w:szCs w:val="20"/>
      <w:lang w:val="en-GB" w:eastAsia="en-US"/>
    </w:rPr>
  </w:style>
  <w:style w:type="paragraph" w:customStyle="1" w:styleId="Chapter">
    <w:name w:val="Chapter"/>
    <w:basedOn w:val="Normal"/>
    <w:rsid w:val="00A16618"/>
    <w:pPr>
      <w:spacing w:before="240"/>
    </w:pPr>
    <w:rPr>
      <w:rFonts w:ascii="Times New Roman" w:hAnsi="Times New Roman"/>
      <w:smallCaps/>
      <w:spacing w:val="80"/>
      <w:sz w:val="28"/>
    </w:rPr>
  </w:style>
  <w:style w:type="paragraph" w:customStyle="1" w:styleId="InChapter">
    <w:name w:val="InChapter"/>
    <w:basedOn w:val="Heading3"/>
    <w:rsid w:val="00A16618"/>
    <w:pPr>
      <w:spacing w:after="240"/>
      <w:outlineLvl w:val="9"/>
    </w:pPr>
    <w:rPr>
      <w:noProof/>
    </w:rPr>
  </w:style>
  <w:style w:type="paragraph" w:styleId="Index2">
    <w:name w:val="index 2"/>
    <w:basedOn w:val="Normal"/>
    <w:next w:val="Normal"/>
    <w:semiHidden/>
    <w:rsid w:val="00A16618"/>
    <w:pPr>
      <w:tabs>
        <w:tab w:val="right" w:pos="4176"/>
      </w:tabs>
      <w:ind w:left="568" w:hanging="284"/>
    </w:pPr>
    <w:rPr>
      <w:rFonts w:ascii="Garamond" w:hAnsi="Garamond"/>
    </w:rPr>
  </w:style>
  <w:style w:type="paragraph" w:customStyle="1" w:styleId="Byline">
    <w:name w:val="Byline"/>
    <w:rsid w:val="00A166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618"/>
    <w:pPr>
      <w:tabs>
        <w:tab w:val="clear" w:pos="3600"/>
        <w:tab w:val="clear" w:pos="3958"/>
      </w:tabs>
      <w:jc w:val="right"/>
    </w:pPr>
  </w:style>
  <w:style w:type="character" w:styleId="Emphasis">
    <w:name w:val="Emphasis"/>
    <w:qFormat/>
    <w:rsid w:val="00A16618"/>
    <w:rPr>
      <w:i/>
    </w:rPr>
  </w:style>
  <w:style w:type="paragraph" w:styleId="Caption">
    <w:name w:val="caption"/>
    <w:basedOn w:val="BodyText"/>
    <w:next w:val="Normal"/>
    <w:qFormat/>
    <w:rsid w:val="00A16618"/>
    <w:pPr>
      <w:framePr w:w="2268" w:hSpace="181" w:vSpace="181" w:wrap="around" w:vAnchor="text" w:hAnchor="page" w:x="1135" w:y="285" w:anchorLock="1"/>
    </w:pPr>
    <w:rPr>
      <w:i/>
    </w:rPr>
  </w:style>
  <w:style w:type="paragraph" w:customStyle="1" w:styleId="MiniTOCTitle">
    <w:name w:val="MiniTOCTitle"/>
    <w:basedOn w:val="Heading4"/>
    <w:rsid w:val="00A16618"/>
    <w:pPr>
      <w:spacing w:before="240"/>
      <w:outlineLvl w:val="9"/>
    </w:pPr>
    <w:rPr>
      <w:noProof/>
      <w:sz w:val="24"/>
    </w:rPr>
  </w:style>
  <w:style w:type="paragraph" w:customStyle="1" w:styleId="MiniTOCItem">
    <w:name w:val="MiniTOCItem"/>
    <w:basedOn w:val="ListBullet"/>
    <w:rsid w:val="00A16618"/>
    <w:pPr>
      <w:numPr>
        <w:numId w:val="0"/>
      </w:numPr>
      <w:tabs>
        <w:tab w:val="right" w:leader="dot" w:pos="6521"/>
      </w:tabs>
      <w:spacing w:before="0" w:after="0"/>
    </w:pPr>
  </w:style>
  <w:style w:type="paragraph" w:customStyle="1" w:styleId="TOFTitle">
    <w:name w:val="TOFTitle"/>
    <w:basedOn w:val="TOCTitle"/>
    <w:rsid w:val="00A16618"/>
  </w:style>
  <w:style w:type="paragraph" w:styleId="TableofFigures">
    <w:name w:val="table of figures"/>
    <w:basedOn w:val="Normal"/>
    <w:next w:val="Normal"/>
    <w:semiHidden/>
    <w:rsid w:val="00A16618"/>
    <w:pPr>
      <w:tabs>
        <w:tab w:val="right" w:leader="dot" w:pos="9072"/>
      </w:tabs>
      <w:ind w:left="970" w:hanging="403"/>
    </w:pPr>
    <w:rPr>
      <w:rFonts w:ascii="Times New Roman" w:hAnsi="Times New Roman"/>
      <w:b/>
    </w:rPr>
  </w:style>
  <w:style w:type="paragraph" w:styleId="ListNumber">
    <w:name w:val="List Number"/>
    <w:basedOn w:val="List"/>
    <w:rsid w:val="00A16618"/>
    <w:pPr>
      <w:numPr>
        <w:numId w:val="11"/>
      </w:numPr>
    </w:pPr>
  </w:style>
  <w:style w:type="character" w:customStyle="1" w:styleId="WingdingSymbols">
    <w:name w:val="Wingding Symbols"/>
    <w:rsid w:val="00A16618"/>
    <w:rPr>
      <w:rFonts w:ascii="Wingdings" w:hAnsi="Wingdings"/>
    </w:rPr>
  </w:style>
  <w:style w:type="paragraph" w:customStyle="1" w:styleId="TableHeading">
    <w:name w:val="Table Heading"/>
    <w:basedOn w:val="HeadingBase"/>
    <w:rsid w:val="00A16618"/>
    <w:pPr>
      <w:keepLines/>
      <w:pBdr>
        <w:bottom w:val="single" w:sz="6" w:space="1" w:color="918585"/>
      </w:pBdr>
      <w:spacing w:before="240"/>
    </w:pPr>
  </w:style>
  <w:style w:type="character" w:customStyle="1" w:styleId="HotSpot">
    <w:name w:val="HotSpot"/>
    <w:rsid w:val="00A16618"/>
    <w:rPr>
      <w:color w:val="0033CC"/>
      <w:u w:val="none"/>
    </w:rPr>
  </w:style>
  <w:style w:type="paragraph" w:customStyle="1" w:styleId="BodyTextRight">
    <w:name w:val="Body Text Right"/>
    <w:basedOn w:val="BodyText"/>
    <w:rsid w:val="00A16618"/>
    <w:pPr>
      <w:spacing w:before="0" w:after="0"/>
      <w:jc w:val="right"/>
    </w:pPr>
  </w:style>
  <w:style w:type="paragraph" w:styleId="Index3">
    <w:name w:val="index 3"/>
    <w:basedOn w:val="ListNumber2"/>
    <w:next w:val="Normal"/>
    <w:semiHidden/>
    <w:rsid w:val="00A16618"/>
    <w:pPr>
      <w:numPr>
        <w:numId w:val="0"/>
      </w:numPr>
      <w:tabs>
        <w:tab w:val="right" w:leader="dot" w:pos="4176"/>
      </w:tabs>
    </w:pPr>
  </w:style>
  <w:style w:type="paragraph" w:styleId="ListNumber2">
    <w:name w:val="List Number 2"/>
    <w:basedOn w:val="List2"/>
    <w:rsid w:val="00A16618"/>
    <w:pPr>
      <w:numPr>
        <w:numId w:val="10"/>
      </w:numPr>
      <w:tabs>
        <w:tab w:val="clear" w:pos="1060"/>
      </w:tabs>
    </w:pPr>
  </w:style>
  <w:style w:type="paragraph" w:customStyle="1" w:styleId="MarginNote">
    <w:name w:val="Margin Note"/>
    <w:basedOn w:val="BodyText"/>
    <w:rsid w:val="00A166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6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166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6618"/>
    <w:rPr>
      <w:sz w:val="32"/>
    </w:rPr>
  </w:style>
  <w:style w:type="paragraph" w:customStyle="1" w:styleId="HeadingProcedure">
    <w:name w:val="Heading Procedure"/>
    <w:basedOn w:val="HeadingBase"/>
    <w:next w:val="Normal"/>
    <w:rsid w:val="00A16618"/>
    <w:pPr>
      <w:tabs>
        <w:tab w:val="left" w:pos="0"/>
      </w:tabs>
      <w:spacing w:before="120" w:after="60"/>
    </w:pPr>
    <w:rPr>
      <w:i/>
      <w:color w:val="918585"/>
      <w:sz w:val="22"/>
    </w:rPr>
  </w:style>
  <w:style w:type="paragraph" w:customStyle="1" w:styleId="TableBodyText">
    <w:name w:val="Table Body Text"/>
    <w:basedOn w:val="BodyText"/>
    <w:rsid w:val="00A16618"/>
    <w:pPr>
      <w:spacing w:before="60" w:after="60"/>
    </w:pPr>
  </w:style>
  <w:style w:type="paragraph" w:styleId="ListContinue">
    <w:name w:val="List Continue"/>
    <w:basedOn w:val="List"/>
    <w:rsid w:val="00A16618"/>
    <w:pPr>
      <w:ind w:firstLine="0"/>
    </w:pPr>
  </w:style>
  <w:style w:type="paragraph" w:customStyle="1" w:styleId="ListNote">
    <w:name w:val="List Note"/>
    <w:basedOn w:val="List"/>
    <w:rsid w:val="00A16618"/>
    <w:pPr>
      <w:pBdr>
        <w:top w:val="single" w:sz="6" w:space="2" w:color="918585"/>
        <w:bottom w:val="single" w:sz="6" w:space="2" w:color="918585"/>
      </w:pBdr>
      <w:tabs>
        <w:tab w:val="left" w:pos="1021"/>
      </w:tabs>
      <w:ind w:firstLine="0"/>
    </w:pPr>
  </w:style>
  <w:style w:type="paragraph" w:customStyle="1" w:styleId="Warning">
    <w:name w:val="Warning"/>
    <w:basedOn w:val="BodyText"/>
    <w:rsid w:val="00A16618"/>
    <w:pPr>
      <w:shd w:val="clear" w:color="auto" w:fill="D9D9D9"/>
      <w:tabs>
        <w:tab w:val="left" w:pos="992"/>
      </w:tabs>
      <w:ind w:left="119" w:right="119"/>
    </w:pPr>
    <w:rPr>
      <w:sz w:val="20"/>
    </w:rPr>
  </w:style>
  <w:style w:type="paragraph" w:customStyle="1" w:styleId="MarginIcons">
    <w:name w:val="Margin Icons"/>
    <w:basedOn w:val="BodyText"/>
    <w:rsid w:val="00A1661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16618"/>
    <w:rPr>
      <w:rFonts w:ascii="Courier New" w:hAnsi="Courier New"/>
    </w:rPr>
  </w:style>
  <w:style w:type="paragraph" w:customStyle="1" w:styleId="NoteBullet">
    <w:name w:val="Note Bullet"/>
    <w:basedOn w:val="Note"/>
    <w:rsid w:val="00A16618"/>
    <w:pPr>
      <w:tabs>
        <w:tab w:val="clear" w:pos="680"/>
      </w:tabs>
      <w:spacing w:before="60" w:after="60"/>
    </w:pPr>
  </w:style>
  <w:style w:type="paragraph" w:customStyle="1" w:styleId="SubHeading2">
    <w:name w:val="SubHeading2"/>
    <w:basedOn w:val="HeadingBase"/>
    <w:rsid w:val="00A16618"/>
    <w:pPr>
      <w:spacing w:before="240" w:after="60"/>
    </w:pPr>
    <w:rPr>
      <w:sz w:val="20"/>
    </w:rPr>
  </w:style>
  <w:style w:type="paragraph" w:customStyle="1" w:styleId="SubHeading1">
    <w:name w:val="SubHeading1"/>
    <w:basedOn w:val="HeadingBase"/>
    <w:rsid w:val="00A16618"/>
    <w:pPr>
      <w:spacing w:before="240" w:after="60"/>
    </w:pPr>
    <w:rPr>
      <w:color w:val="918585"/>
      <w:sz w:val="22"/>
    </w:rPr>
  </w:style>
  <w:style w:type="paragraph" w:customStyle="1" w:styleId="SideHeading">
    <w:name w:val="Side Heading"/>
    <w:basedOn w:val="HeadingBase"/>
    <w:rsid w:val="00A166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618"/>
    <w:pPr>
      <w:numPr>
        <w:numId w:val="12"/>
      </w:numPr>
    </w:pPr>
  </w:style>
  <w:style w:type="paragraph" w:styleId="PlainText">
    <w:name w:val="Plain Text"/>
    <w:basedOn w:val="Normal"/>
    <w:link w:val="PlainTextChar"/>
    <w:rsid w:val="00A16618"/>
    <w:rPr>
      <w:sz w:val="20"/>
    </w:rPr>
  </w:style>
  <w:style w:type="character" w:customStyle="1" w:styleId="PlainTextChar">
    <w:name w:val="Plain Text Char"/>
    <w:basedOn w:val="DefaultParagraphFont"/>
    <w:link w:val="PlainText"/>
    <w:rsid w:val="00A16618"/>
    <w:rPr>
      <w:rFonts w:ascii="Courier New" w:eastAsia="Times New Roman" w:hAnsi="Courier New" w:cs="Times New Roman"/>
      <w:sz w:val="20"/>
      <w:szCs w:val="20"/>
      <w:lang w:val="en-US" w:eastAsia="en-US"/>
    </w:rPr>
  </w:style>
  <w:style w:type="character" w:customStyle="1" w:styleId="MenuOption">
    <w:name w:val="Menu Option"/>
    <w:rsid w:val="00A16618"/>
    <w:rPr>
      <w:b/>
      <w:smallCaps/>
    </w:rPr>
  </w:style>
  <w:style w:type="paragraph" w:customStyle="1" w:styleId="TableListNumber">
    <w:name w:val="Table List Number"/>
    <w:basedOn w:val="ListNumber"/>
    <w:rsid w:val="00A16618"/>
    <w:pPr>
      <w:numPr>
        <w:numId w:val="0"/>
      </w:numPr>
    </w:pPr>
  </w:style>
  <w:style w:type="paragraph" w:styleId="TOC4">
    <w:name w:val="toc 4"/>
    <w:basedOn w:val="TOCBase"/>
    <w:next w:val="Normal"/>
    <w:semiHidden/>
    <w:rsid w:val="00A16618"/>
    <w:pPr>
      <w:tabs>
        <w:tab w:val="right" w:leader="dot" w:pos="9071"/>
      </w:tabs>
      <w:ind w:left="1701"/>
    </w:pPr>
  </w:style>
  <w:style w:type="paragraph" w:customStyle="1" w:styleId="ListAlpha">
    <w:name w:val="List Alpha"/>
    <w:basedOn w:val="List"/>
    <w:rsid w:val="00A16618"/>
    <w:pPr>
      <w:numPr>
        <w:numId w:val="9"/>
      </w:numPr>
    </w:pPr>
  </w:style>
  <w:style w:type="paragraph" w:customStyle="1" w:styleId="ListAlpha2">
    <w:name w:val="List Alpha 2"/>
    <w:basedOn w:val="List2"/>
    <w:rsid w:val="00A16618"/>
    <w:pPr>
      <w:numPr>
        <w:numId w:val="8"/>
      </w:numPr>
    </w:pPr>
  </w:style>
  <w:style w:type="paragraph" w:styleId="List2">
    <w:name w:val="List 2"/>
    <w:basedOn w:val="BodyText"/>
    <w:rsid w:val="00A16618"/>
    <w:pPr>
      <w:tabs>
        <w:tab w:val="left" w:pos="680"/>
      </w:tabs>
      <w:spacing w:before="60" w:after="60"/>
      <w:ind w:left="680" w:hanging="340"/>
    </w:pPr>
  </w:style>
  <w:style w:type="paragraph" w:styleId="List3">
    <w:name w:val="List 3"/>
    <w:basedOn w:val="BodyText"/>
    <w:rsid w:val="00A16618"/>
    <w:pPr>
      <w:tabs>
        <w:tab w:val="left" w:pos="1021"/>
      </w:tabs>
      <w:spacing w:before="60" w:after="60"/>
      <w:ind w:left="1020" w:hanging="340"/>
    </w:pPr>
  </w:style>
  <w:style w:type="paragraph" w:styleId="List4">
    <w:name w:val="List 4"/>
    <w:basedOn w:val="BodyText"/>
    <w:rsid w:val="00A16618"/>
    <w:pPr>
      <w:tabs>
        <w:tab w:val="left" w:pos="1361"/>
      </w:tabs>
      <w:spacing w:before="60" w:after="60"/>
      <w:ind w:left="1361" w:hanging="340"/>
    </w:pPr>
  </w:style>
  <w:style w:type="paragraph" w:styleId="List5">
    <w:name w:val="List 5"/>
    <w:basedOn w:val="BodyText"/>
    <w:rsid w:val="00A16618"/>
    <w:pPr>
      <w:tabs>
        <w:tab w:val="left" w:pos="1701"/>
      </w:tabs>
      <w:spacing w:before="60" w:after="60"/>
      <w:ind w:left="1701" w:hanging="340"/>
    </w:pPr>
  </w:style>
  <w:style w:type="paragraph" w:styleId="ListBullet3">
    <w:name w:val="List Bullet 3"/>
    <w:basedOn w:val="List3"/>
    <w:rsid w:val="00A16618"/>
    <w:pPr>
      <w:numPr>
        <w:numId w:val="15"/>
      </w:numPr>
      <w:tabs>
        <w:tab w:val="clear" w:pos="1021"/>
      </w:tabs>
      <w:ind w:left="1037" w:hanging="357"/>
    </w:pPr>
  </w:style>
  <w:style w:type="paragraph" w:styleId="ListBullet4">
    <w:name w:val="List Bullet 4"/>
    <w:basedOn w:val="List4"/>
    <w:rsid w:val="00A16618"/>
    <w:pPr>
      <w:numPr>
        <w:numId w:val="3"/>
      </w:numPr>
    </w:pPr>
  </w:style>
  <w:style w:type="paragraph" w:styleId="ListBullet5">
    <w:name w:val="List Bullet 5"/>
    <w:basedOn w:val="List5"/>
    <w:rsid w:val="00A16618"/>
    <w:pPr>
      <w:numPr>
        <w:numId w:val="4"/>
      </w:numPr>
    </w:pPr>
  </w:style>
  <w:style w:type="paragraph" w:styleId="ListContinue2">
    <w:name w:val="List Continue 2"/>
    <w:basedOn w:val="List2"/>
    <w:rsid w:val="00A16618"/>
    <w:pPr>
      <w:ind w:firstLine="0"/>
    </w:pPr>
  </w:style>
  <w:style w:type="paragraph" w:styleId="ListContinue3">
    <w:name w:val="List Continue 3"/>
    <w:basedOn w:val="List3"/>
    <w:rsid w:val="00A16618"/>
    <w:pPr>
      <w:ind w:left="1021" w:firstLine="0"/>
    </w:pPr>
  </w:style>
  <w:style w:type="paragraph" w:styleId="ListContinue4">
    <w:name w:val="List Continue 4"/>
    <w:basedOn w:val="List4"/>
    <w:rsid w:val="00A16618"/>
    <w:pPr>
      <w:ind w:firstLine="0"/>
    </w:pPr>
  </w:style>
  <w:style w:type="paragraph" w:styleId="ListContinue5">
    <w:name w:val="List Continue 5"/>
    <w:basedOn w:val="List5"/>
    <w:rsid w:val="00A16618"/>
    <w:pPr>
      <w:ind w:firstLine="0"/>
    </w:pPr>
  </w:style>
  <w:style w:type="paragraph" w:styleId="ListNumber3">
    <w:name w:val="List Number 3"/>
    <w:basedOn w:val="List3"/>
    <w:rsid w:val="00A16618"/>
    <w:pPr>
      <w:numPr>
        <w:numId w:val="5"/>
      </w:numPr>
    </w:pPr>
  </w:style>
  <w:style w:type="paragraph" w:styleId="ListNumber4">
    <w:name w:val="List Number 4"/>
    <w:basedOn w:val="List4"/>
    <w:rsid w:val="00A16618"/>
    <w:pPr>
      <w:numPr>
        <w:numId w:val="6"/>
      </w:numPr>
    </w:pPr>
  </w:style>
  <w:style w:type="paragraph" w:styleId="ListNumber5">
    <w:name w:val="List Number 5"/>
    <w:basedOn w:val="List5"/>
    <w:rsid w:val="00A16618"/>
    <w:pPr>
      <w:numPr>
        <w:numId w:val="7"/>
      </w:numPr>
    </w:pPr>
  </w:style>
  <w:style w:type="paragraph" w:styleId="BlockText">
    <w:name w:val="Block Text"/>
    <w:basedOn w:val="Normal"/>
    <w:rsid w:val="00A16618"/>
    <w:pPr>
      <w:spacing w:after="120"/>
      <w:ind w:left="1440" w:right="1440"/>
    </w:pPr>
  </w:style>
  <w:style w:type="character" w:customStyle="1" w:styleId="Subscript">
    <w:name w:val="Subscript"/>
    <w:rsid w:val="00A16618"/>
    <w:rPr>
      <w:sz w:val="16"/>
      <w:vertAlign w:val="subscript"/>
    </w:rPr>
  </w:style>
  <w:style w:type="character" w:customStyle="1" w:styleId="Superscript">
    <w:name w:val="Superscript"/>
    <w:rsid w:val="00A16618"/>
    <w:rPr>
      <w:sz w:val="16"/>
      <w:vertAlign w:val="superscript"/>
    </w:rPr>
  </w:style>
  <w:style w:type="character" w:customStyle="1" w:styleId="Symbols">
    <w:name w:val="Symbols"/>
    <w:rsid w:val="00A16618"/>
    <w:rPr>
      <w:rFonts w:ascii="Symbol" w:hAnsi="Symbol"/>
    </w:rPr>
  </w:style>
  <w:style w:type="character" w:customStyle="1" w:styleId="MenuOptions">
    <w:name w:val="Menu Options"/>
    <w:rsid w:val="00A16618"/>
    <w:rPr>
      <w:rFonts w:ascii="Arial Narrow" w:hAnsi="Arial Narrow"/>
      <w:smallCaps/>
    </w:rPr>
  </w:style>
  <w:style w:type="character" w:customStyle="1" w:styleId="Buttons">
    <w:name w:val="Buttons"/>
    <w:rsid w:val="00A16618"/>
    <w:rPr>
      <w:b/>
    </w:rPr>
  </w:style>
  <w:style w:type="character" w:customStyle="1" w:styleId="Underlined">
    <w:name w:val="Underlined"/>
    <w:rsid w:val="00A16618"/>
    <w:rPr>
      <w:u w:val="single"/>
    </w:rPr>
  </w:style>
  <w:style w:type="paragraph" w:customStyle="1" w:styleId="TableBodyTextRight">
    <w:name w:val="Table Body Text Right"/>
    <w:basedOn w:val="TableBodyText"/>
    <w:rsid w:val="00A16618"/>
    <w:pPr>
      <w:widowControl w:val="0"/>
      <w:autoSpaceDE w:val="0"/>
      <w:autoSpaceDN w:val="0"/>
      <w:adjustRightInd w:val="0"/>
      <w:jc w:val="right"/>
    </w:pPr>
    <w:rPr>
      <w:rFonts w:cs="Arial"/>
      <w:szCs w:val="18"/>
    </w:rPr>
  </w:style>
  <w:style w:type="paragraph" w:customStyle="1" w:styleId="CopyrightText">
    <w:name w:val="Copyright Text"/>
    <w:basedOn w:val="BodyText"/>
    <w:rsid w:val="00A16618"/>
    <w:rPr>
      <w:sz w:val="18"/>
    </w:rPr>
  </w:style>
  <w:style w:type="paragraph" w:customStyle="1" w:styleId="BodySmallRight">
    <w:name w:val="Body Small Right"/>
    <w:basedOn w:val="BodyTextRight"/>
    <w:rsid w:val="00A16618"/>
    <w:rPr>
      <w:sz w:val="18"/>
      <w:szCs w:val="18"/>
    </w:rPr>
  </w:style>
  <w:style w:type="paragraph" w:customStyle="1" w:styleId="MarginEdition">
    <w:name w:val="Margin Edition"/>
    <w:basedOn w:val="MarginNote"/>
    <w:rsid w:val="00A16618"/>
    <w:pPr>
      <w:spacing w:before="0" w:after="0"/>
    </w:pPr>
    <w:rPr>
      <w:rFonts w:ascii="Times New Roman" w:hAnsi="Times New Roman"/>
      <w:color w:val="999999"/>
    </w:rPr>
  </w:style>
  <w:style w:type="paragraph" w:customStyle="1" w:styleId="Spacer">
    <w:name w:val="Spacer"/>
    <w:basedOn w:val="Normal"/>
    <w:rsid w:val="00A16618"/>
    <w:rPr>
      <w:sz w:val="2"/>
      <w:szCs w:val="2"/>
    </w:rPr>
  </w:style>
  <w:style w:type="character" w:customStyle="1" w:styleId="Small">
    <w:name w:val="Small"/>
    <w:rsid w:val="00A16618"/>
    <w:rPr>
      <w:sz w:val="16"/>
    </w:rPr>
  </w:style>
  <w:style w:type="paragraph" w:customStyle="1" w:styleId="WideTable">
    <w:name w:val="Wide Table"/>
    <w:basedOn w:val="Normal"/>
    <w:rsid w:val="00A16618"/>
    <w:pPr>
      <w:ind w:left="-1418"/>
    </w:pPr>
    <w:rPr>
      <w:sz w:val="2"/>
      <w:szCs w:val="2"/>
    </w:rPr>
  </w:style>
  <w:style w:type="character" w:styleId="PageNumber">
    <w:name w:val="page number"/>
    <w:rsid w:val="00A16618"/>
  </w:style>
  <w:style w:type="paragraph" w:styleId="Quote">
    <w:name w:val="Quote"/>
    <w:basedOn w:val="Heading1"/>
    <w:link w:val="QuoteChar"/>
    <w:qFormat/>
    <w:rsid w:val="00A16618"/>
    <w:rPr>
      <w:b w:val="0"/>
      <w:sz w:val="72"/>
      <w:szCs w:val="72"/>
      <w:lang w:val="en-NZ"/>
    </w:rPr>
  </w:style>
  <w:style w:type="character" w:customStyle="1" w:styleId="QuoteChar">
    <w:name w:val="Quote Char"/>
    <w:link w:val="Quote"/>
    <w:rsid w:val="00A166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618"/>
    <w:pPr>
      <w:pageBreakBefore/>
    </w:pPr>
  </w:style>
  <w:style w:type="paragraph" w:customStyle="1" w:styleId="Border">
    <w:name w:val="Border"/>
    <w:basedOn w:val="Normal"/>
    <w:qFormat/>
    <w:rsid w:val="00A16618"/>
    <w:pPr>
      <w:pBdr>
        <w:top w:val="single" w:sz="18" w:space="1" w:color="auto"/>
      </w:pBdr>
    </w:pPr>
    <w:rPr>
      <w:rFonts w:ascii="Times New Roman" w:hAnsi="Times New Roman"/>
      <w:color w:val="FFFFFF"/>
      <w:sz w:val="2"/>
    </w:rPr>
  </w:style>
  <w:style w:type="character" w:styleId="IntenseEmphasis">
    <w:name w:val="Intense Emphasis"/>
    <w:uiPriority w:val="21"/>
    <w:qFormat/>
    <w:rsid w:val="00A16618"/>
    <w:rPr>
      <w:b/>
      <w:bCs/>
      <w:i/>
      <w:iCs/>
      <w:color w:val="auto"/>
    </w:rPr>
  </w:style>
  <w:style w:type="paragraph" w:styleId="IntenseQuote">
    <w:name w:val="Intense Quote"/>
    <w:basedOn w:val="Normal"/>
    <w:next w:val="Normal"/>
    <w:link w:val="IntenseQuoteChar"/>
    <w:uiPriority w:val="30"/>
    <w:qFormat/>
    <w:rsid w:val="00A1661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16618"/>
    <w:rPr>
      <w:rFonts w:ascii="Courier New" w:eastAsia="Times New Roman" w:hAnsi="Courier New" w:cs="Times New Roman"/>
      <w:b/>
      <w:bCs/>
      <w:i/>
      <w:iCs/>
      <w:szCs w:val="20"/>
      <w:lang w:val="en-US" w:eastAsia="en-US"/>
    </w:rPr>
  </w:style>
  <w:style w:type="character" w:styleId="SubtleReference">
    <w:name w:val="Subtle Reference"/>
    <w:uiPriority w:val="31"/>
    <w:qFormat/>
    <w:rsid w:val="00A16618"/>
    <w:rPr>
      <w:smallCaps/>
      <w:color w:val="auto"/>
      <w:u w:val="single"/>
    </w:rPr>
  </w:style>
  <w:style w:type="character" w:styleId="IntenseReference">
    <w:name w:val="Intense Reference"/>
    <w:uiPriority w:val="32"/>
    <w:qFormat/>
    <w:rsid w:val="00A16618"/>
    <w:rPr>
      <w:b/>
      <w:bCs/>
      <w:smallCaps/>
      <w:color w:val="auto"/>
      <w:spacing w:val="5"/>
      <w:u w:val="single"/>
    </w:rPr>
  </w:style>
  <w:style w:type="paragraph" w:customStyle="1" w:styleId="2ColumnHeading">
    <w:name w:val="2Column Heading"/>
    <w:basedOn w:val="BodyText"/>
    <w:qFormat/>
    <w:rsid w:val="00A16618"/>
    <w:pPr>
      <w:spacing w:after="60"/>
      <w:ind w:left="-2268"/>
    </w:pPr>
    <w:rPr>
      <w:b/>
    </w:rPr>
  </w:style>
  <w:style w:type="paragraph" w:customStyle="1" w:styleId="Heading1TOC">
    <w:name w:val="Heading1 TOC"/>
    <w:basedOn w:val="Normal"/>
    <w:qFormat/>
    <w:rsid w:val="00A16618"/>
    <w:pPr>
      <w:spacing w:before="240" w:after="120"/>
    </w:pPr>
    <w:rPr>
      <w:rFonts w:ascii="Times New Roman" w:hAnsi="Times New Roman"/>
      <w:b/>
      <w:sz w:val="32"/>
    </w:rPr>
  </w:style>
  <w:style w:type="paragraph" w:customStyle="1" w:styleId="Heading2TOC">
    <w:name w:val="Heading2 TOC"/>
    <w:basedOn w:val="Normal"/>
    <w:qFormat/>
    <w:rsid w:val="00A16618"/>
    <w:pPr>
      <w:spacing w:before="240" w:after="60"/>
    </w:pPr>
    <w:rPr>
      <w:rFonts w:ascii="Times New Roman" w:hAnsi="Times New Roman"/>
      <w:b/>
      <w:sz w:val="28"/>
    </w:rPr>
  </w:style>
  <w:style w:type="character" w:customStyle="1" w:styleId="Underline">
    <w:name w:val="Underline"/>
    <w:qFormat/>
    <w:rsid w:val="00A16618"/>
    <w:rPr>
      <w:u w:val="single"/>
    </w:rPr>
  </w:style>
  <w:style w:type="paragraph" w:styleId="BalloonText">
    <w:name w:val="Balloon Text"/>
    <w:basedOn w:val="Normal"/>
    <w:link w:val="BalloonTextChar"/>
    <w:rsid w:val="00A16618"/>
    <w:rPr>
      <w:rFonts w:ascii="Tahoma" w:hAnsi="Tahoma" w:cs="Tahoma"/>
      <w:sz w:val="16"/>
      <w:szCs w:val="16"/>
    </w:rPr>
  </w:style>
  <w:style w:type="character" w:customStyle="1" w:styleId="BalloonTextChar">
    <w:name w:val="Balloon Text Char"/>
    <w:link w:val="BalloonText"/>
    <w:rsid w:val="00A166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661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1661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1243</Words>
  <Characters>7977</Characters>
  <Application>Microsoft Office Word</Application>
  <DocSecurity>0</DocSecurity>
  <Lines>237</Lines>
  <Paragraphs>121</Paragraphs>
  <ScaleCrop>false</ScaleCrop>
  <Company>Author-it Software Corporation Ltd.</Company>
  <LinksUpToDate>false</LinksUpToDate>
  <CharactersWithSpaces>9157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NWP703A Lead water planning processes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2012-05-27T12:48:00Z</dcterms:created>
  <dcterms:modified xsi:type="dcterms:W3CDTF">2012-05-27T12:48:00Z</dcterms:modified>
</cp:coreProperties>
</file>