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9B4" w:rsidP="00C819B4">
      <w:pPr>
        <w:pStyle w:val="Title"/>
      </w:pPr>
      <w:r>
        <w:fldChar w:fldCharType="begin"/>
      </w:r>
      <w:r>
        <w:instrText xml:space="preserve"> TITLE   \* MERGEFORMAT </w:instrText>
      </w:r>
      <w:r>
        <w:fldChar w:fldCharType="separate"/>
      </w:r>
      <w:r>
        <w:t>NWP701A Contribute to the development of a complex water organisation</w:t>
      </w:r>
      <w:r>
        <w:fldChar w:fldCharType="end"/>
      </w:r>
    </w:p>
    <w:p w:rsidR="00C819B4" w:rsidP="00C819B4">
      <w:pPr>
        <w:pStyle w:val="Version"/>
        <w:sectPr w:rsidSect="00EF2B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F2BC5" w:rsidP="00EF2BC5">
      <w:pPr>
        <w:pStyle w:val="SuperHeading"/>
      </w:pPr>
      <w:r w:rsidRPr="00EF2BC5">
        <w:t>NWP701A Contribute to the development of a complex water organisation</w:t>
      </w:r>
    </w:p>
    <w:p w:rsidR="00000000" w:rsidRPr="00EF2BC5" w:rsidP="00EF2BC5">
      <w:pPr>
        <w:pStyle w:val="SuperHeading"/>
      </w:pPr>
    </w:p>
    <w:p w:rsidR="00000000" w:rsidRPr="00EF2BC5" w:rsidP="00EF2BC5">
      <w:pPr>
        <w:pStyle w:val="Heading1"/>
      </w:pPr>
      <w:bookmarkStart w:id="1" w:name="O_402984"/>
      <w:bookmarkEnd w:id="1"/>
      <w:r w:rsidRPr="00EF2BC5">
        <w:t>Modification History</w:t>
      </w:r>
    </w:p>
    <w:p w:rsidR="00000000" w:rsidRPr="00EF2BC5" w:rsidP="00EF2BC5">
      <w:pPr>
        <w:pStyle w:val="BodyText"/>
      </w:pPr>
      <w:r w:rsidRPr="00EF2BC5">
        <w:t>NWP701A Release 2:</w:t>
      </w:r>
      <w:r w:rsidRPr="00EF2BC5">
        <w:tab/>
        <w:t>Layout adjusted. No changes to content.</w:t>
      </w:r>
    </w:p>
    <w:p w:rsidR="00000000" w:rsidRPr="00EF2BC5" w:rsidP="00EF2BC5">
      <w:pPr>
        <w:pStyle w:val="BodyText"/>
      </w:pPr>
      <w:r w:rsidRPr="00EF2BC5">
        <w:t>NWP701A Release 1:</w:t>
      </w:r>
      <w:r w:rsidRPr="00EF2BC5">
        <w:tab/>
        <w:t>Primary release.</w:t>
      </w:r>
    </w:p>
    <w:p w:rsidR="00000000" w:rsidRPr="00EF2BC5" w:rsidP="00EF2BC5">
      <w:pPr>
        <w:pStyle w:val="AllowPageBreak"/>
      </w:pPr>
    </w:p>
    <w:p w:rsidR="00000000" w:rsidRPr="00EF2BC5" w:rsidP="00EF2BC5">
      <w:pPr>
        <w:pStyle w:val="Heading1"/>
      </w:pPr>
      <w:bookmarkStart w:id="2" w:name="O_402980"/>
      <w:bookmarkEnd w:id="2"/>
      <w:r w:rsidRPr="00EF2BC5">
        <w:t>Unit Descriptor</w:t>
      </w:r>
    </w:p>
    <w:p w:rsidR="00000000" w:rsidRPr="00EF2BC5" w:rsidP="00EF2BC5">
      <w:pPr>
        <w:pStyle w:val="BodyText"/>
      </w:pPr>
      <w:r w:rsidRPr="00EF2BC5">
        <w:t>This unit of comp</w:t>
      </w:r>
      <w:r w:rsidRPr="00EF2BC5">
        <w:t>etency describes the outcomes required to combine a detailed understanding and analysis of the water industry with existing in-depth technical skills to optimise personal contribution to the water organisation. The ability to synthesise data from a variety</w:t>
      </w:r>
      <w:r w:rsidRPr="00EF2BC5">
        <w:t xml:space="preserve"> of sources to support planning and decision making, together with the application of analytical skills to review and refine organisational policies, plans and processes are essential to performance.</w:t>
      </w:r>
    </w:p>
    <w:p w:rsidR="00000000" w:rsidRPr="00EF2BC5" w:rsidP="00EF2BC5">
      <w:pPr>
        <w:pStyle w:val="AllowPageBreak"/>
      </w:pPr>
    </w:p>
    <w:p w:rsidR="00000000" w:rsidRPr="00EF2BC5" w:rsidP="00EF2BC5">
      <w:pPr>
        <w:pStyle w:val="Heading1"/>
      </w:pPr>
      <w:bookmarkStart w:id="3" w:name="O_402992"/>
      <w:bookmarkEnd w:id="3"/>
      <w:r w:rsidRPr="00EF2BC5">
        <w:t>Application of the Unit</w:t>
      </w:r>
    </w:p>
    <w:p w:rsidR="00000000" w:rsidRPr="00EF2BC5" w:rsidP="00EF2BC5">
      <w:pPr>
        <w:pStyle w:val="BodyText"/>
      </w:pPr>
      <w:r w:rsidRPr="00EF2BC5">
        <w:t>This unit suppo</w:t>
      </w:r>
      <w:r w:rsidRPr="00EF2BC5">
        <w:t>rts the attainment of skills and knowledge required for managers and senior technical practitioners from a variety of disciplines and backgrounds who are applying their skills to the management of a function, team or division within the water organisation.</w:t>
      </w:r>
      <w:r w:rsidRPr="00EF2BC5">
        <w:t xml:space="preserve"> The unit has particular application for new entrants to the industry who have higher education qualifications but who do not have relevant industry experience.</w:t>
      </w:r>
    </w:p>
    <w:p w:rsidR="00000000" w:rsidRPr="00EF2BC5" w:rsidP="00EF2BC5">
      <w:pPr>
        <w:pStyle w:val="AllowPageBreak"/>
      </w:pPr>
    </w:p>
    <w:p w:rsidR="00000000" w:rsidRPr="00EF2BC5" w:rsidP="00EF2BC5">
      <w:pPr>
        <w:pStyle w:val="Heading1"/>
      </w:pPr>
      <w:bookmarkStart w:id="4" w:name="O_402985"/>
      <w:bookmarkEnd w:id="4"/>
      <w:r w:rsidRPr="00EF2BC5">
        <w:t>Licensing/Regulatory Information</w:t>
      </w:r>
    </w:p>
    <w:p w:rsidR="00000000" w:rsidRPr="00EF2BC5" w:rsidP="00EF2BC5">
      <w:pPr>
        <w:pStyle w:val="BodyText"/>
      </w:pPr>
      <w:r w:rsidRPr="00EF2BC5">
        <w:t>Not applicable.</w:t>
      </w:r>
    </w:p>
    <w:p w:rsidR="00000000" w:rsidRPr="00EF2BC5" w:rsidP="00EF2BC5">
      <w:pPr>
        <w:pStyle w:val="AllowPageBreak"/>
      </w:pPr>
    </w:p>
    <w:p w:rsidR="00000000" w:rsidRPr="00EF2BC5" w:rsidP="00EF2BC5">
      <w:pPr>
        <w:pStyle w:val="Heading1"/>
      </w:pPr>
      <w:bookmarkStart w:id="5" w:name="O_402983"/>
      <w:bookmarkEnd w:id="5"/>
      <w:r w:rsidRPr="00EF2BC5">
        <w:t>Pre-Requisites</w:t>
      </w:r>
    </w:p>
    <w:p w:rsidR="00000000" w:rsidRPr="00EF2BC5" w:rsidP="00EF2BC5">
      <w:pPr>
        <w:pStyle w:val="BodyText"/>
      </w:pPr>
      <w:r w:rsidRPr="00EF2BC5">
        <w:t>Not applicable.</w:t>
      </w:r>
    </w:p>
    <w:p w:rsidR="00000000" w:rsidRPr="00EF2BC5" w:rsidP="00EF2BC5">
      <w:pPr>
        <w:pStyle w:val="AllowPageBreak"/>
      </w:pPr>
    </w:p>
    <w:p w:rsidR="00000000" w:rsidRPr="00EF2BC5" w:rsidP="00EF2BC5">
      <w:pPr>
        <w:pStyle w:val="Heading1"/>
      </w:pPr>
      <w:bookmarkStart w:id="6" w:name="O_402988"/>
      <w:bookmarkEnd w:id="6"/>
      <w:r w:rsidRPr="00EF2BC5">
        <w:t>Employability Skills Information</w:t>
      </w:r>
    </w:p>
    <w:p w:rsidR="00000000" w:rsidRPr="00EF2BC5" w:rsidP="00EF2BC5">
      <w:pPr>
        <w:pStyle w:val="BodyText"/>
      </w:pPr>
      <w:r w:rsidRPr="00EF2BC5">
        <w:t>This unit of competency contains employability skills.</w:t>
      </w:r>
    </w:p>
    <w:p w:rsidR="00000000" w:rsidRPr="00EF2BC5" w:rsidP="00EF2BC5">
      <w:pPr>
        <w:pStyle w:val="AllowPageBreak"/>
      </w:pPr>
    </w:p>
    <w:p w:rsidR="00000000" w:rsidRPr="00EF2BC5" w:rsidP="00EF2BC5">
      <w:pPr>
        <w:pStyle w:val="Heading1"/>
      </w:pPr>
      <w:bookmarkStart w:id="7" w:name="O_402989"/>
      <w:bookmarkEnd w:id="7"/>
      <w:r w:rsidRPr="00EF2BC5">
        <w:t>Elements and Performance Criteria Pre-Content</w:t>
      </w:r>
    </w:p>
    <w:tbl>
      <w:tblPr>
        <w:tblW w:w="0" w:type="auto"/>
        <w:tblLayout w:type="fixed"/>
        <w:tblCellMar>
          <w:left w:w="62" w:type="dxa"/>
          <w:right w:w="62" w:type="dxa"/>
        </w:tblCellMar>
        <w:tblLook w:val="0000"/>
      </w:tblPr>
      <w:tblGrid>
        <w:gridCol w:w="2210"/>
        <w:gridCol w:w="6312"/>
      </w:tblGrid>
      <w:tr w:rsidTr="00C819B4">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EF2BC5">
            <w:pPr>
              <w:pStyle w:val="BodyText"/>
              <w:rPr>
                <w:lang w:val="en-NZ"/>
              </w:rPr>
            </w:pPr>
            <w:r w:rsidRPr="00EF2BC5">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EF2BC5" w:rsidP="00EF2BC5">
            <w:pPr>
              <w:pStyle w:val="BodyText"/>
            </w:pPr>
            <w:r w:rsidRPr="00EF2BC5">
              <w:t xml:space="preserve">Performance criteria describe the required performance needed to demonstrate achievement of the element. Where </w:t>
            </w:r>
            <w:r w:rsidRPr="00EF2BC5">
              <w:rPr>
                <w:rStyle w:val="BoldandItalics"/>
              </w:rPr>
              <w:t>bold italicised</w:t>
            </w:r>
            <w:r w:rsidRPr="00EF2BC5">
              <w:t xml:space="preserve"> text is used, further information is detailed in the range stat</w:t>
            </w:r>
            <w:r w:rsidRPr="00EF2BC5">
              <w:t>ement. Assessment of performance is to be consistent with the evidence guide.</w:t>
            </w:r>
          </w:p>
        </w:tc>
      </w:tr>
    </w:tbl>
    <w:p w:rsidR="00000000" w:rsidRPr="00EF2BC5" w:rsidP="00EF2BC5">
      <w:pPr>
        <w:pStyle w:val="BodyText"/>
      </w:pPr>
    </w:p>
    <w:p w:rsidR="00000000" w:rsidRPr="00EF2BC5" w:rsidP="00EF2BC5">
      <w:pPr>
        <w:pStyle w:val="AllowPageBreak"/>
      </w:pPr>
    </w:p>
    <w:p w:rsidR="00000000" w:rsidRPr="00EF2BC5" w:rsidP="00EF2BC5">
      <w:pPr>
        <w:pStyle w:val="Heading1"/>
      </w:pPr>
      <w:bookmarkStart w:id="8" w:name="O_402990"/>
      <w:bookmarkEnd w:id="8"/>
      <w:r w:rsidRPr="00EF2BC5">
        <w:t>Elements and Performance Criteria</w:t>
      </w:r>
    </w:p>
    <w:tbl>
      <w:tblPr>
        <w:tblW w:w="0" w:type="auto"/>
        <w:tblLayout w:type="fixed"/>
        <w:tblCellMar>
          <w:left w:w="62" w:type="dxa"/>
          <w:right w:w="62" w:type="dxa"/>
        </w:tblCellMar>
        <w:tblLook w:val="0000"/>
      </w:tblPr>
      <w:tblGrid>
        <w:gridCol w:w="2210"/>
        <w:gridCol w:w="6312"/>
      </w:tblGrid>
      <w:tr w:rsidTr="00C819B4">
        <w:tblPrEx>
          <w:tblW w:w="0" w:type="auto"/>
          <w:tblLayout w:type="fixed"/>
          <w:tblCellMar>
            <w:left w:w="62" w:type="dxa"/>
            <w:right w:w="62" w:type="dxa"/>
          </w:tblCellMar>
          <w:tblLook w:val="0000"/>
        </w:tblPrEx>
        <w:trPr>
          <w:tblHeader/>
        </w:trPr>
        <w:tc>
          <w:tcPr>
            <w:tcW w:w="2210" w:type="dxa"/>
            <w:tcBorders>
              <w:top w:val="nil"/>
              <w:left w:val="nil"/>
              <w:bottom w:val="nil"/>
              <w:right w:val="nil"/>
            </w:tcBorders>
            <w:tcMar>
              <w:top w:w="0" w:type="dxa"/>
              <w:left w:w="62" w:type="dxa"/>
              <w:bottom w:w="0" w:type="dxa"/>
              <w:right w:w="62" w:type="dxa"/>
            </w:tcMar>
          </w:tcPr>
          <w:p w:rsidR="00000000" w:rsidRPr="00EF2BC5" w:rsidP="00EF2BC5">
            <w:pPr>
              <w:pStyle w:val="BodyText"/>
            </w:pPr>
            <w:r w:rsidRPr="00EF2BC5">
              <w:rPr>
                <w:rStyle w:val="SpecialBold"/>
              </w:rPr>
              <w:t>ELEMENT</w:t>
            </w:r>
          </w:p>
        </w:tc>
        <w:tc>
          <w:tcPr>
            <w:tcW w:w="6312" w:type="dxa"/>
            <w:tcBorders>
              <w:top w:val="nil"/>
              <w:left w:val="nil"/>
              <w:bottom w:val="nil"/>
              <w:right w:val="nil"/>
            </w:tcBorders>
            <w:tcMar>
              <w:top w:w="0" w:type="dxa"/>
              <w:left w:w="62" w:type="dxa"/>
              <w:bottom w:w="0" w:type="dxa"/>
              <w:right w:w="62" w:type="dxa"/>
            </w:tcMar>
          </w:tcPr>
          <w:p w:rsidR="00000000" w:rsidP="00EF2BC5">
            <w:pPr>
              <w:pStyle w:val="BodyText"/>
              <w:rPr>
                <w:lang w:val="en-NZ"/>
              </w:rPr>
            </w:pPr>
            <w:r w:rsidRPr="00EF2BC5">
              <w:rPr>
                <w:rStyle w:val="SpecialBold"/>
              </w:rPr>
              <w:t>PERFORMANCE CRITERIA</w:t>
            </w:r>
          </w:p>
        </w:tc>
      </w:tr>
      <w:tr w:rsidTr="00C819B4">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EF2BC5">
            <w:pPr>
              <w:pStyle w:val="List"/>
              <w:rPr>
                <w:lang w:val="en-NZ"/>
              </w:rPr>
            </w:pPr>
            <w:r w:rsidRPr="00EF2BC5">
              <w:rPr>
                <w:rStyle w:val="SpecialBold"/>
              </w:rPr>
              <w:t>1</w:t>
            </w:r>
            <w:r w:rsidRPr="00EF2BC5">
              <w:tab/>
            </w:r>
            <w:r w:rsidRPr="00EF2BC5">
              <w:rPr>
                <w:rStyle w:val="SpecialBold"/>
              </w:rPr>
              <w:t>Analyse structure and challenges of the water industry</w:t>
            </w:r>
          </w:p>
        </w:tc>
        <w:tc>
          <w:tcPr>
            <w:tcW w:w="6312" w:type="dxa"/>
            <w:tcBorders>
              <w:top w:val="nil"/>
              <w:left w:val="nil"/>
              <w:bottom w:val="nil"/>
              <w:right w:val="nil"/>
            </w:tcBorders>
            <w:tcMar>
              <w:top w:w="0" w:type="dxa"/>
              <w:left w:w="62" w:type="dxa"/>
              <w:bottom w:w="0" w:type="dxa"/>
              <w:right w:w="62" w:type="dxa"/>
            </w:tcMar>
          </w:tcPr>
          <w:p w:rsidR="00000000" w:rsidRPr="00EF2BC5" w:rsidP="00EF2BC5">
            <w:pPr>
              <w:pStyle w:val="List"/>
            </w:pPr>
            <w:r w:rsidRPr="00EF2BC5">
              <w:t>1.1</w:t>
            </w:r>
            <w:r w:rsidRPr="00EF2BC5">
              <w:tab/>
            </w:r>
            <w:r w:rsidRPr="00EF2BC5">
              <w:t>Review and analyse structure, size, diversity and role of the water industry in Australia.</w:t>
            </w:r>
          </w:p>
          <w:p w:rsidR="00000000" w:rsidRPr="00EF2BC5" w:rsidP="00EF2BC5">
            <w:pPr>
              <w:pStyle w:val="List"/>
            </w:pPr>
            <w:r w:rsidRPr="00EF2BC5">
              <w:t>1.2</w:t>
            </w:r>
            <w:r w:rsidRPr="00EF2BC5">
              <w:tab/>
              <w:t xml:space="preserve">Review </w:t>
            </w:r>
            <w:r w:rsidRPr="00EF2BC5">
              <w:rPr>
                <w:rStyle w:val="BoldandItalics"/>
              </w:rPr>
              <w:t>legislative requirements</w:t>
            </w:r>
            <w:r w:rsidRPr="00EF2BC5">
              <w:t xml:space="preserve"> underpinning operations of water organisation and analyse their application.</w:t>
            </w:r>
          </w:p>
          <w:p w:rsidR="00000000" w:rsidP="00EF2BC5">
            <w:pPr>
              <w:pStyle w:val="List"/>
              <w:rPr>
                <w:lang w:val="en-NZ"/>
              </w:rPr>
            </w:pPr>
            <w:r w:rsidRPr="00EF2BC5">
              <w:t>1.3</w:t>
            </w:r>
            <w:r w:rsidRPr="00EF2BC5">
              <w:tab/>
              <w:t>Review and analyse major and strategic factors t</w:t>
            </w:r>
            <w:r w:rsidRPr="00EF2BC5">
              <w:t>hat impinge on organisation's capacity to meet community's current and future water supply needs.</w:t>
            </w:r>
          </w:p>
        </w:tc>
      </w:tr>
      <w:tr w:rsidTr="00C819B4">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EF2BC5">
            <w:pPr>
              <w:pStyle w:val="List"/>
              <w:rPr>
                <w:lang w:val="en-NZ"/>
              </w:rPr>
            </w:pPr>
            <w:r w:rsidRPr="00EF2BC5">
              <w:rPr>
                <w:rStyle w:val="SpecialBold"/>
              </w:rPr>
              <w:t>2</w:t>
            </w:r>
            <w:r w:rsidRPr="00EF2BC5">
              <w:tab/>
            </w:r>
            <w:r w:rsidRPr="00EF2BC5">
              <w:rPr>
                <w:rStyle w:val="SpecialBold"/>
              </w:rPr>
              <w:t>Analyse structure and service delivery of the organisation</w:t>
            </w:r>
          </w:p>
        </w:tc>
        <w:tc>
          <w:tcPr>
            <w:tcW w:w="6312" w:type="dxa"/>
            <w:tcBorders>
              <w:top w:val="nil"/>
              <w:left w:val="nil"/>
              <w:bottom w:val="nil"/>
              <w:right w:val="nil"/>
            </w:tcBorders>
            <w:tcMar>
              <w:top w:w="0" w:type="dxa"/>
              <w:left w:w="62" w:type="dxa"/>
              <w:bottom w:w="0" w:type="dxa"/>
              <w:right w:w="62" w:type="dxa"/>
            </w:tcMar>
          </w:tcPr>
          <w:p w:rsidR="00000000" w:rsidRPr="00EF2BC5" w:rsidP="00EF2BC5">
            <w:pPr>
              <w:pStyle w:val="List"/>
            </w:pPr>
            <w:r w:rsidRPr="00EF2BC5">
              <w:t>2.1</w:t>
            </w:r>
            <w:r w:rsidRPr="00EF2BC5">
              <w:tab/>
              <w:t>Review and analyse organisational structure, plans, services, and service charter of organis</w:t>
            </w:r>
            <w:r w:rsidRPr="00EF2BC5">
              <w:t>ation.</w:t>
            </w:r>
          </w:p>
          <w:p w:rsidR="00000000" w:rsidRPr="00EF2BC5" w:rsidP="00EF2BC5">
            <w:pPr>
              <w:pStyle w:val="List"/>
            </w:pPr>
            <w:r w:rsidRPr="00EF2BC5">
              <w:t>2.2</w:t>
            </w:r>
            <w:r w:rsidRPr="00EF2BC5">
              <w:tab/>
              <w:t>Review and analyse infrastructure and systems used to deliver services.</w:t>
            </w:r>
          </w:p>
          <w:p w:rsidR="00000000" w:rsidRPr="00EF2BC5" w:rsidP="00EF2BC5">
            <w:pPr>
              <w:pStyle w:val="List"/>
            </w:pPr>
            <w:r w:rsidRPr="00EF2BC5">
              <w:t>2.3</w:t>
            </w:r>
            <w:r w:rsidRPr="00EF2BC5">
              <w:tab/>
              <w:t>Review current and projected performance of organisation and its service delivery against relevant plans and performance indicators.</w:t>
            </w:r>
          </w:p>
          <w:p w:rsidR="00000000" w:rsidP="00EF2BC5">
            <w:pPr>
              <w:pStyle w:val="List"/>
              <w:rPr>
                <w:lang w:val="en-NZ"/>
              </w:rPr>
            </w:pPr>
            <w:r w:rsidRPr="00EF2BC5">
              <w:t>2.4</w:t>
            </w:r>
            <w:r w:rsidRPr="00EF2BC5">
              <w:tab/>
              <w:t>Identify, document and communica</w:t>
            </w:r>
            <w:r w:rsidRPr="00EF2BC5">
              <w:t>te relevant opportunities for improvement to service delivery.</w:t>
            </w:r>
          </w:p>
        </w:tc>
      </w:tr>
      <w:tr w:rsidTr="00C819B4">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EF2BC5">
            <w:pPr>
              <w:pStyle w:val="List"/>
              <w:rPr>
                <w:lang w:val="en-NZ"/>
              </w:rPr>
            </w:pPr>
            <w:r w:rsidRPr="00EF2BC5">
              <w:rPr>
                <w:rStyle w:val="SpecialBold"/>
              </w:rPr>
              <w:t>3</w:t>
            </w:r>
            <w:r w:rsidRPr="00EF2BC5">
              <w:tab/>
            </w:r>
            <w:r w:rsidRPr="00EF2BC5">
              <w:rPr>
                <w:rStyle w:val="SpecialBold"/>
              </w:rPr>
              <w:t>Plan for environmental sustainability</w:t>
            </w:r>
          </w:p>
        </w:tc>
        <w:tc>
          <w:tcPr>
            <w:tcW w:w="6312" w:type="dxa"/>
            <w:tcBorders>
              <w:top w:val="nil"/>
              <w:left w:val="nil"/>
              <w:bottom w:val="nil"/>
              <w:right w:val="nil"/>
            </w:tcBorders>
            <w:tcMar>
              <w:top w:w="0" w:type="dxa"/>
              <w:left w:w="62" w:type="dxa"/>
              <w:bottom w:w="0" w:type="dxa"/>
              <w:right w:w="62" w:type="dxa"/>
            </w:tcMar>
          </w:tcPr>
          <w:p w:rsidR="00000000" w:rsidRPr="00EF2BC5" w:rsidP="00EF2BC5">
            <w:pPr>
              <w:pStyle w:val="List"/>
            </w:pPr>
            <w:r w:rsidRPr="00EF2BC5">
              <w:t>3.1</w:t>
            </w:r>
            <w:r w:rsidRPr="00EF2BC5">
              <w:tab/>
              <w:t xml:space="preserve">Review and assess strategic factors that impinge on development and application of </w:t>
            </w:r>
            <w:r w:rsidRPr="00EF2BC5">
              <w:rPr>
                <w:rStyle w:val="BoldandItalics"/>
              </w:rPr>
              <w:t>environmentally sustainable practices</w:t>
            </w:r>
            <w:r w:rsidRPr="00EF2BC5">
              <w:t>.</w:t>
            </w:r>
          </w:p>
          <w:p w:rsidR="00000000" w:rsidRPr="00EF2BC5" w:rsidP="00EF2BC5">
            <w:pPr>
              <w:pStyle w:val="List"/>
            </w:pPr>
            <w:r w:rsidRPr="00EF2BC5">
              <w:t>3.2</w:t>
            </w:r>
            <w:r w:rsidRPr="00EF2BC5">
              <w:tab/>
              <w:t>Review and assess orga</w:t>
            </w:r>
            <w:r w:rsidRPr="00EF2BC5">
              <w:t>nisation's relevant environmental management policies and objectives.</w:t>
            </w:r>
          </w:p>
          <w:p w:rsidR="00000000" w:rsidRPr="00EF2BC5" w:rsidP="00EF2BC5">
            <w:pPr>
              <w:pStyle w:val="List"/>
            </w:pPr>
            <w:r w:rsidRPr="00EF2BC5">
              <w:t>3.3</w:t>
            </w:r>
            <w:r w:rsidRPr="00EF2BC5">
              <w:tab/>
              <w:t>Review and audit effectiveness of current environmental processes and practices against organisation's environmental management plans.</w:t>
            </w:r>
          </w:p>
          <w:p w:rsidR="00000000" w:rsidP="00EF2BC5">
            <w:pPr>
              <w:pStyle w:val="List"/>
              <w:rPr>
                <w:lang w:val="en-NZ"/>
              </w:rPr>
            </w:pPr>
            <w:r w:rsidRPr="00EF2BC5">
              <w:t>3.4</w:t>
            </w:r>
            <w:r w:rsidRPr="00EF2BC5">
              <w:tab/>
              <w:t>Identify, document and communicate opportun</w:t>
            </w:r>
            <w:r w:rsidRPr="00EF2BC5">
              <w:t>ities to improve environmental policies and practices.</w:t>
            </w:r>
          </w:p>
        </w:tc>
      </w:tr>
      <w:tr w:rsidTr="00C819B4">
        <w:tblPrEx>
          <w:tblW w:w="0" w:type="auto"/>
          <w:tblLayout w:type="fixed"/>
          <w:tblCellMar>
            <w:left w:w="62" w:type="dxa"/>
            <w:right w:w="62" w:type="dxa"/>
          </w:tblCellMar>
          <w:tblLook w:val="0000"/>
        </w:tblPrEx>
        <w:tc>
          <w:tcPr>
            <w:tcW w:w="2210" w:type="dxa"/>
            <w:tcBorders>
              <w:top w:val="nil"/>
              <w:left w:val="nil"/>
              <w:bottom w:val="nil"/>
              <w:right w:val="nil"/>
            </w:tcBorders>
            <w:tcMar>
              <w:top w:w="0" w:type="dxa"/>
              <w:left w:w="62" w:type="dxa"/>
              <w:bottom w:w="0" w:type="dxa"/>
              <w:right w:w="62" w:type="dxa"/>
            </w:tcMar>
          </w:tcPr>
          <w:p w:rsidR="00000000" w:rsidP="00EF2BC5">
            <w:pPr>
              <w:pStyle w:val="List"/>
              <w:rPr>
                <w:lang w:val="en-NZ"/>
              </w:rPr>
            </w:pPr>
            <w:r w:rsidRPr="00EF2BC5">
              <w:rPr>
                <w:rStyle w:val="SpecialBold"/>
              </w:rPr>
              <w:t>4</w:t>
            </w:r>
            <w:r w:rsidRPr="00EF2BC5">
              <w:tab/>
            </w:r>
            <w:r w:rsidRPr="00EF2BC5">
              <w:rPr>
                <w:rStyle w:val="SpecialBold"/>
              </w:rPr>
              <w:t>Improve policies</w:t>
            </w:r>
            <w:r w:rsidRPr="00EF2BC5">
              <w:t xml:space="preserve">, </w:t>
            </w:r>
            <w:r w:rsidRPr="00EF2BC5">
              <w:rPr>
                <w:rStyle w:val="SpecialBold"/>
              </w:rPr>
              <w:t>plans and processes</w:t>
            </w:r>
          </w:p>
        </w:tc>
        <w:tc>
          <w:tcPr>
            <w:tcW w:w="6312" w:type="dxa"/>
            <w:tcBorders>
              <w:top w:val="nil"/>
              <w:left w:val="nil"/>
              <w:bottom w:val="nil"/>
              <w:right w:val="nil"/>
            </w:tcBorders>
            <w:tcMar>
              <w:top w:w="0" w:type="dxa"/>
              <w:left w:w="62" w:type="dxa"/>
              <w:bottom w:w="0" w:type="dxa"/>
              <w:right w:w="62" w:type="dxa"/>
            </w:tcMar>
          </w:tcPr>
          <w:p w:rsidR="00000000" w:rsidRPr="00EF2BC5" w:rsidP="00EF2BC5">
            <w:pPr>
              <w:pStyle w:val="List"/>
            </w:pPr>
            <w:r w:rsidRPr="00EF2BC5">
              <w:t>4.1</w:t>
            </w:r>
            <w:r w:rsidRPr="00EF2BC5">
              <w:tab/>
              <w:t>Review and analyse policies, plans and processes within own scope of authority.</w:t>
            </w:r>
          </w:p>
          <w:p w:rsidR="00000000" w:rsidRPr="00EF2BC5" w:rsidP="00EF2BC5">
            <w:pPr>
              <w:pStyle w:val="List"/>
            </w:pPr>
            <w:r w:rsidRPr="00EF2BC5">
              <w:t>4.2</w:t>
            </w:r>
            <w:r w:rsidRPr="00EF2BC5">
              <w:tab/>
            </w:r>
            <w:r w:rsidRPr="00EF2BC5">
              <w:t>Review opportunities to improve policies, plans and processes in consultation with relevant personnel.</w:t>
            </w:r>
          </w:p>
          <w:p w:rsidR="00000000" w:rsidRPr="00EF2BC5" w:rsidP="00EF2BC5">
            <w:pPr>
              <w:pStyle w:val="List"/>
            </w:pPr>
            <w:r w:rsidRPr="00EF2BC5">
              <w:t>4.3</w:t>
            </w:r>
            <w:r w:rsidRPr="00EF2BC5">
              <w:tab/>
              <w:t>Document and communicate recommendations and outcome of review of policies, plans and processes.</w:t>
            </w:r>
          </w:p>
        </w:tc>
      </w:tr>
    </w:tbl>
    <w:p w:rsidR="00000000" w:rsidRPr="00EF2BC5" w:rsidP="00EF2BC5">
      <w:pPr>
        <w:pStyle w:val="BodyText"/>
      </w:pPr>
    </w:p>
    <w:p w:rsidR="00000000" w:rsidRPr="00EF2BC5" w:rsidP="00EF2BC5">
      <w:pPr>
        <w:pStyle w:val="AllowPageBreak"/>
      </w:pPr>
    </w:p>
    <w:p w:rsidR="00000000" w:rsidRPr="00EF2BC5" w:rsidP="00EF2BC5">
      <w:pPr>
        <w:pStyle w:val="Heading1"/>
      </w:pPr>
      <w:bookmarkStart w:id="9" w:name="O_402981"/>
      <w:bookmarkEnd w:id="9"/>
      <w:r w:rsidRPr="00EF2BC5">
        <w:t>Required Skills and Knowledge</w:t>
      </w:r>
    </w:p>
    <w:tbl>
      <w:tblPr>
        <w:tblW w:w="0" w:type="auto"/>
        <w:tblLayout w:type="fixed"/>
        <w:tblCellMar>
          <w:left w:w="62" w:type="dxa"/>
          <w:right w:w="62" w:type="dxa"/>
        </w:tblCellMar>
        <w:tblLook w:val="0000"/>
      </w:tblPr>
      <w:tblGrid>
        <w:gridCol w:w="8522"/>
      </w:tblGrid>
      <w:tr w:rsidTr="00C819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2BC5">
            <w:pPr>
              <w:pStyle w:val="BodyText"/>
              <w:rPr>
                <w:lang w:val="en-NZ"/>
              </w:rPr>
            </w:pPr>
            <w:r w:rsidRPr="00EF2BC5">
              <w:t>Thi</w:t>
            </w:r>
            <w:r w:rsidRPr="00EF2BC5">
              <w:t>s describes the essential skills and knowledge and their level, required for this unit.</w:t>
            </w:r>
          </w:p>
        </w:tc>
      </w:tr>
      <w:tr w:rsidTr="00C819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2BC5" w:rsidP="00EF2BC5">
            <w:pPr>
              <w:pStyle w:val="BodyText"/>
            </w:pPr>
            <w:r w:rsidRPr="00EF2BC5">
              <w:rPr>
                <w:rStyle w:val="SpecialBold"/>
              </w:rPr>
              <w:t>Required skills</w:t>
            </w:r>
            <w:r w:rsidRPr="00EF2BC5">
              <w:t>:</w:t>
            </w:r>
          </w:p>
          <w:p w:rsidR="00000000" w:rsidRPr="00EF2BC5" w:rsidP="00EF2BC5">
            <w:pPr>
              <w:pStyle w:val="ListBullet"/>
            </w:pPr>
            <w:r w:rsidRPr="00EF2BC5">
              <w:t>interpret, analyse and review complex policy and industry documentation</w:t>
            </w:r>
          </w:p>
          <w:p w:rsidR="00000000" w:rsidRPr="00EF2BC5" w:rsidP="00EF2BC5">
            <w:pPr>
              <w:pStyle w:val="ListBullet"/>
            </w:pPr>
            <w:r w:rsidRPr="00EF2BC5">
              <w:t>interpret, analyse and apply relevant legislative requirements</w:t>
            </w:r>
          </w:p>
          <w:p w:rsidR="00000000" w:rsidRPr="00EF2BC5" w:rsidP="00EF2BC5">
            <w:pPr>
              <w:pStyle w:val="ListBullet"/>
            </w:pPr>
            <w:r w:rsidRPr="00EF2BC5">
              <w:t>apply analytical skills to review of policies, plans and procedures</w:t>
            </w:r>
          </w:p>
          <w:p w:rsidR="00000000" w:rsidRPr="00EF2BC5" w:rsidP="00EF2BC5">
            <w:pPr>
              <w:pStyle w:val="ListBullet"/>
            </w:pPr>
            <w:r w:rsidRPr="00EF2BC5">
              <w:t>consult and communicate with internal and external groups and individuals</w:t>
            </w:r>
          </w:p>
          <w:p w:rsidR="00000000" w:rsidRPr="00EF2BC5" w:rsidP="00EF2BC5">
            <w:pPr>
              <w:pStyle w:val="ListBullet"/>
            </w:pPr>
            <w:r w:rsidRPr="00EF2BC5">
              <w:t>retrieve and evaluate information</w:t>
            </w:r>
          </w:p>
          <w:p w:rsidR="00000000" w:rsidRPr="00EF2BC5" w:rsidP="00EF2BC5">
            <w:pPr>
              <w:pStyle w:val="ListBullet"/>
            </w:pPr>
            <w:r w:rsidRPr="00EF2BC5">
              <w:t>communicate effectively</w:t>
            </w:r>
          </w:p>
          <w:p w:rsidR="00000000" w:rsidRPr="00EF2BC5" w:rsidP="00EF2BC5">
            <w:pPr>
              <w:pStyle w:val="ListBullet"/>
            </w:pPr>
            <w:r w:rsidRPr="00EF2BC5">
              <w:t>prepare reports</w:t>
            </w:r>
          </w:p>
          <w:p w:rsidR="00000000" w:rsidRPr="00EF2BC5" w:rsidP="00EF2BC5">
            <w:pPr>
              <w:pStyle w:val="ListBullet"/>
            </w:pPr>
            <w:r w:rsidRPr="00EF2BC5">
              <w:t xml:space="preserve">use literacy skills in regard to verbal </w:t>
            </w:r>
            <w:r w:rsidRPr="00EF2BC5">
              <w:t>and written communication in the workplace</w:t>
            </w:r>
          </w:p>
          <w:p w:rsidR="00000000" w:rsidP="00EF2BC5">
            <w:pPr>
              <w:pStyle w:val="ListBullet"/>
              <w:rPr>
                <w:lang w:val="en-NZ"/>
              </w:rPr>
            </w:pPr>
            <w:r w:rsidRPr="00EF2BC5">
              <w:t>solve problems.</w:t>
            </w:r>
          </w:p>
        </w:tc>
      </w:tr>
      <w:tr w:rsidTr="00C819B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2BC5" w:rsidP="00EF2BC5">
            <w:pPr>
              <w:pStyle w:val="BodyText"/>
            </w:pPr>
            <w:r w:rsidRPr="00EF2BC5">
              <w:rPr>
                <w:rStyle w:val="SpecialBold"/>
              </w:rPr>
              <w:t>Required knowledge</w:t>
            </w:r>
            <w:r w:rsidRPr="00EF2BC5">
              <w:t>:</w:t>
            </w:r>
          </w:p>
          <w:p w:rsidR="00000000" w:rsidRPr="00EF2BC5" w:rsidP="00EF2BC5">
            <w:pPr>
              <w:pStyle w:val="ListBullet"/>
            </w:pPr>
            <w:r w:rsidRPr="00EF2BC5">
              <w:t>the structure of the water industry, networks, relationships, stakeholders and interests</w:t>
            </w:r>
          </w:p>
          <w:p w:rsidR="00000000" w:rsidRPr="00EF2BC5" w:rsidP="00EF2BC5">
            <w:pPr>
              <w:pStyle w:val="ListBullet"/>
            </w:pPr>
            <w:r w:rsidRPr="00EF2BC5">
              <w:t>the economic, environmental, social and political issues and trends influencing the wa</w:t>
            </w:r>
            <w:r w:rsidRPr="00EF2BC5">
              <w:t>ter and allied industries</w:t>
            </w:r>
          </w:p>
          <w:p w:rsidR="00000000" w:rsidRPr="00EF2BC5" w:rsidP="00EF2BC5">
            <w:pPr>
              <w:pStyle w:val="ListBullet"/>
            </w:pPr>
            <w:r w:rsidRPr="00EF2BC5">
              <w:t>organisational structure, policies, strategic plans, and operating procedures</w:t>
            </w:r>
          </w:p>
          <w:p w:rsidR="00000000" w:rsidRPr="00EF2BC5" w:rsidP="00EF2BC5">
            <w:pPr>
              <w:pStyle w:val="ListBullet"/>
            </w:pPr>
            <w:r w:rsidRPr="00EF2BC5">
              <w:t>organisational contracts, services, assets and infrastructure</w:t>
            </w:r>
          </w:p>
          <w:p w:rsidR="00000000" w:rsidRPr="00EF2BC5" w:rsidP="00EF2BC5">
            <w:pPr>
              <w:pStyle w:val="ListBullet"/>
            </w:pPr>
            <w:r w:rsidRPr="00EF2BC5">
              <w:t>principles and methods for reviewing, auditing and monitoring organisational and system pe</w:t>
            </w:r>
            <w:r w:rsidRPr="00EF2BC5">
              <w:t>rformance</w:t>
            </w:r>
          </w:p>
          <w:p w:rsidR="00000000" w:rsidRPr="00EF2BC5" w:rsidP="00EF2BC5">
            <w:pPr>
              <w:pStyle w:val="ListBullet"/>
            </w:pPr>
            <w:r w:rsidRPr="00EF2BC5">
              <w:t>relevant legislative and licensing requirements and their implementation issues and accountability.</w:t>
            </w:r>
          </w:p>
        </w:tc>
      </w:tr>
    </w:tbl>
    <w:p w:rsidR="00000000" w:rsidRPr="00EF2BC5" w:rsidP="00EF2BC5">
      <w:pPr>
        <w:pStyle w:val="BodyText"/>
      </w:pPr>
    </w:p>
    <w:p w:rsidR="00000000" w:rsidRPr="00EF2BC5" w:rsidP="00EF2BC5">
      <w:pPr>
        <w:pStyle w:val="AllowPageBreak"/>
      </w:pPr>
    </w:p>
    <w:p w:rsidR="00000000" w:rsidRPr="00EF2BC5" w:rsidP="00EF2BC5">
      <w:pPr>
        <w:pStyle w:val="Heading1"/>
      </w:pPr>
      <w:bookmarkStart w:id="10" w:name="O_402987"/>
      <w:bookmarkEnd w:id="10"/>
      <w:r w:rsidRPr="00EF2BC5">
        <w:t>Evidence Guide</w:t>
      </w:r>
    </w:p>
    <w:tbl>
      <w:tblPr>
        <w:tblW w:w="0" w:type="auto"/>
        <w:tblLayout w:type="fixed"/>
        <w:tblCellMar>
          <w:left w:w="62" w:type="dxa"/>
          <w:right w:w="62" w:type="dxa"/>
        </w:tblCellMar>
        <w:tblLook w:val="0000"/>
      </w:tblPr>
      <w:tblGrid>
        <w:gridCol w:w="2964"/>
        <w:gridCol w:w="6005"/>
      </w:tblGrid>
      <w:tr w:rsidTr="00C819B4">
        <w:tblPrEx>
          <w:tblW w:w="0" w:type="auto"/>
          <w:tblLayout w:type="fixed"/>
          <w:tblCellMar>
            <w:left w:w="62" w:type="dxa"/>
            <w:right w:w="62" w:type="dxa"/>
          </w:tblCellMar>
          <w:tblLook w:val="0000"/>
        </w:tblPrEx>
        <w:tc>
          <w:tcPr>
            <w:tcW w:w="8969" w:type="dxa"/>
            <w:gridSpan w:val="2"/>
            <w:tcBorders>
              <w:top w:val="nil"/>
              <w:left w:val="nil"/>
              <w:bottom w:val="nil"/>
              <w:right w:val="nil"/>
            </w:tcBorders>
            <w:tcMar>
              <w:top w:w="0" w:type="dxa"/>
              <w:left w:w="62" w:type="dxa"/>
              <w:bottom w:w="0" w:type="dxa"/>
              <w:right w:w="62" w:type="dxa"/>
            </w:tcMar>
          </w:tcPr>
          <w:p w:rsidR="00000000" w:rsidP="00EF2BC5">
            <w:pPr>
              <w:pStyle w:val="BodyText"/>
              <w:rPr>
                <w:lang w:val="en-NZ"/>
              </w:rPr>
            </w:pPr>
            <w:r w:rsidRPr="00EF2BC5">
              <w:t>The evidence guide provides advice on assessment and must be read in conjunction with the performance criteria, required skills and knowledge, the range statement and the Assessment Guidelines for the Training Package.</w:t>
            </w:r>
          </w:p>
        </w:tc>
      </w:tr>
      <w:tr w:rsidTr="00C819B4">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EF2BC5">
            <w:pPr>
              <w:pStyle w:val="BodyText"/>
              <w:rPr>
                <w:lang w:val="en-NZ"/>
              </w:rPr>
            </w:pPr>
            <w:r w:rsidRPr="00EF2BC5">
              <w:rPr>
                <w:rStyle w:val="SpecialBold"/>
              </w:rPr>
              <w:t>Critical aspects for assessment and evidence required to demonstrate competency in this unit</w:t>
            </w:r>
          </w:p>
        </w:tc>
        <w:tc>
          <w:tcPr>
            <w:tcW w:w="6005" w:type="dxa"/>
            <w:tcBorders>
              <w:top w:val="nil"/>
              <w:left w:val="nil"/>
              <w:bottom w:val="nil"/>
              <w:right w:val="nil"/>
            </w:tcBorders>
            <w:tcMar>
              <w:top w:w="0" w:type="dxa"/>
              <w:left w:w="62" w:type="dxa"/>
              <w:bottom w:w="0" w:type="dxa"/>
              <w:right w:w="62" w:type="dxa"/>
            </w:tcMar>
          </w:tcPr>
          <w:p w:rsidR="00000000" w:rsidRPr="00EF2BC5" w:rsidP="00EF2BC5">
            <w:pPr>
              <w:pStyle w:val="BodyText"/>
            </w:pPr>
            <w:r w:rsidRPr="00EF2BC5">
              <w:t>The candidate should demonstrate the ability to combine a detailed understanding and analysis of the water industry with existing in-depth technical skills to opti</w:t>
            </w:r>
            <w:r w:rsidRPr="00EF2BC5">
              <w:t>mise personal contribution to the water organisation including:</w:t>
            </w:r>
          </w:p>
          <w:p w:rsidR="00000000" w:rsidRPr="00EF2BC5" w:rsidP="00EF2BC5">
            <w:pPr>
              <w:pStyle w:val="ListBullet"/>
            </w:pPr>
            <w:r w:rsidRPr="00EF2BC5">
              <w:t>researching industry structure, size and trends</w:t>
            </w:r>
          </w:p>
          <w:p w:rsidR="00000000" w:rsidRPr="00EF2BC5" w:rsidP="00EF2BC5">
            <w:pPr>
              <w:pStyle w:val="ListBullet"/>
            </w:pPr>
            <w:r w:rsidRPr="00EF2BC5">
              <w:t>reviewing and critically evaluating industry and organisational data to form evidence-based assessments and decisions</w:t>
            </w:r>
          </w:p>
          <w:p w:rsidR="00000000" w:rsidRPr="00EF2BC5" w:rsidP="00EF2BC5">
            <w:pPr>
              <w:pStyle w:val="ListBullet"/>
            </w:pPr>
            <w:r w:rsidRPr="00EF2BC5">
              <w:t>conducting reviews of cur</w:t>
            </w:r>
            <w:r w:rsidRPr="00EF2BC5">
              <w:t>rent policies, plans and processes to deliver improved outcomes</w:t>
            </w:r>
          </w:p>
          <w:p w:rsidR="00000000" w:rsidP="00EF2BC5">
            <w:pPr>
              <w:pStyle w:val="ListBullet"/>
              <w:rPr>
                <w:lang w:val="en-NZ"/>
              </w:rPr>
            </w:pPr>
            <w:r w:rsidRPr="00EF2BC5">
              <w:t>preparing reports and communicating outcomes effectively to other organisational leaders</w:t>
            </w:r>
          </w:p>
        </w:tc>
      </w:tr>
      <w:tr w:rsidTr="00C819B4">
        <w:tblPrEx>
          <w:tblW w:w="0" w:type="auto"/>
          <w:tblLayout w:type="fixed"/>
          <w:tblCellMar>
            <w:left w:w="62" w:type="dxa"/>
            <w:right w:w="62" w:type="dxa"/>
          </w:tblCellMar>
          <w:tblLook w:val="0000"/>
        </w:tblPrEx>
        <w:tc>
          <w:tcPr>
            <w:tcW w:w="2964" w:type="dxa"/>
            <w:tcBorders>
              <w:top w:val="nil"/>
              <w:left w:val="nil"/>
              <w:bottom w:val="nil"/>
              <w:right w:val="nil"/>
            </w:tcBorders>
            <w:tcMar>
              <w:top w:w="0" w:type="dxa"/>
              <w:left w:w="62" w:type="dxa"/>
              <w:bottom w:w="0" w:type="dxa"/>
              <w:right w:w="62" w:type="dxa"/>
            </w:tcMar>
          </w:tcPr>
          <w:p w:rsidR="00000000" w:rsidP="00EF2BC5">
            <w:pPr>
              <w:pStyle w:val="BodyText"/>
              <w:rPr>
                <w:lang w:val="en-NZ"/>
              </w:rPr>
            </w:pPr>
            <w:r w:rsidRPr="00EF2BC5">
              <w:rPr>
                <w:rStyle w:val="SpecialBold"/>
              </w:rPr>
              <w:t>Context of and specific resources for assessment</w:t>
            </w:r>
          </w:p>
        </w:tc>
        <w:tc>
          <w:tcPr>
            <w:tcW w:w="6005" w:type="dxa"/>
            <w:tcBorders>
              <w:top w:val="nil"/>
              <w:left w:val="nil"/>
              <w:bottom w:val="nil"/>
              <w:right w:val="nil"/>
            </w:tcBorders>
            <w:tcMar>
              <w:top w:w="0" w:type="dxa"/>
              <w:left w:w="62" w:type="dxa"/>
              <w:bottom w:w="0" w:type="dxa"/>
              <w:right w:w="62" w:type="dxa"/>
            </w:tcMar>
          </w:tcPr>
          <w:p w:rsidR="00000000" w:rsidRPr="00EF2BC5" w:rsidP="00EF2BC5">
            <w:pPr>
              <w:pStyle w:val="BodyText"/>
            </w:pPr>
            <w:r w:rsidRPr="00EF2BC5">
              <w:t xml:space="preserve">Access to the workplace and resources including: </w:t>
            </w:r>
          </w:p>
          <w:p w:rsidR="00000000" w:rsidRPr="00EF2BC5" w:rsidP="00EF2BC5">
            <w:pPr>
              <w:pStyle w:val="ListBullet"/>
            </w:pPr>
            <w:r w:rsidRPr="00EF2BC5">
              <w:t>documentation that should normally be available in a water industry organisation</w:t>
            </w:r>
          </w:p>
          <w:p w:rsidR="00000000" w:rsidRPr="00EF2BC5" w:rsidP="00EF2BC5">
            <w:pPr>
              <w:pStyle w:val="ListBullet"/>
            </w:pPr>
            <w:r w:rsidRPr="00EF2BC5">
              <w:t>relevant codes, standards and government regulations</w:t>
            </w:r>
          </w:p>
          <w:p w:rsidR="00000000" w:rsidRPr="00EF2BC5" w:rsidP="00EF2BC5">
            <w:pPr>
              <w:pStyle w:val="BodyText"/>
            </w:pPr>
            <w:r w:rsidRPr="00EF2BC5">
              <w:t>Where applicable, physical resources should include equipment modified for people with disabilities.</w:t>
            </w:r>
          </w:p>
          <w:p w:rsidR="00000000" w:rsidRPr="00EF2BC5" w:rsidP="00EF2BC5">
            <w:pPr>
              <w:pStyle w:val="BodyText"/>
            </w:pPr>
            <w:r w:rsidRPr="00EF2BC5">
              <w:t>Access must be provid</w:t>
            </w:r>
            <w:r w:rsidRPr="00EF2BC5">
              <w:t>ed to appropriate learning and assessment support when required.</w:t>
            </w:r>
          </w:p>
          <w:p w:rsidR="00000000" w:rsidRPr="00EF2BC5" w:rsidP="00EF2BC5">
            <w:pPr>
              <w:pStyle w:val="BodyText"/>
            </w:pPr>
            <w:r w:rsidRPr="00EF2BC5">
              <w:t xml:space="preserve">Assessment processes and techniques must be culturally appropriate, and appropriate to the language and literacy capacity of the candidate and the work being performed. </w:t>
            </w:r>
          </w:p>
          <w:p w:rsidR="00000000" w:rsidRPr="00EF2BC5" w:rsidP="00EF2BC5">
            <w:pPr>
              <w:pStyle w:val="BodyText"/>
            </w:pPr>
            <w:r w:rsidRPr="00EF2BC5">
              <w:t>Validity and sufficie</w:t>
            </w:r>
            <w:r w:rsidRPr="00EF2BC5">
              <w:t>ncy of evidence requires that:</w:t>
            </w:r>
          </w:p>
          <w:p w:rsidR="00000000" w:rsidRPr="00EF2BC5" w:rsidP="00EF2BC5">
            <w:pPr>
              <w:pStyle w:val="ListBullet"/>
            </w:pPr>
            <w:r w:rsidRPr="00EF2BC5">
              <w:t>competency will need to be demonstrated over a period of time reflecting the scope of the role and the practical requirements of the workplace</w:t>
            </w:r>
          </w:p>
          <w:p w:rsidR="00000000" w:rsidRPr="00EF2BC5" w:rsidP="00EF2BC5">
            <w:pPr>
              <w:pStyle w:val="ListBullet"/>
            </w:pPr>
            <w:r w:rsidRPr="00EF2BC5">
              <w:t>where the assessment is part of a structured learning experience the evidence col</w:t>
            </w:r>
            <w:r w:rsidRPr="00EF2BC5">
              <w:t>lected must relate to a number of performances assessed at different points in time and separated by further learning and practice</w:t>
            </w:r>
          </w:p>
          <w:p w:rsidR="00000000" w:rsidRPr="00EF2BC5" w:rsidP="00EF2BC5">
            <w:pPr>
              <w:pStyle w:val="ListBullet"/>
            </w:pPr>
            <w:r w:rsidRPr="00EF2BC5">
              <w:t>a decision of competence should only be made when the assessor has complete confidence in the person's competence over time a</w:t>
            </w:r>
            <w:r w:rsidRPr="00EF2BC5">
              <w:t>nd in various contexts</w:t>
            </w:r>
          </w:p>
          <w:p w:rsidR="00000000" w:rsidRPr="00EF2BC5" w:rsidP="00EF2BC5">
            <w:pPr>
              <w:pStyle w:val="ListBullet"/>
            </w:pPr>
            <w:r w:rsidRPr="00EF2BC5">
              <w:t>all assessment that is part of a structured learning experience must include a combination of direct, indirect and supplementary evidence</w:t>
            </w:r>
          </w:p>
          <w:p w:rsidR="00000000" w:rsidRPr="00EF2BC5" w:rsidP="00EF2BC5">
            <w:pPr>
              <w:pStyle w:val="ListBullet"/>
            </w:pPr>
            <w:r w:rsidRPr="00EF2BC5">
              <w:t>where assessment is for the purpose of recognition (RCC/RPL), the evidence provided will need t</w:t>
            </w:r>
            <w:r w:rsidRPr="00EF2BC5">
              <w:t>o be authenticated and show that it represents competency demonstrated over a period of time</w:t>
            </w:r>
          </w:p>
          <w:p w:rsidR="00000000" w:rsidRPr="00EF2BC5" w:rsidP="00EF2BC5">
            <w:pPr>
              <w:pStyle w:val="ListBullet"/>
            </w:pPr>
            <w:r w:rsidRPr="00EF2BC5">
              <w:t>assessment can be through simulated project-based activity and must include evidence relating to each of the elements in this unit</w:t>
            </w:r>
          </w:p>
          <w:p w:rsidR="00000000" w:rsidRPr="00EF2BC5" w:rsidP="00EF2BC5">
            <w:pPr>
              <w:pStyle w:val="BodyText"/>
            </w:pPr>
            <w:r w:rsidRPr="00EF2BC5">
              <w:t>In all cases where practical ass</w:t>
            </w:r>
            <w:r w:rsidRPr="00EF2BC5">
              <w:t>essment is used it will be combined with targeted questioning to assess the underpinning knowledge. Questioning will be undertaken in a manner appropriate to the skill levels of the operator and cultural issues that may affect responses to the questions, a</w:t>
            </w:r>
            <w:r w:rsidRPr="00EF2BC5">
              <w:t>nd will reflect the requirements of the competency and the work being performed.</w:t>
            </w:r>
          </w:p>
        </w:tc>
      </w:tr>
    </w:tbl>
    <w:p w:rsidR="00000000" w:rsidRPr="00EF2BC5" w:rsidP="00EF2BC5">
      <w:pPr>
        <w:pStyle w:val="BodyText"/>
      </w:pPr>
    </w:p>
    <w:p w:rsidR="00000000" w:rsidRPr="00EF2BC5" w:rsidP="00EF2BC5">
      <w:pPr>
        <w:pStyle w:val="AllowPageBreak"/>
      </w:pPr>
    </w:p>
    <w:p w:rsidR="00000000" w:rsidRPr="00EF2BC5" w:rsidP="00EF2BC5">
      <w:pPr>
        <w:pStyle w:val="Heading1"/>
      </w:pPr>
      <w:bookmarkStart w:id="11" w:name="O_402982"/>
      <w:bookmarkEnd w:id="11"/>
      <w:r w:rsidRPr="00EF2BC5">
        <w:t>Range Statement</w:t>
      </w:r>
    </w:p>
    <w:tbl>
      <w:tblPr>
        <w:tblW w:w="0" w:type="auto"/>
        <w:tblLayout w:type="fixed"/>
        <w:tblCellMar>
          <w:left w:w="62" w:type="dxa"/>
          <w:right w:w="62" w:type="dxa"/>
        </w:tblCellMar>
        <w:tblLook w:val="0000"/>
      </w:tblPr>
      <w:tblGrid>
        <w:gridCol w:w="2854"/>
        <w:gridCol w:w="5668"/>
      </w:tblGrid>
      <w:tr w:rsidTr="00C819B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F2BC5">
            <w:pPr>
              <w:pStyle w:val="BodyText"/>
              <w:rPr>
                <w:lang w:val="en-NZ"/>
              </w:rPr>
            </w:pPr>
            <w:r w:rsidRPr="00EF2BC5">
              <w:t xml:space="preserve">The range statement relates to the unit of competency as a whole. It allows for different work environments and situations that may affect </w:t>
            </w:r>
            <w:r w:rsidRPr="00EF2BC5">
              <w:t xml:space="preserve">performance. </w:t>
            </w:r>
            <w:r w:rsidRPr="00EF2BC5">
              <w:rPr>
                <w:rStyle w:val="BoldandItalics"/>
              </w:rPr>
              <w:t>Bold italicised</w:t>
            </w:r>
            <w:r w:rsidRPr="00EF2BC5">
              <w:t xml:space="preserve"> wording, if used in the performance criteria, is detailed below. Add any essential operating conditions that may be present with training and assessment depending on the work situation, needs of the candidate, accessibility of </w:t>
            </w:r>
            <w:r w:rsidRPr="00EF2BC5">
              <w:t>the item, and local industry and regional contexts.</w:t>
            </w:r>
          </w:p>
        </w:tc>
      </w:tr>
      <w:tr w:rsidTr="00C819B4">
        <w:tblPrEx>
          <w:tblW w:w="0" w:type="auto"/>
          <w:tblLayout w:type="fixed"/>
          <w:tblCellMar>
            <w:left w:w="62" w:type="dxa"/>
            <w:right w:w="62" w:type="dxa"/>
          </w:tblCellMar>
          <w:tblLook w:val="0000"/>
        </w:tblPrEx>
        <w:tc>
          <w:tcPr>
            <w:tcW w:w="2854" w:type="dxa"/>
            <w:tcBorders>
              <w:top w:val="nil"/>
              <w:left w:val="nil"/>
              <w:bottom w:val="nil"/>
              <w:right w:val="nil"/>
            </w:tcBorders>
            <w:tcMar>
              <w:top w:w="0" w:type="dxa"/>
              <w:left w:w="62" w:type="dxa"/>
              <w:bottom w:w="0" w:type="dxa"/>
              <w:right w:w="62" w:type="dxa"/>
            </w:tcMar>
          </w:tcPr>
          <w:p w:rsidR="00000000" w:rsidP="00EF2BC5">
            <w:pPr>
              <w:pStyle w:val="BodyText"/>
              <w:rPr>
                <w:lang w:val="en-NZ"/>
              </w:rPr>
            </w:pPr>
            <w:r w:rsidRPr="00EF2BC5">
              <w:rPr>
                <w:rStyle w:val="BoldandItalics"/>
              </w:rPr>
              <w:t>Legislative requirements</w:t>
            </w:r>
            <w:r w:rsidRPr="00EF2BC5">
              <w:t xml:space="preserve"> may include:</w:t>
            </w:r>
          </w:p>
        </w:tc>
        <w:tc>
          <w:tcPr>
            <w:tcW w:w="5668" w:type="dxa"/>
            <w:tcBorders>
              <w:top w:val="nil"/>
              <w:left w:val="nil"/>
              <w:bottom w:val="nil"/>
              <w:right w:val="nil"/>
            </w:tcBorders>
            <w:tcMar>
              <w:top w:w="0" w:type="dxa"/>
              <w:left w:w="62" w:type="dxa"/>
              <w:bottom w:w="0" w:type="dxa"/>
              <w:right w:w="62" w:type="dxa"/>
            </w:tcMar>
          </w:tcPr>
          <w:p w:rsidR="00000000" w:rsidRPr="00EF2BC5" w:rsidP="00EF2BC5">
            <w:pPr>
              <w:pStyle w:val="ListBullet"/>
            </w:pPr>
            <w:r w:rsidRPr="00EF2BC5">
              <w:t>relevant federal and state or territory legislation</w:t>
            </w:r>
          </w:p>
          <w:p w:rsidR="00000000" w:rsidRPr="00EF2BC5" w:rsidP="00EF2BC5">
            <w:pPr>
              <w:pStyle w:val="ListBullet"/>
            </w:pPr>
            <w:r w:rsidRPr="00EF2BC5">
              <w:t>relevant local government by-laws</w:t>
            </w:r>
          </w:p>
          <w:p w:rsidR="00000000" w:rsidRPr="00EF2BC5" w:rsidP="00EF2BC5">
            <w:pPr>
              <w:pStyle w:val="ListBullet"/>
            </w:pPr>
            <w:r w:rsidRPr="00EF2BC5">
              <w:t>relevant government and non-government policies and regulations</w:t>
            </w:r>
          </w:p>
          <w:p w:rsidR="00000000" w:rsidP="00EF2BC5">
            <w:pPr>
              <w:pStyle w:val="ListBullet"/>
              <w:rPr>
                <w:lang w:val="en-NZ"/>
              </w:rPr>
            </w:pPr>
            <w:r w:rsidRPr="00EF2BC5">
              <w:t>relevant comm</w:t>
            </w:r>
            <w:r w:rsidRPr="00EF2BC5">
              <w:t>unity planning and development agreements, such as land care agreements</w:t>
            </w:r>
          </w:p>
        </w:tc>
      </w:tr>
      <w:tr w:rsidTr="00C819B4">
        <w:tblPrEx>
          <w:tblW w:w="0" w:type="auto"/>
          <w:tblLayout w:type="fixed"/>
          <w:tblCellMar>
            <w:left w:w="62" w:type="dxa"/>
            <w:right w:w="62" w:type="dxa"/>
          </w:tblCellMar>
          <w:tblLook w:val="0000"/>
        </w:tblPrEx>
        <w:tc>
          <w:tcPr>
            <w:tcW w:w="2854" w:type="dxa"/>
            <w:tcBorders>
              <w:top w:val="nil"/>
              <w:left w:val="nil"/>
              <w:bottom w:val="nil"/>
              <w:right w:val="nil"/>
            </w:tcBorders>
            <w:tcMar>
              <w:top w:w="0" w:type="dxa"/>
              <w:left w:w="62" w:type="dxa"/>
              <w:bottom w:w="0" w:type="dxa"/>
              <w:right w:w="62" w:type="dxa"/>
            </w:tcMar>
          </w:tcPr>
          <w:p w:rsidR="00000000" w:rsidP="00EF2BC5">
            <w:pPr>
              <w:pStyle w:val="BodyText"/>
              <w:rPr>
                <w:lang w:val="en-NZ"/>
              </w:rPr>
            </w:pPr>
            <w:r w:rsidRPr="00EF2BC5">
              <w:rPr>
                <w:rStyle w:val="BoldandItalics"/>
              </w:rPr>
              <w:t>Environmentally sustainable practices</w:t>
            </w:r>
            <w:r w:rsidRPr="00EF2BC5">
              <w:t xml:space="preserve"> may include:</w:t>
            </w:r>
          </w:p>
        </w:tc>
        <w:tc>
          <w:tcPr>
            <w:tcW w:w="5668" w:type="dxa"/>
            <w:tcBorders>
              <w:top w:val="nil"/>
              <w:left w:val="nil"/>
              <w:bottom w:val="nil"/>
              <w:right w:val="nil"/>
            </w:tcBorders>
            <w:tcMar>
              <w:top w:w="0" w:type="dxa"/>
              <w:left w:w="62" w:type="dxa"/>
              <w:bottom w:w="0" w:type="dxa"/>
              <w:right w:w="62" w:type="dxa"/>
            </w:tcMar>
          </w:tcPr>
          <w:p w:rsidR="00000000" w:rsidRPr="00EF2BC5" w:rsidP="00EF2BC5">
            <w:pPr>
              <w:pStyle w:val="ListBullet"/>
            </w:pPr>
            <w:r w:rsidRPr="00EF2BC5">
              <w:t>minimising factors that contribute to environmental degradation</w:t>
            </w:r>
          </w:p>
          <w:p w:rsidR="00000000" w:rsidRPr="00EF2BC5" w:rsidP="00EF2BC5">
            <w:pPr>
              <w:pStyle w:val="ListBullet"/>
            </w:pPr>
            <w:r w:rsidRPr="00EF2BC5">
              <w:t>directly or indirectly minimising production of greenhouse gases</w:t>
            </w:r>
          </w:p>
          <w:p w:rsidR="00000000" w:rsidRPr="00EF2BC5" w:rsidP="00EF2BC5">
            <w:pPr>
              <w:pStyle w:val="ListBullet"/>
            </w:pPr>
            <w:r w:rsidRPr="00EF2BC5">
              <w:t>other contributing factors, including:</w:t>
            </w:r>
          </w:p>
          <w:p w:rsidR="00000000" w:rsidRPr="00EF2BC5" w:rsidP="00EF2BC5">
            <w:pPr>
              <w:pStyle w:val="ListBullet"/>
            </w:pPr>
            <w:r w:rsidRPr="00EF2BC5">
              <w:t>minimisation of waste materials</w:t>
            </w:r>
          </w:p>
          <w:p w:rsidR="00000000" w:rsidRPr="00EF2BC5" w:rsidP="00EF2BC5">
            <w:pPr>
              <w:pStyle w:val="ListBullet"/>
            </w:pPr>
            <w:r w:rsidRPr="00EF2BC5">
              <w:t>correct use of enterprise vehicles and machinery</w:t>
            </w:r>
          </w:p>
          <w:p w:rsidR="00000000" w:rsidRPr="00EF2BC5" w:rsidP="00EF2BC5">
            <w:pPr>
              <w:pStyle w:val="ListBullet"/>
            </w:pPr>
            <w:r w:rsidRPr="00EF2BC5">
              <w:t>re-use or recycling of trade materials where possible</w:t>
            </w:r>
          </w:p>
          <w:p w:rsidR="00000000" w:rsidRPr="00EF2BC5" w:rsidP="00EF2BC5">
            <w:pPr>
              <w:pStyle w:val="ListBullet"/>
            </w:pPr>
            <w:r w:rsidRPr="00EF2BC5">
              <w:t>overall reduction of energy usage through general awareness</w:t>
            </w:r>
          </w:p>
          <w:p w:rsidR="00000000" w:rsidRPr="00EF2BC5" w:rsidP="00EF2BC5">
            <w:pPr>
              <w:pStyle w:val="ListBullet"/>
            </w:pPr>
            <w:r w:rsidRPr="00EF2BC5">
              <w:t>use of appropriate tec</w:t>
            </w:r>
            <w:r w:rsidRPr="00EF2BC5">
              <w:t>hnologies</w:t>
            </w:r>
          </w:p>
          <w:p w:rsidR="00000000" w:rsidRPr="00EF2BC5" w:rsidP="00EF2BC5">
            <w:pPr>
              <w:pStyle w:val="ListBullet"/>
            </w:pPr>
            <w:r w:rsidRPr="00EF2BC5">
              <w:t>licensing agreements</w:t>
            </w:r>
          </w:p>
          <w:p w:rsidR="00000000" w:rsidRPr="00EF2BC5" w:rsidP="00EF2BC5">
            <w:pPr>
              <w:pStyle w:val="ListBullet"/>
            </w:pPr>
            <w:r w:rsidRPr="00EF2BC5">
              <w:t>proper disposal of waste materials</w:t>
            </w:r>
          </w:p>
          <w:p w:rsidR="00000000" w:rsidRPr="00EF2BC5" w:rsidP="00EF2BC5">
            <w:pPr>
              <w:pStyle w:val="ListBullet"/>
            </w:pPr>
            <w:r w:rsidRPr="00EF2BC5">
              <w:t>restriction of burning off</w:t>
            </w:r>
          </w:p>
          <w:p w:rsidR="00000000" w:rsidRPr="00EF2BC5" w:rsidP="00EF2BC5">
            <w:pPr>
              <w:pStyle w:val="ListBullet"/>
            </w:pPr>
            <w:r w:rsidRPr="00EF2BC5">
              <w:t>correct handling of toxic substances</w:t>
            </w:r>
          </w:p>
          <w:p w:rsidR="00000000" w:rsidRPr="00EF2BC5" w:rsidP="00EF2BC5">
            <w:pPr>
              <w:pStyle w:val="ListBullet"/>
            </w:pPr>
            <w:r w:rsidRPr="00EF2BC5">
              <w:t>containment of chlorofluorocarbons and other hazardous substances</w:t>
            </w:r>
          </w:p>
        </w:tc>
      </w:tr>
    </w:tbl>
    <w:p w:rsidR="00C819B4" w:rsidP="00EF2BC5">
      <w:pPr>
        <w:pStyle w:val="BodyText"/>
      </w:pPr>
    </w:p>
    <w:p w:rsidR="00C819B4" w:rsidP="00EF2BC5">
      <w:pPr>
        <w:pStyle w:val="BodyText"/>
      </w:pPr>
    </w:p>
    <w:p w:rsidR="00000000" w:rsidRPr="00EF2BC5" w:rsidP="00EF2BC5">
      <w:pPr>
        <w:pStyle w:val="Heading1"/>
      </w:pPr>
      <w:bookmarkStart w:id="12" w:name="O_402979"/>
      <w:bookmarkEnd w:id="12"/>
      <w:r w:rsidRPr="00EF2BC5">
        <w:t>Unit Sector(s)</w:t>
      </w:r>
    </w:p>
    <w:p w:rsidR="00000000" w:rsidRPr="00EF2BC5" w:rsidP="00EF2BC5">
      <w:pPr>
        <w:pStyle w:val="BodyText"/>
      </w:pPr>
      <w:r w:rsidRPr="00EF2BC5">
        <w:t>Not applicable.</w:t>
      </w:r>
    </w:p>
    <w:p w:rsidR="00000000" w:rsidRPr="00EF2BC5" w:rsidP="00EF2BC5">
      <w:pPr>
        <w:pStyle w:val="AllowPageBreak"/>
      </w:pPr>
    </w:p>
    <w:p w:rsidR="00000000" w:rsidRPr="00EF2BC5" w:rsidP="00EF2BC5">
      <w:pPr>
        <w:pStyle w:val="Heading1"/>
      </w:pPr>
      <w:bookmarkStart w:id="13" w:name="O_402991"/>
      <w:bookmarkEnd w:id="13"/>
      <w:r w:rsidRPr="00EF2BC5">
        <w:t>Competency field</w:t>
      </w:r>
    </w:p>
    <w:p w:rsidR="00000000" w:rsidRPr="00EF2BC5" w:rsidP="00EF2BC5">
      <w:pPr>
        <w:pStyle w:val="BodyText"/>
      </w:pPr>
      <w:r w:rsidRPr="00EF2BC5">
        <w:t>Leadership.</w:t>
      </w:r>
    </w:p>
    <w:p w:rsidR="00000000" w:rsidRPr="00EF2BC5" w:rsidP="00EF2BC5"/>
    <w:sectPr w:rsidSect="00EF2B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9B4" w:rsidP="00C819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9B4" w:rsidP="00EF2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819B4" w:rsidP="00EF2B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819B4" w:rsidP="00EF2B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9B4" w:rsidP="00C819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9B4" w:rsidP="00EF2BC5">
    <w:pPr>
      <w:pStyle w:val="Header"/>
      <w:framePr w:wrap="around"/>
    </w:pPr>
    <w:r>
      <w:fldChar w:fldCharType="begin"/>
    </w:r>
    <w:r>
      <w:instrText xml:space="preserve"> TITLE   \* MERGEFORMAT </w:instrText>
    </w:r>
    <w:r>
      <w:fldChar w:fldCharType="separate"/>
    </w:r>
    <w:r>
      <w:t>NWP701A Contribute to the development of a complex water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19B4" w:rsidP="00EF2B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60E0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50D6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B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2BC5"/>
    <w:pPr>
      <w:spacing w:before="360" w:after="60"/>
      <w:outlineLvl w:val="0"/>
    </w:pPr>
    <w:rPr>
      <w:sz w:val="32"/>
    </w:rPr>
  </w:style>
  <w:style w:type="paragraph" w:styleId="Heading2">
    <w:name w:val="heading 2"/>
    <w:basedOn w:val="HeadingBase"/>
    <w:next w:val="BodyText"/>
    <w:link w:val="Heading2Char"/>
    <w:qFormat/>
    <w:rsid w:val="00EF2BC5"/>
    <w:pPr>
      <w:keepLines/>
      <w:spacing w:before="240" w:after="120"/>
      <w:outlineLvl w:val="1"/>
    </w:pPr>
    <w:rPr>
      <w:sz w:val="28"/>
      <w:szCs w:val="40"/>
    </w:rPr>
  </w:style>
  <w:style w:type="paragraph" w:styleId="Heading3">
    <w:name w:val="heading 3"/>
    <w:basedOn w:val="HeadingBase"/>
    <w:next w:val="BodyText"/>
    <w:link w:val="Heading3Char"/>
    <w:qFormat/>
    <w:rsid w:val="00EF2BC5"/>
    <w:pPr>
      <w:spacing w:before="180" w:after="120"/>
      <w:outlineLvl w:val="2"/>
    </w:pPr>
    <w:rPr>
      <w:spacing w:val="-10"/>
      <w:kern w:val="32"/>
    </w:rPr>
  </w:style>
  <w:style w:type="paragraph" w:styleId="Heading4">
    <w:name w:val="heading 4"/>
    <w:basedOn w:val="HeadingBase"/>
    <w:next w:val="BodyText"/>
    <w:link w:val="Heading4Char"/>
    <w:qFormat/>
    <w:rsid w:val="00EF2BC5"/>
    <w:pPr>
      <w:spacing w:before="160" w:after="120"/>
      <w:outlineLvl w:val="3"/>
    </w:pPr>
    <w:rPr>
      <w:sz w:val="22"/>
    </w:rPr>
  </w:style>
  <w:style w:type="paragraph" w:styleId="Heading5">
    <w:name w:val="heading 5"/>
    <w:basedOn w:val="HeadingBase"/>
    <w:next w:val="Normal"/>
    <w:link w:val="Heading5Char"/>
    <w:qFormat/>
    <w:rsid w:val="00EF2BC5"/>
    <w:pPr>
      <w:spacing w:before="80"/>
      <w:outlineLvl w:val="4"/>
    </w:pPr>
    <w:rPr>
      <w:color w:val="918585"/>
      <w:sz w:val="20"/>
    </w:rPr>
  </w:style>
  <w:style w:type="paragraph" w:styleId="Heading6">
    <w:name w:val="heading 6"/>
    <w:basedOn w:val="HeadingBase"/>
    <w:next w:val="Normal"/>
    <w:link w:val="Heading6Char"/>
    <w:qFormat/>
    <w:rsid w:val="00EF2BC5"/>
    <w:pPr>
      <w:spacing w:before="60"/>
      <w:outlineLvl w:val="5"/>
    </w:pPr>
    <w:rPr>
      <w:color w:val="918585"/>
      <w:sz w:val="20"/>
    </w:rPr>
  </w:style>
  <w:style w:type="paragraph" w:styleId="Heading7">
    <w:name w:val="heading 7"/>
    <w:basedOn w:val="Normal"/>
    <w:next w:val="Normal"/>
    <w:link w:val="Heading7Char"/>
    <w:qFormat/>
    <w:rsid w:val="00EF2BC5"/>
    <w:pPr>
      <w:ind w:left="720"/>
      <w:outlineLvl w:val="6"/>
    </w:pPr>
    <w:rPr>
      <w:i/>
    </w:rPr>
  </w:style>
  <w:style w:type="paragraph" w:styleId="Heading8">
    <w:name w:val="heading 8"/>
    <w:basedOn w:val="Normal"/>
    <w:next w:val="Normal"/>
    <w:link w:val="Heading8Char"/>
    <w:qFormat/>
    <w:rsid w:val="00EF2BC5"/>
    <w:pPr>
      <w:ind w:left="720"/>
      <w:outlineLvl w:val="7"/>
    </w:pPr>
    <w:rPr>
      <w:i/>
    </w:rPr>
  </w:style>
  <w:style w:type="paragraph" w:styleId="Heading9">
    <w:name w:val="heading 9"/>
    <w:basedOn w:val="Normal"/>
    <w:next w:val="Normal"/>
    <w:link w:val="Heading9Char"/>
    <w:qFormat/>
    <w:rsid w:val="00EF2BC5"/>
    <w:pPr>
      <w:ind w:left="720"/>
      <w:outlineLvl w:val="8"/>
    </w:pPr>
    <w:rPr>
      <w:i/>
    </w:rPr>
  </w:style>
  <w:style w:type="character" w:default="1" w:styleId="DefaultParagraphFont">
    <w:name w:val="Default Paragraph Font"/>
    <w:uiPriority w:val="1"/>
    <w:unhideWhenUsed/>
    <w:rsid w:val="00EF2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2BC5"/>
  </w:style>
  <w:style w:type="character" w:customStyle="1" w:styleId="Heading1Char">
    <w:name w:val="Heading 1 Char"/>
    <w:basedOn w:val="DefaultParagraphFont"/>
    <w:link w:val="Heading1"/>
    <w:rsid w:val="00EF2BC5"/>
    <w:rPr>
      <w:rFonts w:ascii="Times New Roman" w:eastAsia="Times New Roman" w:hAnsi="Times New Roman" w:cs="Times New Roman"/>
      <w:b/>
      <w:sz w:val="32"/>
      <w:szCs w:val="20"/>
      <w:lang w:eastAsia="en-US"/>
    </w:rPr>
  </w:style>
  <w:style w:type="paragraph" w:styleId="BodyText">
    <w:name w:val="Body Text"/>
    <w:basedOn w:val="Normal"/>
    <w:link w:val="BodyTextChar"/>
    <w:rsid w:val="00EF2B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2BC5"/>
    <w:rPr>
      <w:rFonts w:ascii="Times New Roman" w:eastAsia="Times New Roman" w:hAnsi="Times New Roman" w:cs="Times New Roman"/>
      <w:sz w:val="24"/>
      <w:lang w:val="en-US" w:eastAsia="en-US"/>
    </w:rPr>
  </w:style>
  <w:style w:type="paragraph" w:styleId="Footer">
    <w:name w:val="footer"/>
    <w:basedOn w:val="Normal"/>
    <w:link w:val="FooterChar"/>
    <w:rsid w:val="00EF2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2BC5"/>
    <w:rPr>
      <w:rFonts w:ascii="Times New Roman" w:eastAsia="Times New Roman" w:hAnsi="Times New Roman" w:cs="Times New Roman"/>
      <w:sz w:val="16"/>
      <w:lang w:val="en-US" w:eastAsia="en-US"/>
    </w:rPr>
  </w:style>
  <w:style w:type="paragraph" w:styleId="List">
    <w:name w:val="List"/>
    <w:basedOn w:val="BodyText"/>
    <w:next w:val="BodyText"/>
    <w:rsid w:val="00EF2BC5"/>
    <w:pPr>
      <w:tabs>
        <w:tab w:val="left" w:pos="340"/>
      </w:tabs>
      <w:spacing w:before="60" w:after="60"/>
      <w:ind w:left="340" w:hanging="340"/>
    </w:pPr>
  </w:style>
  <w:style w:type="paragraph" w:styleId="ListBullet">
    <w:name w:val="List Bullet"/>
    <w:basedOn w:val="List"/>
    <w:rsid w:val="00EF2BC5"/>
    <w:pPr>
      <w:numPr>
        <w:numId w:val="12"/>
      </w:numPr>
      <w:tabs>
        <w:tab w:val="clear" w:pos="340"/>
      </w:tabs>
      <w:spacing w:before="40" w:after="40"/>
    </w:pPr>
  </w:style>
  <w:style w:type="character" w:customStyle="1" w:styleId="SpecialBold">
    <w:name w:val="Special Bold"/>
    <w:basedOn w:val="DefaultParagraphFont"/>
    <w:rsid w:val="00EF2BC5"/>
    <w:rPr>
      <w:b/>
      <w:spacing w:val="0"/>
    </w:rPr>
  </w:style>
  <w:style w:type="paragraph" w:styleId="Header">
    <w:name w:val="header"/>
    <w:basedOn w:val="Normal"/>
    <w:link w:val="HeaderChar"/>
    <w:rsid w:val="00EF2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2B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F2BC5"/>
    <w:pPr>
      <w:spacing w:before="240" w:after="120"/>
      <w:outlineLvl w:val="0"/>
    </w:pPr>
    <w:rPr>
      <w:rFonts w:ascii="Times New Roman" w:hAnsi="Times New Roman"/>
      <w:b/>
      <w:sz w:val="28"/>
    </w:rPr>
  </w:style>
  <w:style w:type="paragraph" w:customStyle="1" w:styleId="AllowPageBreak">
    <w:name w:val="AllowPageBreak"/>
    <w:rsid w:val="00EF2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2BC5"/>
    <w:rPr>
      <w:b/>
      <w:i/>
      <w:u w:val="none"/>
    </w:rPr>
  </w:style>
  <w:style w:type="character" w:customStyle="1" w:styleId="Heading2Char">
    <w:name w:val="Heading 2 Char"/>
    <w:basedOn w:val="DefaultParagraphFont"/>
    <w:link w:val="Heading2"/>
    <w:rsid w:val="00EF2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2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2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2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2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2B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2B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2BC5"/>
    <w:rPr>
      <w:rFonts w:ascii="Courier New" w:eastAsia="Times New Roman" w:hAnsi="Courier New" w:cs="Times New Roman"/>
      <w:i/>
      <w:szCs w:val="20"/>
      <w:lang w:val="en-US" w:eastAsia="en-US"/>
    </w:rPr>
  </w:style>
  <w:style w:type="paragraph" w:customStyle="1" w:styleId="HeadingBase">
    <w:name w:val="Heading Base"/>
    <w:rsid w:val="00EF2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2BC5"/>
    <w:pPr>
      <w:tabs>
        <w:tab w:val="right" w:leader="dot" w:pos="9072"/>
      </w:tabs>
      <w:ind w:left="567"/>
    </w:pPr>
    <w:rPr>
      <w:szCs w:val="22"/>
    </w:rPr>
  </w:style>
  <w:style w:type="paragraph" w:customStyle="1" w:styleId="TOCBase">
    <w:name w:val="TOC Base"/>
    <w:rsid w:val="00EF2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2BC5"/>
    <w:pPr>
      <w:tabs>
        <w:tab w:val="right" w:leader="dot" w:pos="9072"/>
      </w:tabs>
      <w:spacing w:before="40" w:after="40"/>
      <w:ind w:left="284"/>
    </w:pPr>
    <w:rPr>
      <w:rFonts w:ascii="Times New Roman" w:hAnsi="Times New Roman"/>
    </w:rPr>
  </w:style>
  <w:style w:type="paragraph" w:styleId="TOC1">
    <w:name w:val="toc 1"/>
    <w:basedOn w:val="TOCBase"/>
    <w:next w:val="Normal"/>
    <w:rsid w:val="00EF2B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2BC5"/>
    <w:pPr>
      <w:spacing w:before="5040"/>
      <w:jc w:val="center"/>
    </w:pPr>
    <w:rPr>
      <w:sz w:val="48"/>
      <w:szCs w:val="72"/>
      <w:lang w:val="en-US"/>
    </w:rPr>
  </w:style>
  <w:style w:type="character" w:customStyle="1" w:styleId="TitleChar">
    <w:name w:val="Title Char"/>
    <w:basedOn w:val="DefaultParagraphFont"/>
    <w:link w:val="Title"/>
    <w:rsid w:val="00EF2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2BC5"/>
    <w:pPr>
      <w:tabs>
        <w:tab w:val="left" w:pos="3600"/>
        <w:tab w:val="left" w:pos="3958"/>
      </w:tabs>
    </w:pPr>
  </w:style>
  <w:style w:type="paragraph" w:customStyle="1" w:styleId="Note">
    <w:name w:val="Note"/>
    <w:basedOn w:val="BodyText"/>
    <w:rsid w:val="00EF2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2BC5"/>
    <w:pPr>
      <w:framePr w:wrap="auto" w:hAnchor="text" w:y="6049"/>
    </w:pPr>
    <w:rPr>
      <w:color w:val="000000"/>
      <w:sz w:val="40"/>
    </w:rPr>
  </w:style>
  <w:style w:type="paragraph" w:customStyle="1" w:styleId="TOCTitle">
    <w:name w:val="TOCTitle"/>
    <w:basedOn w:val="Heading1"/>
    <w:rsid w:val="00EF2BC5"/>
    <w:pPr>
      <w:spacing w:after="240"/>
      <w:jc w:val="center"/>
      <w:outlineLvl w:val="9"/>
    </w:pPr>
    <w:rPr>
      <w:caps/>
    </w:rPr>
  </w:style>
  <w:style w:type="paragraph" w:customStyle="1" w:styleId="Version">
    <w:name w:val="Version"/>
    <w:rsid w:val="00EF2B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2BC5"/>
    <w:pPr>
      <w:numPr>
        <w:numId w:val="13"/>
      </w:numPr>
      <w:tabs>
        <w:tab w:val="clear" w:pos="680"/>
      </w:tabs>
    </w:pPr>
  </w:style>
  <w:style w:type="paragraph" w:styleId="Index1">
    <w:name w:val="index 1"/>
    <w:basedOn w:val="Normal"/>
    <w:next w:val="Normal"/>
    <w:semiHidden/>
    <w:rsid w:val="00EF2BC5"/>
    <w:pPr>
      <w:keepNext w:val="0"/>
      <w:tabs>
        <w:tab w:val="right" w:pos="4176"/>
      </w:tabs>
      <w:ind w:left="198" w:hanging="198"/>
    </w:pPr>
    <w:rPr>
      <w:rFonts w:ascii="Garamond" w:hAnsi="Garamond"/>
    </w:rPr>
  </w:style>
  <w:style w:type="paragraph" w:styleId="IndexHeading">
    <w:name w:val="index heading"/>
    <w:basedOn w:val="Normal"/>
    <w:next w:val="Index1"/>
    <w:semiHidden/>
    <w:rsid w:val="00EF2BC5"/>
    <w:pPr>
      <w:spacing w:before="120" w:after="120"/>
    </w:pPr>
    <w:rPr>
      <w:rFonts w:ascii="Arial" w:hAnsi="Arial"/>
      <w:b/>
      <w:color w:val="918585"/>
      <w:sz w:val="24"/>
    </w:rPr>
  </w:style>
  <w:style w:type="paragraph" w:customStyle="1" w:styleId="Chapter">
    <w:name w:val="Chapter"/>
    <w:basedOn w:val="Normal"/>
    <w:rsid w:val="00EF2BC5"/>
    <w:pPr>
      <w:spacing w:before="240"/>
    </w:pPr>
    <w:rPr>
      <w:rFonts w:ascii="Times New Roman" w:hAnsi="Times New Roman"/>
      <w:smallCaps/>
      <w:spacing w:val="80"/>
      <w:sz w:val="28"/>
    </w:rPr>
  </w:style>
  <w:style w:type="paragraph" w:customStyle="1" w:styleId="InChapter">
    <w:name w:val="InChapter"/>
    <w:basedOn w:val="Heading3"/>
    <w:rsid w:val="00EF2BC5"/>
    <w:pPr>
      <w:spacing w:after="240"/>
      <w:outlineLvl w:val="9"/>
    </w:pPr>
    <w:rPr>
      <w:noProof/>
    </w:rPr>
  </w:style>
  <w:style w:type="paragraph" w:styleId="Index2">
    <w:name w:val="index 2"/>
    <w:basedOn w:val="Normal"/>
    <w:next w:val="Normal"/>
    <w:semiHidden/>
    <w:rsid w:val="00EF2BC5"/>
    <w:pPr>
      <w:tabs>
        <w:tab w:val="right" w:pos="4176"/>
      </w:tabs>
      <w:ind w:left="568" w:hanging="284"/>
    </w:pPr>
    <w:rPr>
      <w:rFonts w:ascii="Garamond" w:hAnsi="Garamond"/>
    </w:rPr>
  </w:style>
  <w:style w:type="paragraph" w:customStyle="1" w:styleId="Byline">
    <w:name w:val="Byline"/>
    <w:rsid w:val="00EF2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2BC5"/>
    <w:pPr>
      <w:tabs>
        <w:tab w:val="clear" w:pos="3600"/>
        <w:tab w:val="clear" w:pos="3958"/>
      </w:tabs>
      <w:jc w:val="right"/>
    </w:pPr>
  </w:style>
  <w:style w:type="character" w:styleId="Emphasis">
    <w:name w:val="Emphasis"/>
    <w:basedOn w:val="DefaultParagraphFont"/>
    <w:qFormat/>
    <w:rsid w:val="00EF2BC5"/>
    <w:rPr>
      <w:i/>
    </w:rPr>
  </w:style>
  <w:style w:type="paragraph" w:styleId="Caption">
    <w:name w:val="caption"/>
    <w:basedOn w:val="BodyText"/>
    <w:next w:val="Normal"/>
    <w:qFormat/>
    <w:rsid w:val="00EF2BC5"/>
    <w:pPr>
      <w:framePr w:w="2268" w:hSpace="181" w:vSpace="181" w:wrap="around" w:vAnchor="text" w:hAnchor="page" w:x="1135" w:y="285" w:anchorLock="1"/>
    </w:pPr>
    <w:rPr>
      <w:i/>
    </w:rPr>
  </w:style>
  <w:style w:type="paragraph" w:customStyle="1" w:styleId="MiniTOCTitle">
    <w:name w:val="MiniTOCTitle"/>
    <w:basedOn w:val="Heading4"/>
    <w:rsid w:val="00EF2BC5"/>
    <w:pPr>
      <w:spacing w:before="240"/>
      <w:outlineLvl w:val="9"/>
    </w:pPr>
    <w:rPr>
      <w:noProof/>
      <w:sz w:val="24"/>
    </w:rPr>
  </w:style>
  <w:style w:type="paragraph" w:customStyle="1" w:styleId="MiniTOCItem">
    <w:name w:val="MiniTOCItem"/>
    <w:basedOn w:val="ListBullet"/>
    <w:rsid w:val="00EF2BC5"/>
    <w:pPr>
      <w:numPr>
        <w:numId w:val="0"/>
      </w:numPr>
      <w:tabs>
        <w:tab w:val="right" w:leader="dot" w:pos="6521"/>
      </w:tabs>
      <w:spacing w:before="0" w:after="0"/>
    </w:pPr>
  </w:style>
  <w:style w:type="paragraph" w:customStyle="1" w:styleId="TOFTitle">
    <w:name w:val="TOFTitle"/>
    <w:basedOn w:val="TOCTitle"/>
    <w:rsid w:val="00EF2BC5"/>
  </w:style>
  <w:style w:type="paragraph" w:styleId="TableofFigures">
    <w:name w:val="table of figures"/>
    <w:basedOn w:val="Normal"/>
    <w:next w:val="Normal"/>
    <w:semiHidden/>
    <w:rsid w:val="00EF2BC5"/>
    <w:pPr>
      <w:tabs>
        <w:tab w:val="right" w:leader="dot" w:pos="9072"/>
      </w:tabs>
      <w:ind w:left="970" w:hanging="403"/>
    </w:pPr>
    <w:rPr>
      <w:rFonts w:ascii="Times New Roman" w:hAnsi="Times New Roman"/>
      <w:b/>
    </w:rPr>
  </w:style>
  <w:style w:type="paragraph" w:styleId="ListNumber">
    <w:name w:val="List Number"/>
    <w:basedOn w:val="List"/>
    <w:rsid w:val="00EF2BC5"/>
    <w:pPr>
      <w:numPr>
        <w:numId w:val="10"/>
      </w:numPr>
    </w:pPr>
  </w:style>
  <w:style w:type="character" w:customStyle="1" w:styleId="WingdingSymbols">
    <w:name w:val="Wingding Symbols"/>
    <w:rsid w:val="00EF2BC5"/>
    <w:rPr>
      <w:rFonts w:ascii="Wingdings" w:hAnsi="Wingdings"/>
    </w:rPr>
  </w:style>
  <w:style w:type="paragraph" w:customStyle="1" w:styleId="TableHeading">
    <w:name w:val="Table Heading"/>
    <w:basedOn w:val="HeadingBase"/>
    <w:rsid w:val="00EF2BC5"/>
    <w:pPr>
      <w:keepLines/>
      <w:pBdr>
        <w:bottom w:val="single" w:sz="6" w:space="1" w:color="918585"/>
      </w:pBdr>
      <w:spacing w:before="240"/>
    </w:pPr>
  </w:style>
  <w:style w:type="character" w:customStyle="1" w:styleId="HotSpot">
    <w:name w:val="HotSpot"/>
    <w:rsid w:val="00EF2BC5"/>
    <w:rPr>
      <w:color w:val="0033CC"/>
      <w:u w:val="none"/>
    </w:rPr>
  </w:style>
  <w:style w:type="paragraph" w:customStyle="1" w:styleId="BodyTextRight">
    <w:name w:val="Body Text Right"/>
    <w:basedOn w:val="BodyText"/>
    <w:rsid w:val="00EF2BC5"/>
    <w:pPr>
      <w:spacing w:before="0" w:after="0"/>
      <w:jc w:val="right"/>
    </w:pPr>
  </w:style>
  <w:style w:type="paragraph" w:styleId="Index3">
    <w:name w:val="index 3"/>
    <w:basedOn w:val="ListNumber2"/>
    <w:next w:val="Normal"/>
    <w:semiHidden/>
    <w:rsid w:val="00EF2BC5"/>
    <w:pPr>
      <w:numPr>
        <w:numId w:val="0"/>
      </w:numPr>
      <w:tabs>
        <w:tab w:val="right" w:leader="dot" w:pos="4176"/>
      </w:tabs>
    </w:pPr>
  </w:style>
  <w:style w:type="paragraph" w:styleId="ListNumber2">
    <w:name w:val="List Number 2"/>
    <w:basedOn w:val="List2"/>
    <w:rsid w:val="00EF2BC5"/>
    <w:pPr>
      <w:numPr>
        <w:numId w:val="9"/>
      </w:numPr>
      <w:tabs>
        <w:tab w:val="clear" w:pos="1060"/>
      </w:tabs>
    </w:pPr>
  </w:style>
  <w:style w:type="paragraph" w:customStyle="1" w:styleId="MarginNote">
    <w:name w:val="Margin Note"/>
    <w:basedOn w:val="BodyText"/>
    <w:rsid w:val="00EF2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2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2B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2BC5"/>
    <w:rPr>
      <w:sz w:val="32"/>
    </w:rPr>
  </w:style>
  <w:style w:type="paragraph" w:customStyle="1" w:styleId="HeadingProcedure">
    <w:name w:val="Heading Procedure"/>
    <w:basedOn w:val="HeadingBase"/>
    <w:next w:val="Normal"/>
    <w:rsid w:val="00EF2BC5"/>
    <w:pPr>
      <w:tabs>
        <w:tab w:val="left" w:pos="0"/>
      </w:tabs>
      <w:spacing w:before="120" w:after="60"/>
    </w:pPr>
    <w:rPr>
      <w:i/>
      <w:color w:val="918585"/>
      <w:sz w:val="22"/>
    </w:rPr>
  </w:style>
  <w:style w:type="paragraph" w:customStyle="1" w:styleId="TableBodyText">
    <w:name w:val="Table Body Text"/>
    <w:basedOn w:val="BodyText"/>
    <w:rsid w:val="00EF2BC5"/>
    <w:pPr>
      <w:spacing w:before="60" w:after="60"/>
    </w:pPr>
  </w:style>
  <w:style w:type="paragraph" w:styleId="ListContinue">
    <w:name w:val="List Continue"/>
    <w:basedOn w:val="List"/>
    <w:rsid w:val="00EF2BC5"/>
    <w:pPr>
      <w:ind w:firstLine="0"/>
    </w:pPr>
  </w:style>
  <w:style w:type="paragraph" w:customStyle="1" w:styleId="ListNote">
    <w:name w:val="List Note"/>
    <w:basedOn w:val="List"/>
    <w:rsid w:val="00EF2BC5"/>
    <w:pPr>
      <w:pBdr>
        <w:top w:val="single" w:sz="6" w:space="2" w:color="918585"/>
        <w:bottom w:val="single" w:sz="6" w:space="2" w:color="918585"/>
      </w:pBdr>
      <w:tabs>
        <w:tab w:val="left" w:pos="1021"/>
      </w:tabs>
      <w:ind w:firstLine="0"/>
    </w:pPr>
  </w:style>
  <w:style w:type="paragraph" w:customStyle="1" w:styleId="Warning">
    <w:name w:val="Warning"/>
    <w:basedOn w:val="BodyText"/>
    <w:rsid w:val="00EF2BC5"/>
    <w:pPr>
      <w:shd w:val="clear" w:color="auto" w:fill="D9D9D9"/>
      <w:tabs>
        <w:tab w:val="left" w:pos="992"/>
      </w:tabs>
      <w:ind w:left="119" w:right="119"/>
    </w:pPr>
    <w:rPr>
      <w:sz w:val="20"/>
    </w:rPr>
  </w:style>
  <w:style w:type="paragraph" w:customStyle="1" w:styleId="MarginIcons">
    <w:name w:val="Margin Icons"/>
    <w:basedOn w:val="BodyText"/>
    <w:rsid w:val="00EF2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2BC5"/>
    <w:rPr>
      <w:rFonts w:ascii="Courier New" w:hAnsi="Courier New"/>
    </w:rPr>
  </w:style>
  <w:style w:type="paragraph" w:customStyle="1" w:styleId="NoteBullet">
    <w:name w:val="Note Bullet"/>
    <w:basedOn w:val="Note"/>
    <w:rsid w:val="00EF2BC5"/>
    <w:pPr>
      <w:tabs>
        <w:tab w:val="clear" w:pos="680"/>
      </w:tabs>
      <w:spacing w:before="60" w:after="60"/>
    </w:pPr>
  </w:style>
  <w:style w:type="paragraph" w:customStyle="1" w:styleId="SubHeading2">
    <w:name w:val="SubHeading2"/>
    <w:basedOn w:val="HeadingBase"/>
    <w:rsid w:val="00EF2BC5"/>
    <w:pPr>
      <w:spacing w:before="240" w:after="60"/>
    </w:pPr>
    <w:rPr>
      <w:sz w:val="20"/>
    </w:rPr>
  </w:style>
  <w:style w:type="paragraph" w:customStyle="1" w:styleId="SubHeading1">
    <w:name w:val="SubHeading1"/>
    <w:basedOn w:val="HeadingBase"/>
    <w:rsid w:val="00EF2BC5"/>
    <w:pPr>
      <w:spacing w:before="240" w:after="60"/>
    </w:pPr>
    <w:rPr>
      <w:color w:val="918585"/>
      <w:sz w:val="22"/>
    </w:rPr>
  </w:style>
  <w:style w:type="paragraph" w:customStyle="1" w:styleId="SideHeading">
    <w:name w:val="Side Heading"/>
    <w:basedOn w:val="HeadingBase"/>
    <w:rsid w:val="00EF2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2BC5"/>
    <w:pPr>
      <w:tabs>
        <w:tab w:val="num" w:pos="360"/>
      </w:tabs>
    </w:pPr>
  </w:style>
  <w:style w:type="paragraph" w:styleId="PlainText">
    <w:name w:val="Plain Text"/>
    <w:basedOn w:val="Normal"/>
    <w:link w:val="PlainTextChar"/>
    <w:rsid w:val="00EF2BC5"/>
    <w:rPr>
      <w:sz w:val="20"/>
    </w:rPr>
  </w:style>
  <w:style w:type="character" w:customStyle="1" w:styleId="PlainTextChar">
    <w:name w:val="Plain Text Char"/>
    <w:basedOn w:val="DefaultParagraphFont"/>
    <w:link w:val="PlainText"/>
    <w:rsid w:val="00EF2B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2BC5"/>
    <w:rPr>
      <w:b/>
      <w:smallCaps/>
    </w:rPr>
  </w:style>
  <w:style w:type="paragraph" w:customStyle="1" w:styleId="TableListNumber">
    <w:name w:val="Table List Number"/>
    <w:basedOn w:val="ListNumber"/>
    <w:rsid w:val="00EF2BC5"/>
    <w:pPr>
      <w:numPr>
        <w:numId w:val="0"/>
      </w:numPr>
    </w:pPr>
  </w:style>
  <w:style w:type="paragraph" w:styleId="TOC4">
    <w:name w:val="toc 4"/>
    <w:basedOn w:val="TOCBase"/>
    <w:next w:val="Normal"/>
    <w:semiHidden/>
    <w:rsid w:val="00EF2BC5"/>
    <w:pPr>
      <w:tabs>
        <w:tab w:val="right" w:leader="dot" w:pos="9071"/>
      </w:tabs>
      <w:ind w:left="1701"/>
    </w:pPr>
  </w:style>
  <w:style w:type="paragraph" w:customStyle="1" w:styleId="ListAlpha">
    <w:name w:val="List Alpha"/>
    <w:basedOn w:val="List"/>
    <w:rsid w:val="00EF2BC5"/>
    <w:pPr>
      <w:numPr>
        <w:numId w:val="8"/>
      </w:numPr>
    </w:pPr>
  </w:style>
  <w:style w:type="paragraph" w:customStyle="1" w:styleId="ListAlpha2">
    <w:name w:val="List Alpha 2"/>
    <w:basedOn w:val="List2"/>
    <w:rsid w:val="00EF2BC5"/>
    <w:pPr>
      <w:numPr>
        <w:numId w:val="7"/>
      </w:numPr>
    </w:pPr>
  </w:style>
  <w:style w:type="paragraph" w:styleId="List2">
    <w:name w:val="List 2"/>
    <w:basedOn w:val="BodyText"/>
    <w:rsid w:val="00EF2BC5"/>
    <w:pPr>
      <w:tabs>
        <w:tab w:val="left" w:pos="680"/>
      </w:tabs>
      <w:spacing w:before="60" w:after="60"/>
      <w:ind w:left="680" w:hanging="340"/>
    </w:pPr>
  </w:style>
  <w:style w:type="paragraph" w:styleId="List3">
    <w:name w:val="List 3"/>
    <w:basedOn w:val="BodyText"/>
    <w:rsid w:val="00EF2BC5"/>
    <w:pPr>
      <w:tabs>
        <w:tab w:val="left" w:pos="1021"/>
      </w:tabs>
      <w:spacing w:before="60" w:after="60"/>
      <w:ind w:left="1020" w:hanging="340"/>
    </w:pPr>
  </w:style>
  <w:style w:type="paragraph" w:styleId="List4">
    <w:name w:val="List 4"/>
    <w:basedOn w:val="BodyText"/>
    <w:rsid w:val="00EF2BC5"/>
    <w:pPr>
      <w:tabs>
        <w:tab w:val="left" w:pos="1361"/>
      </w:tabs>
      <w:spacing w:before="60" w:after="60"/>
      <w:ind w:left="1361" w:hanging="340"/>
    </w:pPr>
  </w:style>
  <w:style w:type="paragraph" w:styleId="List5">
    <w:name w:val="List 5"/>
    <w:basedOn w:val="BodyText"/>
    <w:rsid w:val="00EF2BC5"/>
    <w:pPr>
      <w:tabs>
        <w:tab w:val="left" w:pos="1701"/>
      </w:tabs>
      <w:spacing w:before="60" w:after="60"/>
      <w:ind w:left="1701" w:hanging="340"/>
    </w:pPr>
  </w:style>
  <w:style w:type="paragraph" w:styleId="ListBullet3">
    <w:name w:val="List Bullet 3"/>
    <w:basedOn w:val="List3"/>
    <w:rsid w:val="00EF2BC5"/>
    <w:pPr>
      <w:numPr>
        <w:numId w:val="14"/>
      </w:numPr>
      <w:tabs>
        <w:tab w:val="clear" w:pos="1021"/>
      </w:tabs>
      <w:ind w:left="1037" w:hanging="357"/>
    </w:pPr>
  </w:style>
  <w:style w:type="paragraph" w:styleId="ListBullet4">
    <w:name w:val="List Bullet 4"/>
    <w:basedOn w:val="List4"/>
    <w:rsid w:val="00EF2BC5"/>
    <w:pPr>
      <w:numPr>
        <w:numId w:val="2"/>
      </w:numPr>
    </w:pPr>
  </w:style>
  <w:style w:type="paragraph" w:styleId="ListBullet5">
    <w:name w:val="List Bullet 5"/>
    <w:basedOn w:val="List5"/>
    <w:rsid w:val="00EF2BC5"/>
    <w:pPr>
      <w:numPr>
        <w:numId w:val="3"/>
      </w:numPr>
    </w:pPr>
  </w:style>
  <w:style w:type="paragraph" w:styleId="ListContinue2">
    <w:name w:val="List Continue 2"/>
    <w:basedOn w:val="List2"/>
    <w:rsid w:val="00EF2BC5"/>
    <w:pPr>
      <w:ind w:firstLine="0"/>
    </w:pPr>
  </w:style>
  <w:style w:type="paragraph" w:styleId="ListContinue3">
    <w:name w:val="List Continue 3"/>
    <w:basedOn w:val="List3"/>
    <w:rsid w:val="00EF2BC5"/>
    <w:pPr>
      <w:ind w:left="1021" w:firstLine="0"/>
    </w:pPr>
  </w:style>
  <w:style w:type="paragraph" w:styleId="ListContinue4">
    <w:name w:val="List Continue 4"/>
    <w:basedOn w:val="List4"/>
    <w:rsid w:val="00EF2BC5"/>
    <w:pPr>
      <w:ind w:firstLine="0"/>
    </w:pPr>
  </w:style>
  <w:style w:type="paragraph" w:styleId="ListContinue5">
    <w:name w:val="List Continue 5"/>
    <w:basedOn w:val="List5"/>
    <w:rsid w:val="00EF2BC5"/>
    <w:pPr>
      <w:ind w:firstLine="0"/>
    </w:pPr>
  </w:style>
  <w:style w:type="paragraph" w:styleId="ListNumber3">
    <w:name w:val="List Number 3"/>
    <w:basedOn w:val="List3"/>
    <w:rsid w:val="00EF2BC5"/>
    <w:pPr>
      <w:numPr>
        <w:numId w:val="4"/>
      </w:numPr>
    </w:pPr>
  </w:style>
  <w:style w:type="paragraph" w:styleId="ListNumber4">
    <w:name w:val="List Number 4"/>
    <w:basedOn w:val="List4"/>
    <w:rsid w:val="00EF2BC5"/>
    <w:pPr>
      <w:numPr>
        <w:numId w:val="5"/>
      </w:numPr>
    </w:pPr>
  </w:style>
  <w:style w:type="paragraph" w:styleId="ListNumber5">
    <w:name w:val="List Number 5"/>
    <w:basedOn w:val="List5"/>
    <w:rsid w:val="00EF2BC5"/>
    <w:pPr>
      <w:numPr>
        <w:numId w:val="6"/>
      </w:numPr>
    </w:pPr>
  </w:style>
  <w:style w:type="paragraph" w:styleId="BlockText">
    <w:name w:val="Block Text"/>
    <w:basedOn w:val="Normal"/>
    <w:rsid w:val="00EF2BC5"/>
    <w:pPr>
      <w:spacing w:after="120"/>
      <w:ind w:left="1440" w:right="1440"/>
    </w:pPr>
  </w:style>
  <w:style w:type="character" w:customStyle="1" w:styleId="Subscript">
    <w:name w:val="Subscript"/>
    <w:basedOn w:val="DefaultParagraphFont"/>
    <w:rsid w:val="00EF2BC5"/>
    <w:rPr>
      <w:sz w:val="16"/>
      <w:vertAlign w:val="subscript"/>
    </w:rPr>
  </w:style>
  <w:style w:type="character" w:customStyle="1" w:styleId="Superscript">
    <w:name w:val="Superscript"/>
    <w:basedOn w:val="DefaultParagraphFont"/>
    <w:rsid w:val="00EF2BC5"/>
    <w:rPr>
      <w:sz w:val="16"/>
      <w:vertAlign w:val="superscript"/>
    </w:rPr>
  </w:style>
  <w:style w:type="character" w:customStyle="1" w:styleId="Symbols">
    <w:name w:val="Symbols"/>
    <w:basedOn w:val="DefaultParagraphFont"/>
    <w:rsid w:val="00EF2BC5"/>
    <w:rPr>
      <w:rFonts w:ascii="Symbol" w:hAnsi="Symbol"/>
    </w:rPr>
  </w:style>
  <w:style w:type="character" w:customStyle="1" w:styleId="MenuOptions">
    <w:name w:val="Menu Options"/>
    <w:basedOn w:val="DefaultParagraphFont"/>
    <w:rsid w:val="00EF2BC5"/>
    <w:rPr>
      <w:rFonts w:ascii="Arial Narrow" w:hAnsi="Arial Narrow"/>
      <w:smallCaps/>
    </w:rPr>
  </w:style>
  <w:style w:type="character" w:customStyle="1" w:styleId="Buttons">
    <w:name w:val="Buttons"/>
    <w:basedOn w:val="DefaultParagraphFont"/>
    <w:rsid w:val="00EF2BC5"/>
    <w:rPr>
      <w:b/>
    </w:rPr>
  </w:style>
  <w:style w:type="character" w:customStyle="1" w:styleId="Underlined">
    <w:name w:val="Underlined"/>
    <w:basedOn w:val="DefaultParagraphFont"/>
    <w:rsid w:val="00EF2BC5"/>
    <w:rPr>
      <w:u w:val="single"/>
    </w:rPr>
  </w:style>
  <w:style w:type="paragraph" w:customStyle="1" w:styleId="TableBodyTextRight">
    <w:name w:val="Table Body Text Right"/>
    <w:basedOn w:val="TableBodyText"/>
    <w:rsid w:val="00EF2BC5"/>
    <w:pPr>
      <w:widowControl w:val="0"/>
      <w:autoSpaceDE w:val="0"/>
      <w:autoSpaceDN w:val="0"/>
      <w:adjustRightInd w:val="0"/>
      <w:jc w:val="right"/>
    </w:pPr>
    <w:rPr>
      <w:rFonts w:cs="Arial"/>
      <w:szCs w:val="18"/>
    </w:rPr>
  </w:style>
  <w:style w:type="paragraph" w:customStyle="1" w:styleId="CopyrightText">
    <w:name w:val="Copyright Text"/>
    <w:basedOn w:val="BodyText"/>
    <w:rsid w:val="00EF2BC5"/>
    <w:rPr>
      <w:sz w:val="18"/>
    </w:rPr>
  </w:style>
  <w:style w:type="paragraph" w:customStyle="1" w:styleId="BodySmallRight">
    <w:name w:val="Body Small Right"/>
    <w:basedOn w:val="BodyTextRight"/>
    <w:rsid w:val="00EF2BC5"/>
    <w:rPr>
      <w:sz w:val="18"/>
      <w:szCs w:val="18"/>
    </w:rPr>
  </w:style>
  <w:style w:type="paragraph" w:customStyle="1" w:styleId="MarginEdition">
    <w:name w:val="Margin Edition"/>
    <w:basedOn w:val="MarginNote"/>
    <w:rsid w:val="00EF2BC5"/>
    <w:pPr>
      <w:spacing w:before="0" w:after="0"/>
    </w:pPr>
    <w:rPr>
      <w:rFonts w:ascii="Times New Roman" w:hAnsi="Times New Roman"/>
      <w:color w:val="999999"/>
    </w:rPr>
  </w:style>
  <w:style w:type="paragraph" w:customStyle="1" w:styleId="Spacer">
    <w:name w:val="Spacer"/>
    <w:basedOn w:val="Normal"/>
    <w:rsid w:val="00EF2BC5"/>
    <w:rPr>
      <w:sz w:val="2"/>
      <w:szCs w:val="2"/>
    </w:rPr>
  </w:style>
  <w:style w:type="character" w:customStyle="1" w:styleId="Small">
    <w:name w:val="Small"/>
    <w:basedOn w:val="DefaultParagraphFont"/>
    <w:rsid w:val="00EF2BC5"/>
    <w:rPr>
      <w:sz w:val="16"/>
    </w:rPr>
  </w:style>
  <w:style w:type="paragraph" w:customStyle="1" w:styleId="WideTable">
    <w:name w:val="Wide Table"/>
    <w:basedOn w:val="Normal"/>
    <w:rsid w:val="00EF2BC5"/>
    <w:pPr>
      <w:ind w:left="-1418"/>
    </w:pPr>
    <w:rPr>
      <w:sz w:val="2"/>
      <w:szCs w:val="2"/>
    </w:rPr>
  </w:style>
  <w:style w:type="character" w:styleId="PageNumber">
    <w:name w:val="page number"/>
    <w:basedOn w:val="DefaultParagraphFont"/>
    <w:rsid w:val="00EF2BC5"/>
  </w:style>
  <w:style w:type="paragraph" w:styleId="Quote">
    <w:name w:val="Quote"/>
    <w:basedOn w:val="Heading1"/>
    <w:link w:val="QuoteChar"/>
    <w:qFormat/>
    <w:rsid w:val="00EF2BC5"/>
    <w:rPr>
      <w:b w:val="0"/>
      <w:sz w:val="72"/>
      <w:szCs w:val="72"/>
      <w:lang w:val="en-NZ"/>
    </w:rPr>
  </w:style>
  <w:style w:type="character" w:customStyle="1" w:styleId="QuoteChar">
    <w:name w:val="Quote Char"/>
    <w:basedOn w:val="DefaultParagraphFont"/>
    <w:link w:val="Quote"/>
    <w:rsid w:val="00EF2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2BC5"/>
    <w:pPr>
      <w:pageBreakBefore/>
    </w:pPr>
  </w:style>
  <w:style w:type="paragraph" w:customStyle="1" w:styleId="Border">
    <w:name w:val="Border"/>
    <w:basedOn w:val="Normal"/>
    <w:qFormat/>
    <w:rsid w:val="00EF2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2BC5"/>
    <w:rPr>
      <w:b/>
      <w:bCs/>
      <w:i/>
      <w:iCs/>
      <w:color w:val="auto"/>
    </w:rPr>
  </w:style>
  <w:style w:type="paragraph" w:styleId="IntenseQuote">
    <w:name w:val="Intense Quote"/>
    <w:basedOn w:val="Normal"/>
    <w:next w:val="Normal"/>
    <w:link w:val="IntenseQuoteChar"/>
    <w:uiPriority w:val="30"/>
    <w:qFormat/>
    <w:rsid w:val="00EF2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2B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2BC5"/>
    <w:rPr>
      <w:smallCaps/>
      <w:color w:val="auto"/>
      <w:u w:val="single"/>
    </w:rPr>
  </w:style>
  <w:style w:type="character" w:styleId="IntenseReference">
    <w:name w:val="Intense Reference"/>
    <w:basedOn w:val="DefaultParagraphFont"/>
    <w:uiPriority w:val="32"/>
    <w:qFormat/>
    <w:rsid w:val="00EF2BC5"/>
    <w:rPr>
      <w:b/>
      <w:bCs/>
      <w:smallCaps/>
      <w:color w:val="auto"/>
      <w:spacing w:val="5"/>
      <w:u w:val="single"/>
    </w:rPr>
  </w:style>
  <w:style w:type="paragraph" w:customStyle="1" w:styleId="2ColumnHeading">
    <w:name w:val="2Column Heading"/>
    <w:basedOn w:val="BodyText"/>
    <w:qFormat/>
    <w:rsid w:val="00EF2BC5"/>
    <w:pPr>
      <w:spacing w:after="60"/>
      <w:ind w:left="-2268"/>
    </w:pPr>
    <w:rPr>
      <w:b/>
    </w:rPr>
  </w:style>
  <w:style w:type="paragraph" w:customStyle="1" w:styleId="Heading1TOC">
    <w:name w:val="Heading1 TOC"/>
    <w:basedOn w:val="Normal"/>
    <w:qFormat/>
    <w:rsid w:val="00EF2BC5"/>
    <w:pPr>
      <w:spacing w:before="240" w:after="120"/>
    </w:pPr>
    <w:rPr>
      <w:rFonts w:ascii="Times New Roman" w:hAnsi="Times New Roman"/>
      <w:b/>
      <w:sz w:val="32"/>
    </w:rPr>
  </w:style>
  <w:style w:type="paragraph" w:customStyle="1" w:styleId="Heading2TOC">
    <w:name w:val="Heading2 TOC"/>
    <w:basedOn w:val="Normal"/>
    <w:qFormat/>
    <w:rsid w:val="00EF2BC5"/>
    <w:pPr>
      <w:spacing w:before="240" w:after="60"/>
    </w:pPr>
    <w:rPr>
      <w:rFonts w:ascii="Times New Roman" w:hAnsi="Times New Roman"/>
      <w:b/>
      <w:sz w:val="28"/>
    </w:rPr>
  </w:style>
  <w:style w:type="character" w:customStyle="1" w:styleId="Underline">
    <w:name w:val="Underline"/>
    <w:basedOn w:val="DefaultParagraphFont"/>
    <w:qFormat/>
    <w:rsid w:val="00EF2BC5"/>
    <w:rPr>
      <w:u w:val="single"/>
    </w:rPr>
  </w:style>
  <w:style w:type="paragraph" w:styleId="BalloonText">
    <w:name w:val="Balloon Text"/>
    <w:basedOn w:val="Normal"/>
    <w:link w:val="BalloonTextChar"/>
    <w:rsid w:val="00EF2BC5"/>
    <w:rPr>
      <w:rFonts w:ascii="Tahoma" w:hAnsi="Tahoma" w:cs="Tahoma"/>
      <w:sz w:val="16"/>
      <w:szCs w:val="16"/>
    </w:rPr>
  </w:style>
  <w:style w:type="character" w:customStyle="1" w:styleId="BalloonTextChar">
    <w:name w:val="Balloon Text Char"/>
    <w:basedOn w:val="DefaultParagraphFont"/>
    <w:link w:val="BalloonText"/>
    <w:rsid w:val="00EF2B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2B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2B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Words>
  <Characters>7815</Characters>
  <Application>Microsoft Office Word</Application>
  <DocSecurity>0</DocSecurity>
  <Lines>227</Lines>
  <Paragraphs>107</Paragraphs>
  <ScaleCrop>false</ScaleCrop>
  <Company>Author-it Software Corporation Ltd.</Company>
  <LinksUpToDate>false</LinksUpToDate>
  <CharactersWithSpaces>8983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NWP701A Contribute to the development of a complex water organisation</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2012-05-27T12:47:00Z</dcterms:created>
  <dcterms:modified xsi:type="dcterms:W3CDTF">2012-05-27T12:47:00Z</dcterms:modified>
</cp:coreProperties>
</file>