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6A0C" w:rsidP="009B6A0C">
      <w:pPr>
        <w:pStyle w:val="Title"/>
      </w:pPr>
      <w:r>
        <w:fldChar w:fldCharType="begin"/>
      </w:r>
      <w:r>
        <w:instrText xml:space="preserve"> TITLE   \* MERGEFORMAT </w:instrText>
      </w:r>
      <w:r>
        <w:fldChar w:fldCharType="separate"/>
      </w:r>
      <w:r>
        <w:t>NWP529B Develop and modify trade waste policies and plans</w:t>
      </w:r>
      <w:r>
        <w:fldChar w:fldCharType="end"/>
      </w:r>
    </w:p>
    <w:p w:rsidR="009B6A0C" w:rsidP="009B6A0C">
      <w:pPr>
        <w:pStyle w:val="Version"/>
        <w:sectPr w:rsidSect="00DC15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DC15BE" w:rsidP="00DC15BE">
      <w:pPr>
        <w:pStyle w:val="SuperHeading"/>
      </w:pPr>
      <w:r w:rsidRPr="00DC15BE">
        <w:t>NWP529B Develop and modify trade waste policies and plans</w:t>
      </w:r>
    </w:p>
    <w:p w:rsidR="00000000" w:rsidRPr="00DC15BE" w:rsidP="00DC15BE">
      <w:pPr>
        <w:pStyle w:val="SuperHeading"/>
      </w:pPr>
    </w:p>
    <w:p w:rsidR="00000000" w:rsidRPr="00DC15BE" w:rsidP="00DC15BE">
      <w:pPr>
        <w:pStyle w:val="Heading1"/>
      </w:pPr>
      <w:bookmarkStart w:id="1" w:name="O_407055"/>
      <w:bookmarkEnd w:id="1"/>
      <w:r w:rsidRPr="00DC15BE">
        <w:t>Modification History</w:t>
      </w:r>
    </w:p>
    <w:p w:rsidR="00000000" w:rsidRPr="00DC15BE" w:rsidP="00DC15BE">
      <w:pPr>
        <w:pStyle w:val="BodyText"/>
      </w:pPr>
      <w:r w:rsidRPr="00DC15BE">
        <w:t>NWP529B Release 2:</w:t>
      </w:r>
      <w:r w:rsidRPr="00DC15BE">
        <w:tab/>
        <w:t>Layout adjusted. No changes to content.</w:t>
      </w:r>
    </w:p>
    <w:p w:rsidR="00000000" w:rsidRPr="00DC15BE" w:rsidP="00DC15BE">
      <w:pPr>
        <w:pStyle w:val="BodyText"/>
      </w:pPr>
      <w:r w:rsidRPr="00DC15BE">
        <w:t>NWP529B Release 1:</w:t>
      </w:r>
      <w:r w:rsidRPr="00DC15BE">
        <w:tab/>
        <w:t>Primary release.</w:t>
      </w:r>
    </w:p>
    <w:p w:rsidR="00000000" w:rsidRPr="00DC15BE" w:rsidP="00DC15BE">
      <w:pPr>
        <w:pStyle w:val="AllowPageBreak"/>
      </w:pPr>
    </w:p>
    <w:p w:rsidR="00000000" w:rsidRPr="00DC15BE" w:rsidP="00DC15BE">
      <w:pPr>
        <w:pStyle w:val="Heading1"/>
      </w:pPr>
      <w:bookmarkStart w:id="2" w:name="O_407051"/>
      <w:bookmarkEnd w:id="2"/>
      <w:r w:rsidRPr="00DC15BE">
        <w:t>Unit Descriptor</w:t>
      </w:r>
    </w:p>
    <w:p w:rsidR="00000000" w:rsidRPr="00DC15BE" w:rsidP="00DC15BE">
      <w:pPr>
        <w:pStyle w:val="BodyText"/>
      </w:pPr>
      <w:r w:rsidRPr="00DC15BE">
        <w:t>This unit of c</w:t>
      </w:r>
      <w:r w:rsidRPr="00DC15BE">
        <w:t>ompetency describes the outcomes required to develop and modify policies and plans for trade waste activities relating to liquid waste discharge to wastewater collection systems.</w:t>
      </w:r>
    </w:p>
    <w:p w:rsidR="00000000" w:rsidRPr="00DC15BE" w:rsidP="00DC15BE">
      <w:pPr>
        <w:pStyle w:val="AllowPageBreak"/>
      </w:pPr>
    </w:p>
    <w:p w:rsidR="00000000" w:rsidRPr="00DC15BE" w:rsidP="00DC15BE">
      <w:pPr>
        <w:pStyle w:val="Heading1"/>
      </w:pPr>
      <w:bookmarkStart w:id="3" w:name="O_407063"/>
      <w:bookmarkEnd w:id="3"/>
      <w:r w:rsidRPr="00DC15BE">
        <w:t>Application of the Unit</w:t>
      </w:r>
    </w:p>
    <w:p w:rsidR="00000000" w:rsidRPr="00DC15BE" w:rsidP="00DC15BE">
      <w:pPr>
        <w:pStyle w:val="BodyText"/>
      </w:pPr>
      <w:r w:rsidRPr="00DC15BE">
        <w:t>This unit supports the attainment of</w:t>
      </w:r>
      <w:r w:rsidRPr="00DC15BE">
        <w:t xml:space="preserve"> skills and knowledge required for managers in water organisations with responsibility for the management of trade waste policies and plans.</w:t>
      </w:r>
    </w:p>
    <w:p w:rsidR="00000000" w:rsidRPr="00DC15BE" w:rsidP="00DC15BE">
      <w:pPr>
        <w:pStyle w:val="AllowPageBreak"/>
      </w:pPr>
    </w:p>
    <w:p w:rsidR="00000000" w:rsidRPr="00DC15BE" w:rsidP="00DC15BE">
      <w:pPr>
        <w:pStyle w:val="Heading1"/>
      </w:pPr>
      <w:bookmarkStart w:id="4" w:name="O_407056"/>
      <w:bookmarkEnd w:id="4"/>
      <w:r w:rsidRPr="00DC15BE">
        <w:t>Licensing/Regulatory Information</w:t>
      </w:r>
    </w:p>
    <w:p w:rsidR="00000000" w:rsidRPr="00DC15BE" w:rsidP="00DC15BE">
      <w:pPr>
        <w:pStyle w:val="BodyText"/>
      </w:pPr>
      <w:r w:rsidRPr="00DC15BE">
        <w:t>Not applicable.</w:t>
      </w:r>
    </w:p>
    <w:p w:rsidR="00000000" w:rsidRPr="00DC15BE" w:rsidP="00DC15BE">
      <w:pPr>
        <w:pStyle w:val="AllowPageBreak"/>
      </w:pPr>
    </w:p>
    <w:p w:rsidR="00000000" w:rsidRPr="00DC15BE" w:rsidP="00DC15BE">
      <w:pPr>
        <w:pStyle w:val="Heading1"/>
      </w:pPr>
      <w:bookmarkStart w:id="5" w:name="O_407054"/>
      <w:bookmarkEnd w:id="5"/>
      <w:r w:rsidRPr="00DC15BE">
        <w:t>Pre-Requisites</w:t>
      </w:r>
    </w:p>
    <w:p w:rsidR="00000000" w:rsidRPr="00DC15BE" w:rsidP="00DC15BE">
      <w:pPr>
        <w:pStyle w:val="BodyText"/>
      </w:pPr>
      <w:r w:rsidRPr="00DC15BE">
        <w:t>Not applicable.</w:t>
      </w:r>
    </w:p>
    <w:p w:rsidR="00000000" w:rsidRPr="00DC15BE" w:rsidP="00DC15BE">
      <w:pPr>
        <w:pStyle w:val="AllowPageBreak"/>
      </w:pPr>
    </w:p>
    <w:p w:rsidR="00000000" w:rsidRPr="00DC15BE" w:rsidP="00DC15BE">
      <w:pPr>
        <w:pStyle w:val="Heading1"/>
      </w:pPr>
      <w:bookmarkStart w:id="6" w:name="O_407059"/>
      <w:bookmarkEnd w:id="6"/>
      <w:r w:rsidRPr="00DC15BE">
        <w:t>Employability Skills Information</w:t>
      </w:r>
    </w:p>
    <w:p w:rsidR="00000000" w:rsidRPr="00DC15BE" w:rsidP="00DC15BE">
      <w:pPr>
        <w:pStyle w:val="BodyText"/>
      </w:pPr>
      <w:r w:rsidRPr="00DC15BE">
        <w:t>This unit contains employability skills.</w:t>
      </w:r>
    </w:p>
    <w:p w:rsidR="00000000" w:rsidRPr="00DC15BE" w:rsidP="00DC15BE">
      <w:pPr>
        <w:pStyle w:val="AllowPageBreak"/>
      </w:pPr>
    </w:p>
    <w:p w:rsidR="00000000" w:rsidRPr="00DC15BE" w:rsidP="00DC15BE">
      <w:pPr>
        <w:pStyle w:val="Heading1"/>
      </w:pPr>
      <w:bookmarkStart w:id="7" w:name="O_407060"/>
      <w:bookmarkEnd w:id="7"/>
      <w:r w:rsidRPr="00DC15BE">
        <w:t>Elements and Performance Criteria Pre-Content</w:t>
      </w:r>
    </w:p>
    <w:tbl>
      <w:tblPr>
        <w:tblW w:w="0" w:type="auto"/>
        <w:tblLayout w:type="fixed"/>
        <w:tblCellMar>
          <w:left w:w="62" w:type="dxa"/>
          <w:right w:w="62" w:type="dxa"/>
        </w:tblCellMar>
        <w:tblLook w:val="0000"/>
      </w:tblPr>
      <w:tblGrid>
        <w:gridCol w:w="2205"/>
        <w:gridCol w:w="6317"/>
      </w:tblGrid>
      <w:tr w:rsidTr="009B6A0C">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P="00DC15BE">
            <w:pPr>
              <w:pStyle w:val="BodyText"/>
              <w:rPr>
                <w:lang w:val="en-NZ"/>
              </w:rPr>
            </w:pPr>
            <w:r w:rsidRPr="00DC15BE">
              <w:t>Elements describe the essential outcomes of a unit of competency.</w:t>
            </w:r>
          </w:p>
        </w:tc>
        <w:tc>
          <w:tcPr>
            <w:tcW w:w="6317" w:type="dxa"/>
            <w:tcBorders>
              <w:top w:val="nil"/>
              <w:left w:val="nil"/>
              <w:bottom w:val="nil"/>
              <w:right w:val="nil"/>
            </w:tcBorders>
            <w:tcMar>
              <w:top w:w="0" w:type="dxa"/>
              <w:left w:w="62" w:type="dxa"/>
              <w:bottom w:w="0" w:type="dxa"/>
              <w:right w:w="62" w:type="dxa"/>
            </w:tcMar>
          </w:tcPr>
          <w:p w:rsidR="00000000" w:rsidRPr="00DC15BE" w:rsidP="00DC15BE">
            <w:pPr>
              <w:pStyle w:val="BodyText"/>
            </w:pPr>
            <w:r w:rsidRPr="00DC15BE">
              <w:t xml:space="preserve">Performance criteria describe the required performance needed to demonstrate achievement of the element. Where </w:t>
            </w:r>
            <w:r w:rsidRPr="00DC15BE">
              <w:rPr>
                <w:rStyle w:val="BoldandItalics"/>
              </w:rPr>
              <w:t>bold italicised</w:t>
            </w:r>
            <w:r w:rsidRPr="00DC15BE">
              <w:t xml:space="preserve"> text is used, further information is detailed in the range statement. Assessment of performance is to be consistent with the evid</w:t>
            </w:r>
            <w:r w:rsidRPr="00DC15BE">
              <w:t>ence guide.</w:t>
            </w:r>
          </w:p>
        </w:tc>
      </w:tr>
    </w:tbl>
    <w:p w:rsidR="00000000" w:rsidRPr="00DC15BE" w:rsidP="00DC15BE">
      <w:pPr>
        <w:pStyle w:val="BodyText"/>
      </w:pPr>
    </w:p>
    <w:p w:rsidR="00000000" w:rsidRPr="00DC15BE" w:rsidP="00DC15BE">
      <w:pPr>
        <w:pStyle w:val="AllowPageBreak"/>
      </w:pPr>
    </w:p>
    <w:p w:rsidR="00000000" w:rsidRPr="00DC15BE" w:rsidP="00DC15BE">
      <w:pPr>
        <w:pStyle w:val="Heading1"/>
      </w:pPr>
      <w:bookmarkStart w:id="8" w:name="O_407061"/>
      <w:bookmarkEnd w:id="8"/>
      <w:r w:rsidRPr="00DC15BE">
        <w:t>Elements and Performance Criteria</w:t>
      </w:r>
    </w:p>
    <w:tbl>
      <w:tblPr>
        <w:tblW w:w="0" w:type="auto"/>
        <w:tblLayout w:type="fixed"/>
        <w:tblCellMar>
          <w:left w:w="62" w:type="dxa"/>
          <w:right w:w="62" w:type="dxa"/>
        </w:tblCellMar>
        <w:tblLook w:val="0000"/>
      </w:tblPr>
      <w:tblGrid>
        <w:gridCol w:w="2205"/>
        <w:gridCol w:w="6317"/>
      </w:tblGrid>
      <w:tr w:rsidTr="009B6A0C">
        <w:tblPrEx>
          <w:tblW w:w="0" w:type="auto"/>
          <w:tblLayout w:type="fixed"/>
          <w:tblCellMar>
            <w:left w:w="62" w:type="dxa"/>
            <w:right w:w="62" w:type="dxa"/>
          </w:tblCellMar>
          <w:tblLook w:val="0000"/>
        </w:tblPrEx>
        <w:trPr>
          <w:tblHeader/>
        </w:trPr>
        <w:tc>
          <w:tcPr>
            <w:tcW w:w="2205" w:type="dxa"/>
            <w:tcBorders>
              <w:top w:val="nil"/>
              <w:left w:val="nil"/>
              <w:bottom w:val="nil"/>
              <w:right w:val="nil"/>
            </w:tcBorders>
            <w:tcMar>
              <w:top w:w="0" w:type="dxa"/>
              <w:left w:w="62" w:type="dxa"/>
              <w:bottom w:w="0" w:type="dxa"/>
              <w:right w:w="62" w:type="dxa"/>
            </w:tcMar>
          </w:tcPr>
          <w:p w:rsidR="00000000" w:rsidRPr="00DC15BE" w:rsidP="00DC15BE">
            <w:pPr>
              <w:pStyle w:val="BodyText"/>
            </w:pPr>
            <w:r w:rsidRPr="00DC15BE">
              <w:rPr>
                <w:rStyle w:val="SpecialBold"/>
              </w:rPr>
              <w:t>ELEMENT</w:t>
            </w:r>
          </w:p>
        </w:tc>
        <w:tc>
          <w:tcPr>
            <w:tcW w:w="6317" w:type="dxa"/>
            <w:tcBorders>
              <w:top w:val="nil"/>
              <w:left w:val="nil"/>
              <w:bottom w:val="nil"/>
              <w:right w:val="nil"/>
            </w:tcBorders>
            <w:tcMar>
              <w:top w:w="0" w:type="dxa"/>
              <w:left w:w="62" w:type="dxa"/>
              <w:bottom w:w="0" w:type="dxa"/>
              <w:right w:w="62" w:type="dxa"/>
            </w:tcMar>
          </w:tcPr>
          <w:p w:rsidR="00000000" w:rsidP="00DC15BE">
            <w:pPr>
              <w:pStyle w:val="BodyText"/>
              <w:rPr>
                <w:lang w:val="en-NZ"/>
              </w:rPr>
            </w:pPr>
            <w:r w:rsidRPr="00DC15BE">
              <w:rPr>
                <w:rStyle w:val="SpecialBold"/>
              </w:rPr>
              <w:t>PERFORMANCE CRITERIA</w:t>
            </w:r>
          </w:p>
        </w:tc>
      </w:tr>
      <w:tr w:rsidTr="009B6A0C">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P="00DC15BE">
            <w:pPr>
              <w:pStyle w:val="List"/>
              <w:rPr>
                <w:lang w:val="en-NZ"/>
              </w:rPr>
            </w:pPr>
            <w:r w:rsidRPr="00DC15BE">
              <w:rPr>
                <w:rStyle w:val="SpecialBold"/>
              </w:rPr>
              <w:t>1</w:t>
            </w:r>
            <w:r w:rsidRPr="00DC15BE">
              <w:tab/>
            </w:r>
            <w:r w:rsidRPr="00DC15BE">
              <w:rPr>
                <w:rStyle w:val="SpecialBold"/>
              </w:rPr>
              <w:t>Prepare and plan for trade waste management</w:t>
            </w:r>
            <w:r w:rsidRPr="00DC15BE">
              <w:t>.</w:t>
            </w:r>
          </w:p>
        </w:tc>
        <w:tc>
          <w:tcPr>
            <w:tcW w:w="6317" w:type="dxa"/>
            <w:tcBorders>
              <w:top w:val="nil"/>
              <w:left w:val="nil"/>
              <w:bottom w:val="nil"/>
              <w:right w:val="nil"/>
            </w:tcBorders>
            <w:tcMar>
              <w:top w:w="0" w:type="dxa"/>
              <w:left w:w="62" w:type="dxa"/>
              <w:bottom w:w="0" w:type="dxa"/>
              <w:right w:w="62" w:type="dxa"/>
            </w:tcMar>
          </w:tcPr>
          <w:p w:rsidR="00000000" w:rsidRPr="00DC15BE" w:rsidP="00DC15BE">
            <w:pPr>
              <w:pStyle w:val="List"/>
            </w:pPr>
            <w:r w:rsidRPr="00DC15BE">
              <w:t>1.1</w:t>
            </w:r>
            <w:r w:rsidRPr="00DC15BE">
              <w:tab/>
              <w:t xml:space="preserve">Identify and define relevant provisions of </w:t>
            </w:r>
            <w:r w:rsidRPr="00DC15BE">
              <w:rPr>
                <w:rStyle w:val="BoldandItalics"/>
              </w:rPr>
              <w:t>trade waste</w:t>
            </w:r>
            <w:r w:rsidRPr="00DC15BE">
              <w:t xml:space="preserve"> management </w:t>
            </w:r>
            <w:r w:rsidRPr="00DC15BE">
              <w:rPr>
                <w:rStyle w:val="BoldandItalics"/>
              </w:rPr>
              <w:t>legislation</w:t>
            </w:r>
            <w:r w:rsidRPr="00DC15BE">
              <w:t>, standards and enterprise policies.</w:t>
            </w:r>
          </w:p>
          <w:p w:rsidR="00000000" w:rsidRPr="00DC15BE" w:rsidP="00DC15BE">
            <w:pPr>
              <w:pStyle w:val="List"/>
            </w:pPr>
            <w:r w:rsidRPr="00DC15BE">
              <w:t>1.2</w:t>
            </w:r>
            <w:r w:rsidRPr="00DC15BE">
              <w:tab/>
            </w:r>
            <w:r w:rsidRPr="00DC15BE">
              <w:rPr>
                <w:rStyle w:val="BoldandItalics"/>
              </w:rPr>
              <w:t>Document</w:t>
            </w:r>
            <w:r w:rsidRPr="00DC15BE">
              <w:t xml:space="preserve"> trade waste management policies, procedures and programs.</w:t>
            </w:r>
          </w:p>
          <w:p w:rsidR="00000000" w:rsidRPr="00DC15BE" w:rsidP="00DC15BE">
            <w:pPr>
              <w:pStyle w:val="List"/>
            </w:pPr>
            <w:r w:rsidRPr="00DC15BE">
              <w:t>1.3</w:t>
            </w:r>
            <w:r w:rsidRPr="00DC15BE">
              <w:tab/>
              <w:t>Identify significant wastewater quality parameters generated by major industries.</w:t>
            </w:r>
          </w:p>
          <w:p w:rsidR="00000000" w:rsidRPr="00DC15BE" w:rsidP="00DC15BE">
            <w:pPr>
              <w:pStyle w:val="List"/>
            </w:pPr>
            <w:r w:rsidRPr="00DC15BE">
              <w:t>1.4</w:t>
            </w:r>
            <w:r w:rsidRPr="00DC15BE">
              <w:tab/>
              <w:t>Consider information about known impacts, risk assessments</w:t>
            </w:r>
            <w:r w:rsidRPr="00DC15BE">
              <w:t xml:space="preserve"> and control procedures in preparing plans.</w:t>
            </w:r>
          </w:p>
          <w:p w:rsidR="00000000" w:rsidP="00DC15BE">
            <w:pPr>
              <w:pStyle w:val="List"/>
              <w:rPr>
                <w:lang w:val="en-NZ"/>
              </w:rPr>
            </w:pPr>
            <w:r w:rsidRPr="00DC15BE">
              <w:t>1.5</w:t>
            </w:r>
            <w:r w:rsidRPr="00DC15BE">
              <w:tab/>
              <w:t>Define and explain responsibilities and accountabilities.</w:t>
            </w:r>
          </w:p>
        </w:tc>
      </w:tr>
      <w:tr w:rsidTr="009B6A0C">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P="00DC15BE">
            <w:pPr>
              <w:pStyle w:val="List"/>
              <w:rPr>
                <w:lang w:val="en-NZ"/>
              </w:rPr>
            </w:pPr>
            <w:r w:rsidRPr="00DC15BE">
              <w:rPr>
                <w:rStyle w:val="SpecialBold"/>
              </w:rPr>
              <w:t>2</w:t>
            </w:r>
            <w:r w:rsidRPr="00DC15BE">
              <w:tab/>
            </w:r>
            <w:r w:rsidRPr="00DC15BE">
              <w:rPr>
                <w:rStyle w:val="SpecialBold"/>
              </w:rPr>
              <w:t>Develop or modify trade waste management policies and plans</w:t>
            </w:r>
            <w:r w:rsidRPr="00DC15BE">
              <w:t>.</w:t>
            </w:r>
          </w:p>
        </w:tc>
        <w:tc>
          <w:tcPr>
            <w:tcW w:w="6317" w:type="dxa"/>
            <w:tcBorders>
              <w:top w:val="nil"/>
              <w:left w:val="nil"/>
              <w:bottom w:val="nil"/>
              <w:right w:val="nil"/>
            </w:tcBorders>
            <w:tcMar>
              <w:top w:w="0" w:type="dxa"/>
              <w:left w:w="62" w:type="dxa"/>
              <w:bottom w:w="0" w:type="dxa"/>
              <w:right w:w="62" w:type="dxa"/>
            </w:tcMar>
          </w:tcPr>
          <w:p w:rsidR="00000000" w:rsidRPr="00DC15BE" w:rsidP="00DC15BE">
            <w:pPr>
              <w:pStyle w:val="List"/>
            </w:pPr>
            <w:r w:rsidRPr="00DC15BE">
              <w:t>2.1</w:t>
            </w:r>
            <w:r w:rsidRPr="00DC15BE">
              <w:tab/>
              <w:t xml:space="preserve">Conduct community, enterprise and </w:t>
            </w:r>
            <w:r w:rsidRPr="00DC15BE">
              <w:rPr>
                <w:rStyle w:val="BoldandItalics"/>
              </w:rPr>
              <w:t>stakeholder</w:t>
            </w:r>
            <w:r w:rsidRPr="00DC15BE">
              <w:t xml:space="preserve"> consultation.</w:t>
            </w:r>
          </w:p>
          <w:p w:rsidR="00000000" w:rsidRPr="00DC15BE" w:rsidP="00DC15BE">
            <w:pPr>
              <w:pStyle w:val="List"/>
            </w:pPr>
            <w:r w:rsidRPr="00DC15BE">
              <w:t>2.2</w:t>
            </w:r>
            <w:r w:rsidRPr="00DC15BE">
              <w:tab/>
              <w:t>Address issues rai</w:t>
            </w:r>
            <w:r w:rsidRPr="00DC15BE">
              <w:t>sed through consultation and incorporate them into the policy development, where appropriate.</w:t>
            </w:r>
          </w:p>
          <w:p w:rsidR="00000000" w:rsidRPr="00DC15BE" w:rsidP="00DC15BE">
            <w:pPr>
              <w:pStyle w:val="List"/>
            </w:pPr>
            <w:r w:rsidRPr="00DC15BE">
              <w:t>2.3</w:t>
            </w:r>
            <w:r w:rsidRPr="00DC15BE">
              <w:tab/>
              <w:t xml:space="preserve">Identify and explain trade waste management processes including </w:t>
            </w:r>
            <w:r w:rsidRPr="00DC15BE">
              <w:rPr>
                <w:rStyle w:val="BoldandItalics"/>
              </w:rPr>
              <w:t>treatment and disposal</w:t>
            </w:r>
            <w:r w:rsidRPr="00DC15BE">
              <w:t xml:space="preserve"> processes together with the required workplace procedures and relevant </w:t>
            </w:r>
            <w:r w:rsidRPr="00DC15BE">
              <w:rPr>
                <w:rStyle w:val="BoldandItalics"/>
              </w:rPr>
              <w:t>environmental factors</w:t>
            </w:r>
            <w:r w:rsidRPr="00DC15BE">
              <w:t>.</w:t>
            </w:r>
          </w:p>
          <w:p w:rsidR="00000000" w:rsidRPr="00DC15BE" w:rsidP="00DC15BE">
            <w:pPr>
              <w:pStyle w:val="List"/>
            </w:pPr>
            <w:r w:rsidRPr="00DC15BE">
              <w:t>2.4</w:t>
            </w:r>
            <w:r w:rsidRPr="00DC15BE">
              <w:tab/>
              <w:t>Develop and modify contingency plans for major trade waste industries.</w:t>
            </w:r>
          </w:p>
          <w:p w:rsidR="00000000" w:rsidRPr="00DC15BE" w:rsidP="00DC15BE">
            <w:pPr>
              <w:pStyle w:val="List"/>
            </w:pPr>
            <w:r w:rsidRPr="00DC15BE">
              <w:t>2.5</w:t>
            </w:r>
            <w:r w:rsidRPr="00DC15BE">
              <w:tab/>
              <w:t>Include issues identified by reviews and audits into the management plan.</w:t>
            </w:r>
          </w:p>
          <w:p w:rsidR="00000000" w:rsidP="00DC15BE">
            <w:pPr>
              <w:pStyle w:val="List"/>
              <w:rPr>
                <w:lang w:val="en-NZ"/>
              </w:rPr>
            </w:pPr>
            <w:r w:rsidRPr="00DC15BE">
              <w:t>2.6</w:t>
            </w:r>
            <w:r w:rsidRPr="00DC15BE">
              <w:tab/>
              <w:t>Prepare and present management policies and plans.</w:t>
            </w:r>
          </w:p>
        </w:tc>
      </w:tr>
      <w:tr w:rsidTr="009B6A0C">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P="00DC15BE">
            <w:pPr>
              <w:pStyle w:val="List"/>
              <w:rPr>
                <w:lang w:val="en-NZ"/>
              </w:rPr>
            </w:pPr>
            <w:r w:rsidRPr="00DC15BE">
              <w:rPr>
                <w:rStyle w:val="SpecialBold"/>
              </w:rPr>
              <w:t>3</w:t>
            </w:r>
            <w:r w:rsidRPr="00DC15BE">
              <w:tab/>
            </w:r>
            <w:r w:rsidRPr="00DC15BE">
              <w:rPr>
                <w:rStyle w:val="SpecialBold"/>
              </w:rPr>
              <w:t>Review and refine trad</w:t>
            </w:r>
            <w:r w:rsidRPr="00DC15BE">
              <w:rPr>
                <w:rStyle w:val="SpecialBold"/>
              </w:rPr>
              <w:t>e waste management policies and plans</w:t>
            </w:r>
            <w:r w:rsidRPr="00DC15BE">
              <w:t>.</w:t>
            </w:r>
          </w:p>
        </w:tc>
        <w:tc>
          <w:tcPr>
            <w:tcW w:w="6317" w:type="dxa"/>
            <w:tcBorders>
              <w:top w:val="nil"/>
              <w:left w:val="nil"/>
              <w:bottom w:val="nil"/>
              <w:right w:val="nil"/>
            </w:tcBorders>
            <w:tcMar>
              <w:top w:w="0" w:type="dxa"/>
              <w:left w:w="62" w:type="dxa"/>
              <w:bottom w:w="0" w:type="dxa"/>
              <w:right w:w="62" w:type="dxa"/>
            </w:tcMar>
          </w:tcPr>
          <w:p w:rsidR="00000000" w:rsidRPr="00DC15BE" w:rsidP="00DC15BE">
            <w:pPr>
              <w:pStyle w:val="List"/>
            </w:pPr>
            <w:r w:rsidRPr="00DC15BE">
              <w:t>3.1</w:t>
            </w:r>
            <w:r w:rsidRPr="00DC15BE">
              <w:tab/>
              <w:t>Review management policies against established objectives, policies and plans.</w:t>
            </w:r>
          </w:p>
          <w:p w:rsidR="00000000" w:rsidRPr="00DC15BE" w:rsidP="00DC15BE">
            <w:pPr>
              <w:pStyle w:val="List"/>
            </w:pPr>
            <w:r w:rsidRPr="00DC15BE">
              <w:t>3.2</w:t>
            </w:r>
            <w:r w:rsidRPr="00DC15BE">
              <w:tab/>
              <w:t>Review policies and plans through consultation, against prevailing stakeholder expectations.</w:t>
            </w:r>
          </w:p>
          <w:p w:rsidR="00000000" w:rsidRPr="00DC15BE" w:rsidP="00DC15BE">
            <w:pPr>
              <w:pStyle w:val="List"/>
            </w:pPr>
            <w:r w:rsidRPr="00DC15BE">
              <w:t>3.3</w:t>
            </w:r>
            <w:r w:rsidRPr="00DC15BE">
              <w:tab/>
            </w:r>
            <w:r w:rsidRPr="00DC15BE">
              <w:t>Modify policies and plans to include identified and required changes.</w:t>
            </w:r>
          </w:p>
          <w:p w:rsidR="00000000" w:rsidRPr="00DC15BE" w:rsidP="00DC15BE">
            <w:pPr>
              <w:pStyle w:val="List"/>
            </w:pPr>
            <w:r w:rsidRPr="00DC15BE">
              <w:t>3.4</w:t>
            </w:r>
            <w:r w:rsidRPr="00DC15BE">
              <w:tab/>
              <w:t>Benchmark policies, management systems and plans with other water utilities.</w:t>
            </w:r>
          </w:p>
          <w:p w:rsidR="00000000" w:rsidRPr="00DC15BE" w:rsidP="00DC15BE">
            <w:pPr>
              <w:pStyle w:val="List"/>
            </w:pPr>
            <w:r w:rsidRPr="00DC15BE">
              <w:t>3.5</w:t>
            </w:r>
            <w:r w:rsidRPr="00DC15BE">
              <w:tab/>
              <w:t>Modify and implement policies and plans.</w:t>
            </w:r>
          </w:p>
        </w:tc>
      </w:tr>
    </w:tbl>
    <w:p w:rsidR="00000000" w:rsidRPr="00DC15BE" w:rsidP="00DC15BE">
      <w:pPr>
        <w:pStyle w:val="BodyText"/>
      </w:pPr>
    </w:p>
    <w:p w:rsidR="00000000" w:rsidRPr="00DC15BE" w:rsidP="00DC15BE">
      <w:pPr>
        <w:pStyle w:val="AllowPageBreak"/>
      </w:pPr>
    </w:p>
    <w:p w:rsidR="00000000" w:rsidRPr="00DC15BE" w:rsidP="00DC15BE">
      <w:pPr>
        <w:pStyle w:val="Heading1"/>
      </w:pPr>
      <w:bookmarkStart w:id="9" w:name="O_407052"/>
      <w:bookmarkEnd w:id="9"/>
      <w:r w:rsidRPr="00DC15BE">
        <w:t>Required Skills and Knowledge</w:t>
      </w:r>
    </w:p>
    <w:tbl>
      <w:tblPr>
        <w:tblW w:w="0" w:type="auto"/>
        <w:tblLayout w:type="fixed"/>
        <w:tblCellMar>
          <w:left w:w="62" w:type="dxa"/>
          <w:right w:w="62" w:type="dxa"/>
        </w:tblCellMar>
        <w:tblLook w:val="0000"/>
      </w:tblPr>
      <w:tblGrid>
        <w:gridCol w:w="8522"/>
      </w:tblGrid>
      <w:tr w:rsidTr="009B6A0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C15BE">
            <w:pPr>
              <w:pStyle w:val="BodyText"/>
              <w:rPr>
                <w:lang w:val="en-NZ"/>
              </w:rPr>
            </w:pPr>
            <w:r w:rsidRPr="00DC15BE">
              <w:t>This descri</w:t>
            </w:r>
            <w:r w:rsidRPr="00DC15BE">
              <w:t>bes the essential skills and knowledge and their level, required for this unit.</w:t>
            </w:r>
          </w:p>
        </w:tc>
      </w:tr>
      <w:tr w:rsidTr="009B6A0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C15BE" w:rsidP="00DC15BE">
            <w:pPr>
              <w:pStyle w:val="BodyText"/>
            </w:pPr>
            <w:r w:rsidRPr="00DC15BE">
              <w:rPr>
                <w:rStyle w:val="SpecialBold"/>
              </w:rPr>
              <w:t>Required skills</w:t>
            </w:r>
            <w:r w:rsidRPr="00DC15BE">
              <w:t>:</w:t>
            </w:r>
          </w:p>
          <w:p w:rsidR="00000000" w:rsidRPr="00DC15BE" w:rsidP="00DC15BE">
            <w:pPr>
              <w:pStyle w:val="ListBullet"/>
            </w:pPr>
            <w:r w:rsidRPr="00DC15BE">
              <w:t>interpret and apply legislation and policies applicable to trade waste</w:t>
            </w:r>
          </w:p>
          <w:p w:rsidR="00000000" w:rsidRPr="00DC15BE" w:rsidP="00DC15BE">
            <w:pPr>
              <w:pStyle w:val="ListBullet"/>
            </w:pPr>
            <w:r w:rsidRPr="00DC15BE">
              <w:t>identify and evaluate trade waste-producing processes</w:t>
            </w:r>
          </w:p>
          <w:p w:rsidR="00000000" w:rsidRPr="00DC15BE" w:rsidP="00DC15BE">
            <w:pPr>
              <w:pStyle w:val="ListBullet"/>
            </w:pPr>
            <w:r w:rsidRPr="00DC15BE">
              <w:t>apply risk assessment and management based on AS 4360</w:t>
            </w:r>
          </w:p>
          <w:p w:rsidR="00000000" w:rsidRPr="00DC15BE" w:rsidP="00DC15BE">
            <w:pPr>
              <w:pStyle w:val="ListBullet"/>
            </w:pPr>
            <w:r w:rsidRPr="00DC15BE">
              <w:t>interpret and evaluate sample analysis data</w:t>
            </w:r>
          </w:p>
          <w:p w:rsidR="00000000" w:rsidRPr="00DC15BE" w:rsidP="00DC15BE">
            <w:pPr>
              <w:pStyle w:val="ListBullet"/>
            </w:pPr>
            <w:r w:rsidRPr="00DC15BE">
              <w:t>plan and conduct investigations</w:t>
            </w:r>
          </w:p>
          <w:p w:rsidR="00000000" w:rsidRPr="00DC15BE" w:rsidP="00DC15BE">
            <w:pPr>
              <w:pStyle w:val="ListBullet"/>
            </w:pPr>
            <w:r w:rsidRPr="00DC15BE">
              <w:t>develop monitoring plans and coordinate measuring, testing and sampling activities</w:t>
            </w:r>
          </w:p>
          <w:p w:rsidR="00000000" w:rsidRPr="00DC15BE" w:rsidP="00DC15BE">
            <w:pPr>
              <w:pStyle w:val="ListBullet"/>
            </w:pPr>
            <w:r w:rsidRPr="00DC15BE">
              <w:t>assess environmental impact using ISO 14001</w:t>
            </w:r>
            <w:r w:rsidRPr="00DC15BE">
              <w:t xml:space="preserve"> where appropriate</w:t>
            </w:r>
          </w:p>
          <w:p w:rsidR="00000000" w:rsidRPr="00DC15BE" w:rsidP="00DC15BE">
            <w:pPr>
              <w:pStyle w:val="ListBullet"/>
            </w:pPr>
            <w:r w:rsidRPr="00DC15BE">
              <w:t>assess waste treatment methods, processes plant and equipment</w:t>
            </w:r>
          </w:p>
          <w:p w:rsidR="00000000" w:rsidRPr="00DC15BE" w:rsidP="00DC15BE">
            <w:pPr>
              <w:pStyle w:val="ListBullet"/>
            </w:pPr>
            <w:r w:rsidRPr="00DC15BE">
              <w:t>negotiate and communicate</w:t>
            </w:r>
          </w:p>
          <w:p w:rsidR="00000000" w:rsidRPr="00DC15BE" w:rsidP="00DC15BE">
            <w:pPr>
              <w:pStyle w:val="ListBullet"/>
            </w:pPr>
            <w:r w:rsidRPr="00DC15BE">
              <w:t>consult and communicate with external and internal groups</w:t>
            </w:r>
          </w:p>
          <w:p w:rsidR="00000000" w:rsidRPr="00DC15BE" w:rsidP="00DC15BE">
            <w:pPr>
              <w:pStyle w:val="ListBullet"/>
            </w:pPr>
            <w:r w:rsidRPr="00DC15BE">
              <w:t>develop contingency plans</w:t>
            </w:r>
          </w:p>
          <w:p w:rsidR="00000000" w:rsidRPr="00DC15BE" w:rsidP="00DC15BE">
            <w:pPr>
              <w:pStyle w:val="ListBullet"/>
            </w:pPr>
            <w:r w:rsidRPr="00DC15BE">
              <w:t>prepare reports and manage records</w:t>
            </w:r>
          </w:p>
          <w:p w:rsidR="00000000" w:rsidP="00DC15BE">
            <w:pPr>
              <w:pStyle w:val="ListBullet"/>
              <w:rPr>
                <w:lang w:val="en-NZ"/>
              </w:rPr>
            </w:pPr>
            <w:r w:rsidRPr="00DC15BE">
              <w:t>use mathematical and scientifi</w:t>
            </w:r>
            <w:r w:rsidRPr="00DC15BE">
              <w:t>c techniques to interpret test results</w:t>
            </w:r>
          </w:p>
        </w:tc>
      </w:tr>
      <w:tr w:rsidTr="009B6A0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C15BE" w:rsidP="00DC15BE">
            <w:pPr>
              <w:pStyle w:val="BodyText"/>
            </w:pPr>
            <w:r w:rsidRPr="00DC15BE">
              <w:rPr>
                <w:rStyle w:val="SpecialBold"/>
              </w:rPr>
              <w:t>Required knowledge</w:t>
            </w:r>
            <w:r w:rsidRPr="00DC15BE">
              <w:t>:</w:t>
            </w:r>
          </w:p>
          <w:p w:rsidR="00000000" w:rsidRPr="00DC15BE" w:rsidP="00DC15BE">
            <w:pPr>
              <w:pStyle w:val="ListBullet"/>
            </w:pPr>
            <w:r w:rsidRPr="00DC15BE">
              <w:t>relevant legislation</w:t>
            </w:r>
          </w:p>
          <w:p w:rsidR="00000000" w:rsidRPr="00DC15BE" w:rsidP="00DC15BE">
            <w:pPr>
              <w:pStyle w:val="ListBullet"/>
            </w:pPr>
            <w:r w:rsidRPr="00DC15BE">
              <w:t>relevant enterprise policies for trade waste management</w:t>
            </w:r>
          </w:p>
          <w:p w:rsidR="00000000" w:rsidRPr="00DC15BE" w:rsidP="00DC15BE">
            <w:pPr>
              <w:pStyle w:val="ListBullet"/>
            </w:pPr>
            <w:r w:rsidRPr="00DC15BE">
              <w:t>enterprise consultation processes</w:t>
            </w:r>
          </w:p>
          <w:p w:rsidR="00000000" w:rsidRPr="00DC15BE" w:rsidP="00DC15BE">
            <w:pPr>
              <w:pStyle w:val="ListBullet"/>
            </w:pPr>
            <w:r w:rsidRPr="00DC15BE">
              <w:t>control procedures</w:t>
            </w:r>
          </w:p>
          <w:p w:rsidR="00000000" w:rsidRPr="00DC15BE" w:rsidP="00DC15BE">
            <w:pPr>
              <w:pStyle w:val="ListBullet"/>
            </w:pPr>
            <w:r w:rsidRPr="00DC15BE">
              <w:t>risk assessment processes and procedures</w:t>
            </w:r>
          </w:p>
          <w:p w:rsidR="00000000" w:rsidRPr="00DC15BE" w:rsidP="00DC15BE">
            <w:pPr>
              <w:pStyle w:val="ListBullet"/>
            </w:pPr>
            <w:r w:rsidRPr="00DC15BE">
              <w:t>enterprise emergency response requirements</w:t>
            </w:r>
          </w:p>
          <w:p w:rsidR="00000000" w:rsidRPr="00DC15BE" w:rsidP="00DC15BE">
            <w:pPr>
              <w:pStyle w:val="ListBullet"/>
            </w:pPr>
            <w:r w:rsidRPr="00DC15BE">
              <w:t>trade waste management systems and records</w:t>
            </w:r>
          </w:p>
          <w:p w:rsidR="00000000" w:rsidRPr="00DC15BE" w:rsidP="00DC15BE">
            <w:pPr>
              <w:pStyle w:val="ListBullet"/>
            </w:pPr>
            <w:r w:rsidRPr="00DC15BE">
              <w:t>water quality parameters of significance to the wastewater system</w:t>
            </w:r>
          </w:p>
          <w:p w:rsidR="00000000" w:rsidRPr="00DC15BE" w:rsidP="00DC15BE">
            <w:pPr>
              <w:pStyle w:val="ListBullet"/>
            </w:pPr>
            <w:r w:rsidRPr="00DC15BE">
              <w:t>trade waste treatment and process technology</w:t>
            </w:r>
          </w:p>
          <w:p w:rsidR="00000000" w:rsidRPr="00DC15BE" w:rsidP="00DC15BE">
            <w:pPr>
              <w:pStyle w:val="ListBullet"/>
            </w:pPr>
            <w:r w:rsidRPr="00DC15BE">
              <w:t>wastewater collection, treatment, re-use and disposal syste</w:t>
            </w:r>
            <w:r w:rsidRPr="00DC15BE">
              <w:t>ms</w:t>
            </w:r>
          </w:p>
          <w:p w:rsidR="00000000" w:rsidRPr="00DC15BE" w:rsidP="00DC15BE">
            <w:pPr>
              <w:pStyle w:val="ListBullet"/>
            </w:pPr>
            <w:r w:rsidRPr="00DC15BE">
              <w:t>personal protection and safety precautions for wastewater sampling including the requirements for relevant inoculations such as:</w:t>
            </w:r>
          </w:p>
          <w:p w:rsidR="00000000" w:rsidRPr="00DC15BE" w:rsidP="00DC15BE">
            <w:pPr>
              <w:pStyle w:val="ListBullet2"/>
            </w:pPr>
            <w:r w:rsidRPr="00DC15BE">
              <w:t>Q Fever</w:t>
            </w:r>
          </w:p>
          <w:p w:rsidR="00000000" w:rsidRPr="00DC15BE" w:rsidP="00DC15BE">
            <w:pPr>
              <w:pStyle w:val="ListBullet2"/>
            </w:pPr>
            <w:r w:rsidRPr="00DC15BE">
              <w:t>Hepatitis A&amp;B</w:t>
            </w:r>
          </w:p>
          <w:p w:rsidR="00000000" w:rsidRPr="00DC15BE" w:rsidP="00DC15BE">
            <w:pPr>
              <w:pStyle w:val="ListBullet2"/>
            </w:pPr>
            <w:r w:rsidRPr="00DC15BE">
              <w:t>Polio</w:t>
            </w:r>
          </w:p>
          <w:p w:rsidR="00000000" w:rsidRPr="00DC15BE" w:rsidP="00DC15BE">
            <w:pPr>
              <w:pStyle w:val="ListBullet2"/>
            </w:pPr>
            <w:r w:rsidRPr="00DC15BE">
              <w:t>Tetanus</w:t>
            </w:r>
          </w:p>
          <w:p w:rsidR="00000000" w:rsidRPr="00DC15BE" w:rsidP="00DC15BE">
            <w:pPr>
              <w:pStyle w:val="ListBullet2"/>
            </w:pPr>
            <w:r w:rsidRPr="00DC15BE">
              <w:t>Diphtheria</w:t>
            </w:r>
          </w:p>
          <w:p w:rsidR="00000000" w:rsidRPr="00DC15BE" w:rsidP="00DC15BE">
            <w:pPr>
              <w:pStyle w:val="ListBullet"/>
            </w:pPr>
            <w:r w:rsidRPr="00DC15BE">
              <w:t>hydraulics, chemistry and equivalent science</w:t>
            </w:r>
          </w:p>
        </w:tc>
      </w:tr>
    </w:tbl>
    <w:p w:rsidR="00000000" w:rsidRPr="00DC15BE" w:rsidP="00DC15BE">
      <w:pPr>
        <w:pStyle w:val="BodyText"/>
      </w:pPr>
    </w:p>
    <w:p w:rsidR="00000000" w:rsidRPr="00DC15BE" w:rsidP="00DC15BE">
      <w:pPr>
        <w:pStyle w:val="AllowPageBreak"/>
      </w:pPr>
    </w:p>
    <w:p w:rsidR="00000000" w:rsidRPr="00DC15BE" w:rsidP="00DC15BE">
      <w:pPr>
        <w:pStyle w:val="Heading1"/>
      </w:pPr>
      <w:bookmarkStart w:id="10" w:name="O_407058"/>
      <w:bookmarkEnd w:id="10"/>
      <w:r w:rsidRPr="00DC15BE">
        <w:t>Evidence Guide</w:t>
      </w:r>
    </w:p>
    <w:tbl>
      <w:tblPr>
        <w:tblW w:w="0" w:type="auto"/>
        <w:tblLayout w:type="fixed"/>
        <w:tblCellMar>
          <w:left w:w="62" w:type="dxa"/>
          <w:right w:w="62" w:type="dxa"/>
        </w:tblCellMar>
        <w:tblLook w:val="0000"/>
      </w:tblPr>
      <w:tblGrid>
        <w:gridCol w:w="2968"/>
        <w:gridCol w:w="6001"/>
      </w:tblGrid>
      <w:tr w:rsidTr="009B6A0C">
        <w:tblPrEx>
          <w:tblW w:w="0" w:type="auto"/>
          <w:tblLayout w:type="fixed"/>
          <w:tblCellMar>
            <w:left w:w="62" w:type="dxa"/>
            <w:right w:w="62" w:type="dxa"/>
          </w:tblCellMar>
          <w:tblLook w:val="0000"/>
        </w:tblPrEx>
        <w:tc>
          <w:tcPr>
            <w:tcW w:w="8969" w:type="dxa"/>
            <w:gridSpan w:val="2"/>
            <w:tcBorders>
              <w:top w:val="nil"/>
              <w:left w:val="nil"/>
              <w:bottom w:val="nil"/>
              <w:right w:val="nil"/>
            </w:tcBorders>
            <w:tcMar>
              <w:top w:w="0" w:type="dxa"/>
              <w:left w:w="62" w:type="dxa"/>
              <w:bottom w:w="0" w:type="dxa"/>
              <w:right w:w="62" w:type="dxa"/>
            </w:tcMar>
          </w:tcPr>
          <w:p w:rsidR="00000000" w:rsidP="00DC15BE">
            <w:pPr>
              <w:pStyle w:val="BodyText"/>
              <w:rPr>
                <w:lang w:val="en-NZ"/>
              </w:rPr>
            </w:pPr>
            <w:r w:rsidRPr="00DC15BE">
              <w:t>The evidence guide provides advice on assessment and must be read in conjunction with the Performance Criteria, Required Skills and Knowledge, the Range Statement and the Assessment Guidelines for the Training Package.</w:t>
            </w:r>
          </w:p>
        </w:tc>
      </w:tr>
      <w:tr w:rsidTr="009B6A0C">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DC15BE">
            <w:pPr>
              <w:pStyle w:val="BodyText"/>
              <w:rPr>
                <w:lang w:val="en-NZ"/>
              </w:rPr>
            </w:pPr>
            <w:r w:rsidRPr="00DC15BE">
              <w:rPr>
                <w:rStyle w:val="SpecialBold"/>
              </w:rPr>
              <w:t>Critical aspects for assessment and evidence required to demonstrate competency in this unit</w:t>
            </w:r>
          </w:p>
        </w:tc>
        <w:tc>
          <w:tcPr>
            <w:tcW w:w="6001" w:type="dxa"/>
            <w:tcBorders>
              <w:top w:val="nil"/>
              <w:left w:val="nil"/>
              <w:bottom w:val="nil"/>
              <w:right w:val="nil"/>
            </w:tcBorders>
            <w:tcMar>
              <w:top w:w="0" w:type="dxa"/>
              <w:left w:w="62" w:type="dxa"/>
              <w:bottom w:w="0" w:type="dxa"/>
              <w:right w:w="62" w:type="dxa"/>
            </w:tcMar>
          </w:tcPr>
          <w:p w:rsidR="00000000" w:rsidRPr="00DC15BE" w:rsidP="00DC15BE">
            <w:pPr>
              <w:pStyle w:val="BodyText"/>
            </w:pPr>
            <w:r w:rsidRPr="00DC15BE">
              <w:t>The candidate should demonstrate the ability to develop and modify policies and plans for trade waste activities relating to liquid waste discharge to wastewater c</w:t>
            </w:r>
            <w:r w:rsidRPr="00DC15BE">
              <w:t>ollection systems including:</w:t>
            </w:r>
          </w:p>
          <w:p w:rsidR="00000000" w:rsidRPr="00DC15BE" w:rsidP="00DC15BE">
            <w:pPr>
              <w:pStyle w:val="ListBullet"/>
            </w:pPr>
            <w:r w:rsidRPr="00DC15BE">
              <w:t>gathering, interpreting and synthesising information (including current legislation and standards, stakeholder views and testing&amp;monitoring results) to underpin the sound development and modification of trade waste policies an</w:t>
            </w:r>
            <w:r w:rsidRPr="00DC15BE">
              <w:t>d plans</w:t>
            </w:r>
          </w:p>
          <w:p w:rsidR="00000000" w:rsidRPr="00DC15BE" w:rsidP="00DC15BE">
            <w:pPr>
              <w:pStyle w:val="ListBullet"/>
            </w:pPr>
            <w:r w:rsidRPr="00DC15BE">
              <w:t>consulting widely and effectively</w:t>
            </w:r>
          </w:p>
          <w:p w:rsidR="00000000" w:rsidRPr="00DC15BE" w:rsidP="00DC15BE">
            <w:pPr>
              <w:pStyle w:val="ListBullet"/>
            </w:pPr>
            <w:r w:rsidRPr="00DC15BE">
              <w:t>developing and modifying effective trade waste policies and plans that address the water organisation's objectives and requirements</w:t>
            </w:r>
          </w:p>
          <w:p w:rsidR="00000000" w:rsidRPr="00DC15BE" w:rsidP="00DC15BE">
            <w:pPr>
              <w:pStyle w:val="ListBullet"/>
            </w:pPr>
            <w:r w:rsidRPr="00DC15BE">
              <w:t>using data from monitoring arrangements to track the performance of the trade wast</w:t>
            </w:r>
            <w:r w:rsidRPr="00DC15BE">
              <w:t>e system and inform the review of the policies and plans</w:t>
            </w:r>
          </w:p>
          <w:p w:rsidR="00000000" w:rsidP="00DC15BE">
            <w:pPr>
              <w:pStyle w:val="ListBullet"/>
              <w:rPr>
                <w:lang w:val="en-NZ"/>
              </w:rPr>
            </w:pPr>
            <w:r w:rsidRPr="00DC15BE">
              <w:t>preparing reports and recommendations for changes to the objectives of the policies and plans and their implementation</w:t>
            </w:r>
          </w:p>
        </w:tc>
      </w:tr>
      <w:tr w:rsidTr="009B6A0C">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DC15BE">
            <w:pPr>
              <w:pStyle w:val="BodyText"/>
              <w:rPr>
                <w:lang w:val="en-NZ"/>
              </w:rPr>
            </w:pPr>
            <w:r w:rsidRPr="00DC15BE">
              <w:rPr>
                <w:rStyle w:val="SpecialBold"/>
              </w:rPr>
              <w:t>Context of and specific resources for assessment</w:t>
            </w:r>
          </w:p>
        </w:tc>
        <w:tc>
          <w:tcPr>
            <w:tcW w:w="6001" w:type="dxa"/>
            <w:tcBorders>
              <w:top w:val="nil"/>
              <w:left w:val="nil"/>
              <w:bottom w:val="nil"/>
              <w:right w:val="nil"/>
            </w:tcBorders>
            <w:tcMar>
              <w:top w:w="0" w:type="dxa"/>
              <w:left w:w="62" w:type="dxa"/>
              <w:bottom w:w="0" w:type="dxa"/>
              <w:right w:w="62" w:type="dxa"/>
            </w:tcMar>
          </w:tcPr>
          <w:p w:rsidR="00000000" w:rsidRPr="00DC15BE" w:rsidP="00DC15BE">
            <w:pPr>
              <w:pStyle w:val="BodyText"/>
            </w:pPr>
            <w:r w:rsidRPr="00DC15BE">
              <w:t>Access to the workplace and resources including:</w:t>
            </w:r>
          </w:p>
          <w:p w:rsidR="00000000" w:rsidRPr="00DC15BE" w:rsidP="00DC15BE">
            <w:pPr>
              <w:pStyle w:val="ListBullet"/>
            </w:pPr>
            <w:r w:rsidRPr="00DC15BE">
              <w:t>documentation that should normally be available in a water industry organisation</w:t>
            </w:r>
          </w:p>
          <w:p w:rsidR="00000000" w:rsidRPr="00DC15BE" w:rsidP="00DC15BE">
            <w:pPr>
              <w:pStyle w:val="ListBullet"/>
            </w:pPr>
            <w:r w:rsidRPr="00DC15BE">
              <w:t>relevant codes, standards, and government regulations</w:t>
            </w:r>
          </w:p>
          <w:p w:rsidR="00000000" w:rsidRPr="00DC15BE" w:rsidP="00DC15BE">
            <w:pPr>
              <w:pStyle w:val="BodyText"/>
            </w:pPr>
            <w:r w:rsidRPr="00DC15BE">
              <w:t xml:space="preserve">Where applicable, physical resources should include equipment modified </w:t>
            </w:r>
            <w:r w:rsidRPr="00DC15BE">
              <w:t>for people with disabilities.</w:t>
            </w:r>
          </w:p>
          <w:p w:rsidR="00000000" w:rsidRPr="00DC15BE" w:rsidP="00DC15BE">
            <w:pPr>
              <w:pStyle w:val="BodyText"/>
            </w:pPr>
            <w:r w:rsidRPr="00DC15BE">
              <w:t>Access must be provided to appropriate learning and/or assessment support when required.</w:t>
            </w:r>
          </w:p>
          <w:p w:rsidR="00000000" w:rsidRPr="00DC15BE" w:rsidP="00DC15BE">
            <w:pPr>
              <w:pStyle w:val="BodyText"/>
            </w:pPr>
            <w:r w:rsidRPr="00DC15BE">
              <w:t>Assessment processes and techniques must be culturally appropriate, and appropriate to the language and literacy capacity of the candidat</w:t>
            </w:r>
            <w:r w:rsidRPr="00DC15BE">
              <w:t>e and the work being performed.</w:t>
            </w:r>
          </w:p>
          <w:p w:rsidR="00000000" w:rsidRPr="00DC15BE" w:rsidP="00DC15BE">
            <w:pPr>
              <w:pStyle w:val="BodyText"/>
            </w:pPr>
            <w:r w:rsidRPr="00DC15BE">
              <w:t>Validity and sufficiency of evidence requires that:</w:t>
            </w:r>
          </w:p>
          <w:p w:rsidR="00000000" w:rsidRPr="00DC15BE" w:rsidP="00DC15BE">
            <w:pPr>
              <w:pStyle w:val="ListBullet"/>
            </w:pPr>
            <w:r w:rsidRPr="00DC15BE">
              <w:t>competency will need to be demonstrated over a period of time reflecting the scope of the role and the practical requirements of the workplace</w:t>
            </w:r>
          </w:p>
          <w:p w:rsidR="00000000" w:rsidRPr="00DC15BE" w:rsidP="00DC15BE">
            <w:pPr>
              <w:pStyle w:val="ListBullet"/>
            </w:pPr>
            <w:r w:rsidRPr="00DC15BE">
              <w:t>where the assessment is part</w:t>
            </w:r>
            <w:r w:rsidRPr="00DC15BE">
              <w:t xml:space="preserve"> of a structured learning experience the evidence collected must relate to a number of performances assessed at different points in time and separated by further learning and practice</w:t>
            </w:r>
          </w:p>
          <w:p w:rsidR="00000000" w:rsidRPr="00DC15BE" w:rsidP="00DC15BE">
            <w:pPr>
              <w:pStyle w:val="ListBullet"/>
            </w:pPr>
            <w:r w:rsidRPr="00DC15BE">
              <w:t>a decision of competence should only be made when the assessor has compl</w:t>
            </w:r>
            <w:r w:rsidRPr="00DC15BE">
              <w:t>ete confidence in the person's competence over time and in various contexts</w:t>
            </w:r>
          </w:p>
          <w:p w:rsidR="00000000" w:rsidRPr="00DC15BE" w:rsidP="00DC15BE">
            <w:pPr>
              <w:pStyle w:val="ListBullet"/>
            </w:pPr>
            <w:r w:rsidRPr="00DC15BE">
              <w:t>all assessment that is part of a structured learning experience must include a combination of direct, indirect and supplementary evidence</w:t>
            </w:r>
          </w:p>
          <w:p w:rsidR="00000000" w:rsidRPr="00DC15BE" w:rsidP="00DC15BE">
            <w:pPr>
              <w:pStyle w:val="ListBullet"/>
            </w:pPr>
            <w:r w:rsidRPr="00DC15BE">
              <w:t>where assessment is for the purpose of rec</w:t>
            </w:r>
            <w:r w:rsidRPr="00DC15BE">
              <w:t>ognition (RCC/RPL), the evidence provided will need to be authenticated and show that it represents competency demonstrated over a period of time</w:t>
            </w:r>
          </w:p>
          <w:p w:rsidR="00000000" w:rsidRPr="00DC15BE" w:rsidP="00DC15BE">
            <w:pPr>
              <w:pStyle w:val="ListBullet"/>
            </w:pPr>
            <w:r w:rsidRPr="00DC15BE">
              <w:t>assessment can be through simulated project-based activity and must include evidence relating to each of the e</w:t>
            </w:r>
            <w:r w:rsidRPr="00DC15BE">
              <w:t>lements in this unit</w:t>
            </w:r>
          </w:p>
          <w:p w:rsidR="00000000" w:rsidRPr="00DC15BE" w:rsidP="00DC15BE">
            <w:pPr>
              <w:pStyle w:val="BodyText"/>
            </w:pPr>
            <w:r w:rsidRPr="00DC15BE">
              <w:t>In all cases where practical assessment is used it will be combined with targeted questioning to assess the underpinning knowledge. Questioning will be undertaken in a manner appropriate to the skill levels of the operator, any cultura</w:t>
            </w:r>
            <w:r w:rsidRPr="00DC15BE">
              <w:t>l issues that may affect responses to the questions, and reflecting the requirements of the competency and the work being performed.</w:t>
            </w:r>
          </w:p>
        </w:tc>
      </w:tr>
    </w:tbl>
    <w:p w:rsidR="00000000" w:rsidRPr="00DC15BE" w:rsidP="00DC15BE">
      <w:pPr>
        <w:pStyle w:val="BodyText"/>
      </w:pPr>
    </w:p>
    <w:p w:rsidR="00000000" w:rsidRPr="00DC15BE" w:rsidP="00DC15BE">
      <w:pPr>
        <w:pStyle w:val="AllowPageBreak"/>
      </w:pPr>
    </w:p>
    <w:p w:rsidR="00000000" w:rsidRPr="00DC15BE" w:rsidP="00DC15BE">
      <w:pPr>
        <w:pStyle w:val="Heading1"/>
      </w:pPr>
      <w:bookmarkStart w:id="11" w:name="O_407053"/>
      <w:bookmarkEnd w:id="11"/>
      <w:r w:rsidRPr="00DC15BE">
        <w:t>Range Statement</w:t>
      </w:r>
    </w:p>
    <w:tbl>
      <w:tblPr>
        <w:tblW w:w="0" w:type="auto"/>
        <w:tblLayout w:type="fixed"/>
        <w:tblCellMar>
          <w:left w:w="62" w:type="dxa"/>
          <w:right w:w="62" w:type="dxa"/>
        </w:tblCellMar>
        <w:tblLook w:val="0000"/>
      </w:tblPr>
      <w:tblGrid>
        <w:gridCol w:w="2859"/>
        <w:gridCol w:w="5663"/>
      </w:tblGrid>
      <w:tr w:rsidTr="009B6A0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C15BE">
            <w:pPr>
              <w:pStyle w:val="BodyText"/>
              <w:rPr>
                <w:lang w:val="en-NZ"/>
              </w:rPr>
            </w:pPr>
            <w:r w:rsidRPr="00DC15BE">
              <w:t xml:space="preserve">The range statement relates to the unit of competency as a whole. It allows for different work environments and situations that may affect performance. </w:t>
            </w:r>
            <w:r w:rsidRPr="00DC15BE">
              <w:rPr>
                <w:rStyle w:val="BoldandItalics"/>
              </w:rPr>
              <w:t>Bold italicised</w:t>
            </w:r>
            <w:r w:rsidRPr="00DC15BE">
              <w:t xml:space="preserve"> wording, if used in the Performance Criteria, is detailed below. Add any essential opera</w:t>
            </w:r>
            <w:r w:rsidRPr="00DC15BE">
              <w:t>ting conditions that may be present with training and assessment depending on the work situation, needs if the candidate, accessibility of the item, and local industry and regional contexts.</w:t>
            </w:r>
          </w:p>
        </w:tc>
      </w:tr>
      <w:tr w:rsidTr="009B6A0C">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DC15BE">
            <w:pPr>
              <w:pStyle w:val="BodyText"/>
              <w:rPr>
                <w:lang w:val="en-NZ"/>
              </w:rPr>
            </w:pPr>
            <w:r w:rsidRPr="00DC15BE">
              <w:rPr>
                <w:rStyle w:val="BoldandItalics"/>
              </w:rPr>
              <w:t>Trade waste</w:t>
            </w:r>
            <w:r w:rsidRPr="00DC15BE">
              <w:t xml:space="preserve"> covers:</w:t>
            </w:r>
          </w:p>
        </w:tc>
        <w:tc>
          <w:tcPr>
            <w:tcW w:w="5663" w:type="dxa"/>
            <w:tcBorders>
              <w:top w:val="nil"/>
              <w:left w:val="nil"/>
              <w:bottom w:val="nil"/>
              <w:right w:val="nil"/>
            </w:tcBorders>
            <w:tcMar>
              <w:top w:w="0" w:type="dxa"/>
              <w:left w:w="62" w:type="dxa"/>
              <w:bottom w:w="0" w:type="dxa"/>
              <w:right w:w="62" w:type="dxa"/>
            </w:tcMar>
          </w:tcPr>
          <w:p w:rsidR="00000000" w:rsidRPr="00DC15BE" w:rsidP="00DC15BE">
            <w:pPr>
              <w:pStyle w:val="ListBullet"/>
            </w:pPr>
            <w:r w:rsidRPr="00DC15BE">
              <w:t xml:space="preserve">the liquid or solid waste disposed of and </w:t>
            </w:r>
            <w:r w:rsidRPr="00DC15BE">
              <w:t>to the wastewater collection system by industry</w:t>
            </w:r>
          </w:p>
          <w:p w:rsidR="00000000" w:rsidRPr="00DC15BE" w:rsidP="00DC15BE">
            <w:pPr>
              <w:pStyle w:val="ListBullet"/>
            </w:pPr>
            <w:r w:rsidRPr="00DC15BE">
              <w:t>business and trade manufacturing processes</w:t>
            </w:r>
          </w:p>
          <w:p w:rsidR="00000000" w:rsidRPr="00DC15BE" w:rsidP="00DC15BE">
            <w:pPr>
              <w:pStyle w:val="ListBullet"/>
            </w:pPr>
            <w:r w:rsidRPr="00DC15BE">
              <w:t>commercial operations</w:t>
            </w:r>
          </w:p>
          <w:p w:rsidR="00000000" w:rsidRPr="00DC15BE" w:rsidP="00DC15BE">
            <w:pPr>
              <w:pStyle w:val="ListBullet"/>
            </w:pPr>
            <w:r w:rsidRPr="00DC15BE">
              <w:t>chemical manufacturers</w:t>
            </w:r>
          </w:p>
          <w:p w:rsidR="00000000" w:rsidRPr="00DC15BE" w:rsidP="00DC15BE">
            <w:pPr>
              <w:pStyle w:val="ListBullet"/>
            </w:pPr>
            <w:r w:rsidRPr="00DC15BE">
              <w:t>rural industries</w:t>
            </w:r>
          </w:p>
          <w:p w:rsidR="00000000" w:rsidRPr="00DC15BE" w:rsidP="00DC15BE">
            <w:pPr>
              <w:pStyle w:val="ListBullet"/>
            </w:pPr>
            <w:r w:rsidRPr="00DC15BE">
              <w:t>utilities and services (e.g. health)</w:t>
            </w:r>
          </w:p>
          <w:p w:rsidR="00000000" w:rsidRPr="00DC15BE" w:rsidP="00DC15BE">
            <w:pPr>
              <w:pStyle w:val="ListBullet"/>
            </w:pPr>
            <w:r w:rsidRPr="00DC15BE">
              <w:t>farming operations</w:t>
            </w:r>
          </w:p>
          <w:p w:rsidR="00000000" w:rsidRPr="00DC15BE" w:rsidP="00DC15BE">
            <w:pPr>
              <w:pStyle w:val="ListBullet"/>
            </w:pPr>
            <w:r w:rsidRPr="00DC15BE">
              <w:t>pre-treatment plants and waste storage</w:t>
            </w:r>
          </w:p>
          <w:p w:rsidR="00000000" w:rsidP="00DC15BE">
            <w:pPr>
              <w:pStyle w:val="ListBullet"/>
              <w:rPr>
                <w:lang w:val="en-NZ"/>
              </w:rPr>
            </w:pPr>
            <w:r w:rsidRPr="00DC15BE">
              <w:t>trade waste does not include domestic wastewater</w:t>
            </w:r>
          </w:p>
        </w:tc>
      </w:tr>
      <w:tr w:rsidTr="009B6A0C">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DC15BE">
            <w:pPr>
              <w:pStyle w:val="BodyText"/>
              <w:rPr>
                <w:lang w:val="en-NZ"/>
              </w:rPr>
            </w:pPr>
            <w:r w:rsidRPr="00DC15BE">
              <w:rPr>
                <w:rStyle w:val="BoldandItalics"/>
              </w:rPr>
              <w:t>Legislation</w:t>
            </w:r>
            <w:r w:rsidRPr="00DC15BE">
              <w:t xml:space="preserve"> may include:</w:t>
            </w:r>
          </w:p>
        </w:tc>
        <w:tc>
          <w:tcPr>
            <w:tcW w:w="5663" w:type="dxa"/>
            <w:tcBorders>
              <w:top w:val="nil"/>
              <w:left w:val="nil"/>
              <w:bottom w:val="nil"/>
              <w:right w:val="nil"/>
            </w:tcBorders>
            <w:tcMar>
              <w:top w:w="0" w:type="dxa"/>
              <w:left w:w="62" w:type="dxa"/>
              <w:bottom w:w="0" w:type="dxa"/>
              <w:right w:w="62" w:type="dxa"/>
            </w:tcMar>
          </w:tcPr>
          <w:p w:rsidR="00000000" w:rsidRPr="00DC15BE" w:rsidP="00DC15BE">
            <w:pPr>
              <w:pStyle w:val="ListBullet"/>
            </w:pPr>
            <w:r w:rsidRPr="00DC15BE">
              <w:t>relevant federal legislation</w:t>
            </w:r>
          </w:p>
          <w:p w:rsidR="00000000" w:rsidRPr="00DC15BE" w:rsidP="00DC15BE">
            <w:pPr>
              <w:pStyle w:val="ListBullet"/>
            </w:pPr>
            <w:r w:rsidRPr="00DC15BE">
              <w:t>relevant state or territory legislation</w:t>
            </w:r>
          </w:p>
          <w:p w:rsidR="00000000" w:rsidRPr="00DC15BE" w:rsidP="00DC15BE">
            <w:pPr>
              <w:pStyle w:val="ListBullet"/>
            </w:pPr>
            <w:r w:rsidRPr="00DC15BE">
              <w:t>relevant local government by-laws</w:t>
            </w:r>
          </w:p>
          <w:p w:rsidR="00000000" w:rsidRPr="00DC15BE" w:rsidP="00DC15BE">
            <w:pPr>
              <w:pStyle w:val="ListBullet"/>
            </w:pPr>
            <w:r w:rsidRPr="00DC15BE">
              <w:t>relevant government and quasi government policies and regulations</w:t>
            </w:r>
          </w:p>
          <w:p w:rsidR="00000000" w:rsidRPr="00DC15BE" w:rsidP="00DC15BE">
            <w:pPr>
              <w:pStyle w:val="ListBullet"/>
            </w:pPr>
            <w:r w:rsidRPr="00DC15BE">
              <w:t>relevant community planning and development agreements (eg local government planning consent)</w:t>
            </w:r>
          </w:p>
          <w:p w:rsidR="00000000" w:rsidRPr="00DC15BE" w:rsidP="00DC15BE">
            <w:pPr>
              <w:pStyle w:val="ListBullet"/>
            </w:pPr>
            <w:r w:rsidRPr="00DC15BE">
              <w:t>water authority regulations and by-laws</w:t>
            </w:r>
          </w:p>
          <w:p w:rsidR="00000000" w:rsidRPr="00DC15BE" w:rsidP="00DC15BE">
            <w:pPr>
              <w:pStyle w:val="ListBullet"/>
            </w:pPr>
            <w:r w:rsidRPr="00DC15BE">
              <w:t>World Health Organisation guidelines</w:t>
            </w:r>
          </w:p>
          <w:p w:rsidR="00000000" w:rsidP="00DC15BE">
            <w:pPr>
              <w:pStyle w:val="ListBullet"/>
              <w:rPr>
                <w:lang w:val="en-NZ"/>
              </w:rPr>
            </w:pPr>
            <w:r w:rsidRPr="00DC15BE">
              <w:t>Environment Protection Authority guidelines</w:t>
            </w:r>
          </w:p>
        </w:tc>
      </w:tr>
      <w:tr w:rsidTr="009B6A0C">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DC15BE">
            <w:pPr>
              <w:pStyle w:val="BodyText"/>
              <w:rPr>
                <w:lang w:val="en-NZ"/>
              </w:rPr>
            </w:pPr>
            <w:r w:rsidRPr="00DC15BE">
              <w:rPr>
                <w:rStyle w:val="BoldandItalics"/>
              </w:rPr>
              <w:t>Document</w:t>
            </w:r>
            <w:r w:rsidRPr="00DC15BE">
              <w:t xml:space="preserve"> may include:</w:t>
            </w:r>
          </w:p>
        </w:tc>
        <w:tc>
          <w:tcPr>
            <w:tcW w:w="5663" w:type="dxa"/>
            <w:tcBorders>
              <w:top w:val="nil"/>
              <w:left w:val="nil"/>
              <w:bottom w:val="nil"/>
              <w:right w:val="nil"/>
            </w:tcBorders>
            <w:tcMar>
              <w:top w:w="0" w:type="dxa"/>
              <w:left w:w="62" w:type="dxa"/>
              <w:bottom w:w="0" w:type="dxa"/>
              <w:right w:w="62" w:type="dxa"/>
            </w:tcMar>
          </w:tcPr>
          <w:p w:rsidR="00000000" w:rsidRPr="00DC15BE" w:rsidP="00DC15BE">
            <w:pPr>
              <w:pStyle w:val="ListBullet"/>
            </w:pPr>
            <w:r w:rsidRPr="00DC15BE">
              <w:t>information on applicable trade waste laws or other requirements</w:t>
            </w:r>
          </w:p>
          <w:p w:rsidR="00000000" w:rsidRPr="00DC15BE" w:rsidP="00DC15BE">
            <w:pPr>
              <w:pStyle w:val="ListBullet"/>
            </w:pPr>
            <w:r w:rsidRPr="00DC15BE">
              <w:t>complaint records</w:t>
            </w:r>
          </w:p>
          <w:p w:rsidR="00000000" w:rsidRPr="00DC15BE" w:rsidP="00DC15BE">
            <w:pPr>
              <w:pStyle w:val="ListBullet"/>
            </w:pPr>
            <w:r w:rsidRPr="00DC15BE">
              <w:t>training records</w:t>
            </w:r>
          </w:p>
          <w:p w:rsidR="00000000" w:rsidRPr="00DC15BE" w:rsidP="00DC15BE">
            <w:pPr>
              <w:pStyle w:val="ListBullet"/>
            </w:pPr>
            <w:r w:rsidRPr="00DC15BE">
              <w:t>process information</w:t>
            </w:r>
          </w:p>
          <w:p w:rsidR="00000000" w:rsidRPr="00DC15BE" w:rsidP="00DC15BE">
            <w:pPr>
              <w:pStyle w:val="ListBullet"/>
            </w:pPr>
            <w:r w:rsidRPr="00DC15BE">
              <w:t>process operational logbooks</w:t>
            </w:r>
          </w:p>
          <w:p w:rsidR="00000000" w:rsidRPr="00DC15BE" w:rsidP="00DC15BE">
            <w:pPr>
              <w:pStyle w:val="ListBullet"/>
            </w:pPr>
            <w:r w:rsidRPr="00DC15BE">
              <w:t>inspection, maintenance and calibration records</w:t>
            </w:r>
          </w:p>
          <w:p w:rsidR="00000000" w:rsidRPr="00DC15BE" w:rsidP="00DC15BE">
            <w:pPr>
              <w:pStyle w:val="ListBullet"/>
            </w:pPr>
            <w:r w:rsidRPr="00DC15BE">
              <w:t>relevant contractor and supplier information</w:t>
            </w:r>
          </w:p>
          <w:p w:rsidR="00000000" w:rsidRPr="00DC15BE" w:rsidP="00DC15BE">
            <w:pPr>
              <w:pStyle w:val="ListBullet"/>
            </w:pPr>
            <w:r w:rsidRPr="00DC15BE">
              <w:t>incident repor</w:t>
            </w:r>
            <w:r w:rsidRPr="00DC15BE">
              <w:t>ts</w:t>
            </w:r>
          </w:p>
          <w:p w:rsidR="00000000" w:rsidRPr="00DC15BE" w:rsidP="00DC15BE">
            <w:pPr>
              <w:pStyle w:val="ListBullet"/>
            </w:pPr>
            <w:r w:rsidRPr="00DC15BE">
              <w:t>information on emergency preparedness and response</w:t>
            </w:r>
          </w:p>
          <w:p w:rsidR="00000000" w:rsidRPr="00DC15BE" w:rsidP="00DC15BE">
            <w:pPr>
              <w:pStyle w:val="ListBullet"/>
            </w:pPr>
            <w:r w:rsidRPr="00DC15BE">
              <w:t>records of significant trade waste impacts</w:t>
            </w:r>
          </w:p>
          <w:p w:rsidR="00000000" w:rsidRPr="00DC15BE" w:rsidP="00DC15BE">
            <w:pPr>
              <w:pStyle w:val="ListBullet"/>
            </w:pPr>
            <w:r w:rsidRPr="00DC15BE">
              <w:t>audit results</w:t>
            </w:r>
          </w:p>
          <w:p w:rsidR="00000000" w:rsidRPr="00DC15BE" w:rsidP="00DC15BE">
            <w:pPr>
              <w:pStyle w:val="ListBullet"/>
            </w:pPr>
            <w:r w:rsidRPr="00DC15BE">
              <w:t>management reviews</w:t>
            </w:r>
          </w:p>
          <w:p w:rsidR="00000000" w:rsidRPr="00DC15BE" w:rsidP="00DC15BE">
            <w:pPr>
              <w:pStyle w:val="ListBullet"/>
            </w:pPr>
            <w:r w:rsidRPr="00DC15BE">
              <w:t>trade waste charging policy</w:t>
            </w:r>
          </w:p>
          <w:p w:rsidR="00000000" w:rsidP="00DC15BE">
            <w:pPr>
              <w:pStyle w:val="ListBullet"/>
              <w:rPr>
                <w:lang w:val="en-NZ"/>
              </w:rPr>
            </w:pPr>
            <w:r w:rsidRPr="00DC15BE">
              <w:t>industrial trade waste generators' register</w:t>
            </w:r>
          </w:p>
        </w:tc>
      </w:tr>
      <w:tr w:rsidTr="009B6A0C">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DC15BE">
            <w:pPr>
              <w:pStyle w:val="BodyText"/>
              <w:rPr>
                <w:lang w:val="en-NZ"/>
              </w:rPr>
            </w:pPr>
            <w:r w:rsidRPr="00DC15BE">
              <w:rPr>
                <w:rStyle w:val="BoldandItalics"/>
              </w:rPr>
              <w:t>Stakeholder</w:t>
            </w:r>
            <w:r w:rsidRPr="00DC15BE">
              <w:t xml:space="preserve"> groups may include:</w:t>
            </w:r>
          </w:p>
        </w:tc>
        <w:tc>
          <w:tcPr>
            <w:tcW w:w="5663" w:type="dxa"/>
            <w:tcBorders>
              <w:top w:val="nil"/>
              <w:left w:val="nil"/>
              <w:bottom w:val="nil"/>
              <w:right w:val="nil"/>
            </w:tcBorders>
            <w:tcMar>
              <w:top w:w="0" w:type="dxa"/>
              <w:left w:w="62" w:type="dxa"/>
              <w:bottom w:w="0" w:type="dxa"/>
              <w:right w:w="62" w:type="dxa"/>
            </w:tcMar>
          </w:tcPr>
          <w:p w:rsidR="00000000" w:rsidRPr="00DC15BE" w:rsidP="00DC15BE">
            <w:pPr>
              <w:pStyle w:val="ListBullet"/>
            </w:pPr>
            <w:r w:rsidRPr="00DC15BE">
              <w:t>the enterprise</w:t>
            </w:r>
          </w:p>
          <w:p w:rsidR="00000000" w:rsidRPr="00DC15BE" w:rsidP="00DC15BE">
            <w:pPr>
              <w:pStyle w:val="ListBullet"/>
            </w:pPr>
            <w:r w:rsidRPr="00DC15BE">
              <w:t>government (all levels)</w:t>
            </w:r>
          </w:p>
          <w:p w:rsidR="00000000" w:rsidRPr="00DC15BE" w:rsidP="00DC15BE">
            <w:pPr>
              <w:pStyle w:val="ListBullet"/>
            </w:pPr>
            <w:r w:rsidRPr="00DC15BE">
              <w:t>industry (e.g. extractive, manufacturing)</w:t>
            </w:r>
          </w:p>
          <w:p w:rsidR="00000000" w:rsidRPr="00DC15BE" w:rsidP="00DC15BE">
            <w:pPr>
              <w:pStyle w:val="ListBullet"/>
            </w:pPr>
            <w:r w:rsidRPr="00DC15BE">
              <w:t>community action groups</w:t>
            </w:r>
          </w:p>
          <w:p w:rsidR="00000000" w:rsidRPr="00DC15BE" w:rsidP="00DC15BE">
            <w:pPr>
              <w:pStyle w:val="ListBullet"/>
            </w:pPr>
            <w:r w:rsidRPr="00DC15BE">
              <w:t>conservation groups</w:t>
            </w:r>
          </w:p>
          <w:p w:rsidR="00000000" w:rsidRPr="00DC15BE" w:rsidP="00DC15BE">
            <w:pPr>
              <w:pStyle w:val="ListBullet"/>
            </w:pPr>
            <w:r w:rsidRPr="00DC15BE">
              <w:t>lobby groups</w:t>
            </w:r>
          </w:p>
          <w:p w:rsidR="00000000" w:rsidRPr="00DC15BE" w:rsidP="00DC15BE">
            <w:pPr>
              <w:pStyle w:val="ListBullet"/>
            </w:pPr>
            <w:r w:rsidRPr="00DC15BE">
              <w:t>land care groups</w:t>
            </w:r>
          </w:p>
          <w:p w:rsidR="00000000" w:rsidP="00DC15BE">
            <w:pPr>
              <w:pStyle w:val="ListBullet"/>
              <w:rPr>
                <w:lang w:val="en-NZ"/>
              </w:rPr>
            </w:pPr>
            <w:r w:rsidRPr="00DC15BE">
              <w:t>the general community and individuals</w:t>
            </w:r>
          </w:p>
        </w:tc>
      </w:tr>
      <w:tr w:rsidTr="009B6A0C">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DC15BE">
            <w:pPr>
              <w:pStyle w:val="BodyText"/>
              <w:rPr>
                <w:lang w:val="en-NZ"/>
              </w:rPr>
            </w:pPr>
            <w:r w:rsidRPr="00DC15BE">
              <w:rPr>
                <w:rStyle w:val="BoldandItalics"/>
              </w:rPr>
              <w:t>Treatment and discharge</w:t>
            </w:r>
            <w:r w:rsidRPr="00DC15BE">
              <w:t xml:space="preserve"> may include:</w:t>
            </w:r>
          </w:p>
        </w:tc>
        <w:tc>
          <w:tcPr>
            <w:tcW w:w="5663" w:type="dxa"/>
            <w:tcBorders>
              <w:top w:val="nil"/>
              <w:left w:val="nil"/>
              <w:bottom w:val="nil"/>
              <w:right w:val="nil"/>
            </w:tcBorders>
            <w:tcMar>
              <w:top w:w="0" w:type="dxa"/>
              <w:left w:w="62" w:type="dxa"/>
              <w:bottom w:w="0" w:type="dxa"/>
              <w:right w:w="62" w:type="dxa"/>
            </w:tcMar>
          </w:tcPr>
          <w:p w:rsidR="00000000" w:rsidRPr="00DC15BE" w:rsidP="00DC15BE">
            <w:pPr>
              <w:pStyle w:val="ListBullet"/>
            </w:pPr>
            <w:r w:rsidRPr="00DC15BE">
              <w:t>on-site storage and disposal and/or treatment</w:t>
            </w:r>
          </w:p>
          <w:p w:rsidR="00000000" w:rsidRPr="00DC15BE" w:rsidP="00DC15BE">
            <w:pPr>
              <w:pStyle w:val="ListBullet"/>
            </w:pPr>
            <w:r w:rsidRPr="00DC15BE">
              <w:t>off-site disposal</w:t>
            </w:r>
          </w:p>
          <w:p w:rsidR="00000000" w:rsidRPr="00DC15BE" w:rsidP="00DC15BE">
            <w:pPr>
              <w:pStyle w:val="ListBullet"/>
            </w:pPr>
            <w:r w:rsidRPr="00DC15BE">
              <w:t>dilution</w:t>
            </w:r>
          </w:p>
          <w:p w:rsidR="00000000" w:rsidRPr="00DC15BE" w:rsidP="00DC15BE">
            <w:pPr>
              <w:pStyle w:val="ListBullet"/>
            </w:pPr>
            <w:r w:rsidRPr="00DC15BE">
              <w:t>specifying and controlling discharge rates</w:t>
            </w:r>
          </w:p>
          <w:p w:rsidR="00000000" w:rsidRPr="00DC15BE" w:rsidP="00DC15BE">
            <w:pPr>
              <w:pStyle w:val="ListBullet"/>
            </w:pPr>
            <w:r w:rsidRPr="00DC15BE">
              <w:t>recycle and reuse options</w:t>
            </w:r>
          </w:p>
          <w:p w:rsidR="00000000" w:rsidP="00DC15BE">
            <w:pPr>
              <w:pStyle w:val="ListBullet"/>
              <w:rPr>
                <w:lang w:val="en-NZ"/>
              </w:rPr>
            </w:pPr>
            <w:r w:rsidRPr="00DC15BE">
              <w:t>on-site pre-treatment</w:t>
            </w:r>
          </w:p>
        </w:tc>
      </w:tr>
      <w:tr w:rsidTr="009B6A0C">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DC15BE">
            <w:pPr>
              <w:pStyle w:val="BodyText"/>
              <w:rPr>
                <w:lang w:val="en-NZ"/>
              </w:rPr>
            </w:pPr>
            <w:r w:rsidRPr="00DC15BE">
              <w:rPr>
                <w:rStyle w:val="BoldandItalics"/>
              </w:rPr>
              <w:t>Environmental factors</w:t>
            </w:r>
            <w:r w:rsidRPr="00DC15BE">
              <w:t xml:space="preserve"> may include:</w:t>
            </w:r>
          </w:p>
        </w:tc>
        <w:tc>
          <w:tcPr>
            <w:tcW w:w="5663" w:type="dxa"/>
            <w:tcBorders>
              <w:top w:val="nil"/>
              <w:left w:val="nil"/>
              <w:bottom w:val="nil"/>
              <w:right w:val="nil"/>
            </w:tcBorders>
            <w:tcMar>
              <w:top w:w="0" w:type="dxa"/>
              <w:left w:w="62" w:type="dxa"/>
              <w:bottom w:w="0" w:type="dxa"/>
              <w:right w:w="62" w:type="dxa"/>
            </w:tcMar>
          </w:tcPr>
          <w:p w:rsidR="00000000" w:rsidRPr="00DC15BE" w:rsidP="00DC15BE">
            <w:pPr>
              <w:pStyle w:val="ListBullet"/>
            </w:pPr>
            <w:r w:rsidRPr="00DC15BE">
              <w:t>disposal options</w:t>
            </w:r>
          </w:p>
          <w:p w:rsidR="00000000" w:rsidRPr="00DC15BE" w:rsidP="00DC15BE">
            <w:pPr>
              <w:pStyle w:val="ListBullet"/>
            </w:pPr>
            <w:r w:rsidRPr="00DC15BE">
              <w:t>sensitivity of the receiving environme</w:t>
            </w:r>
            <w:r w:rsidRPr="00DC15BE">
              <w:t>nt</w:t>
            </w:r>
          </w:p>
          <w:p w:rsidR="00000000" w:rsidRPr="00DC15BE" w:rsidP="00DC15BE">
            <w:pPr>
              <w:pStyle w:val="ListBullet"/>
            </w:pPr>
            <w:r w:rsidRPr="00DC15BE">
              <w:t>persistency and toxicity of the substances</w:t>
            </w:r>
          </w:p>
          <w:p w:rsidR="00000000" w:rsidRPr="00DC15BE" w:rsidP="00DC15BE">
            <w:pPr>
              <w:pStyle w:val="ListBullet"/>
            </w:pPr>
            <w:r w:rsidRPr="00DC15BE">
              <w:t>hydraulic loads</w:t>
            </w:r>
          </w:p>
          <w:p w:rsidR="00000000" w:rsidRPr="00DC15BE" w:rsidP="00DC15BE">
            <w:pPr>
              <w:pStyle w:val="ListBullet"/>
            </w:pPr>
            <w:r w:rsidRPr="00DC15BE">
              <w:t>temperature of wastes</w:t>
            </w:r>
          </w:p>
          <w:p w:rsidR="00000000" w:rsidRPr="00DC15BE" w:rsidP="00DC15BE">
            <w:pPr>
              <w:pStyle w:val="ListBullet"/>
            </w:pPr>
            <w:r w:rsidRPr="00DC15BE">
              <w:t>receiving treatment plant capacity</w:t>
            </w:r>
          </w:p>
          <w:p w:rsidR="00000000" w:rsidRPr="00DC15BE" w:rsidP="00DC15BE">
            <w:pPr>
              <w:pStyle w:val="ListBullet"/>
            </w:pPr>
            <w:r w:rsidRPr="00DC15BE">
              <w:t>organic loads</w:t>
            </w:r>
          </w:p>
          <w:p w:rsidR="00000000" w:rsidRPr="00DC15BE" w:rsidP="00DC15BE">
            <w:pPr>
              <w:pStyle w:val="ListBullet"/>
            </w:pPr>
            <w:r w:rsidRPr="00DC15BE">
              <w:t>concentration of components in wastes</w:t>
            </w:r>
          </w:p>
          <w:p w:rsidR="00000000" w:rsidRPr="00DC15BE" w:rsidP="00DC15BE">
            <w:pPr>
              <w:pStyle w:val="ListBullet"/>
            </w:pPr>
            <w:r w:rsidRPr="00DC15BE">
              <w:t>climatic variation</w:t>
            </w:r>
          </w:p>
        </w:tc>
      </w:tr>
    </w:tbl>
    <w:p w:rsidR="009B6A0C" w:rsidP="00DC15BE">
      <w:pPr>
        <w:pStyle w:val="BodyText"/>
      </w:pPr>
    </w:p>
    <w:p w:rsidR="009B6A0C" w:rsidP="00DC15BE">
      <w:pPr>
        <w:pStyle w:val="BodyText"/>
      </w:pPr>
    </w:p>
    <w:p w:rsidR="00000000" w:rsidRPr="00DC15BE" w:rsidP="00DC15BE">
      <w:pPr>
        <w:pStyle w:val="Heading1"/>
      </w:pPr>
      <w:bookmarkStart w:id="12" w:name="O_407050"/>
      <w:bookmarkEnd w:id="12"/>
      <w:r w:rsidRPr="00DC15BE">
        <w:t>Unit Sector(s)</w:t>
      </w:r>
    </w:p>
    <w:p w:rsidR="00000000" w:rsidRPr="00DC15BE" w:rsidP="00DC15BE">
      <w:pPr>
        <w:pStyle w:val="BodyText"/>
      </w:pPr>
      <w:r w:rsidRPr="00DC15BE">
        <w:t>Not applicable.</w:t>
      </w:r>
    </w:p>
    <w:p w:rsidR="00000000" w:rsidRPr="00DC15BE" w:rsidP="00DC15BE">
      <w:pPr>
        <w:pStyle w:val="AllowPageBreak"/>
      </w:pPr>
    </w:p>
    <w:p w:rsidR="00000000" w:rsidRPr="00DC15BE" w:rsidP="00DC15BE">
      <w:pPr>
        <w:pStyle w:val="Heading1"/>
      </w:pPr>
      <w:bookmarkStart w:id="13" w:name="O_407062"/>
      <w:bookmarkEnd w:id="13"/>
      <w:r w:rsidRPr="00DC15BE">
        <w:t>Competency field</w:t>
      </w:r>
    </w:p>
    <w:p w:rsidR="00000000" w:rsidRPr="00DC15BE" w:rsidP="00DC15BE">
      <w:pPr>
        <w:pStyle w:val="BodyText"/>
      </w:pPr>
      <w:r w:rsidRPr="00DC15BE">
        <w:t>Trade waste.</w:t>
      </w:r>
    </w:p>
    <w:p w:rsidR="00000000" w:rsidRPr="00DC15BE" w:rsidP="00DC15BE"/>
    <w:sectPr w:rsidSect="00DC15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5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6A0C" w:rsidP="009B6A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5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A0C" w:rsidP="00DC15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B6A0C" w:rsidP="00DC15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B6A0C" w:rsidP="00DC15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5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6A0C" w:rsidP="009B6A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5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A0C" w:rsidP="00DC15BE">
    <w:pPr>
      <w:pStyle w:val="Header"/>
      <w:framePr w:wrap="around"/>
    </w:pPr>
    <w:r>
      <w:fldChar w:fldCharType="begin"/>
    </w:r>
    <w:r>
      <w:instrText xml:space="preserve"> TITLE   \* MERGEFORMAT </w:instrText>
    </w:r>
    <w:r>
      <w:fldChar w:fldCharType="separate"/>
    </w:r>
    <w:r>
      <w:t>NWP529B Develop and modify trade waste policies and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B6A0C" w:rsidP="00DC15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0EDE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8433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BAA4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5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15BE"/>
    <w:pPr>
      <w:spacing w:before="360" w:after="60"/>
      <w:outlineLvl w:val="0"/>
    </w:pPr>
    <w:rPr>
      <w:sz w:val="32"/>
    </w:rPr>
  </w:style>
  <w:style w:type="paragraph" w:styleId="Heading2">
    <w:name w:val="heading 2"/>
    <w:basedOn w:val="HeadingBase"/>
    <w:next w:val="BodyText"/>
    <w:link w:val="Heading2Char"/>
    <w:qFormat/>
    <w:rsid w:val="00DC15BE"/>
    <w:pPr>
      <w:keepLines/>
      <w:spacing w:before="240" w:after="120"/>
      <w:outlineLvl w:val="1"/>
    </w:pPr>
    <w:rPr>
      <w:sz w:val="28"/>
      <w:szCs w:val="40"/>
    </w:rPr>
  </w:style>
  <w:style w:type="paragraph" w:styleId="Heading3">
    <w:name w:val="heading 3"/>
    <w:basedOn w:val="HeadingBase"/>
    <w:next w:val="BodyText"/>
    <w:link w:val="Heading3Char"/>
    <w:qFormat/>
    <w:rsid w:val="00DC15BE"/>
    <w:pPr>
      <w:spacing w:before="180" w:after="120"/>
      <w:outlineLvl w:val="2"/>
    </w:pPr>
    <w:rPr>
      <w:spacing w:val="-10"/>
      <w:kern w:val="32"/>
    </w:rPr>
  </w:style>
  <w:style w:type="paragraph" w:styleId="Heading4">
    <w:name w:val="heading 4"/>
    <w:basedOn w:val="HeadingBase"/>
    <w:next w:val="BodyText"/>
    <w:link w:val="Heading4Char"/>
    <w:qFormat/>
    <w:rsid w:val="00DC15BE"/>
    <w:pPr>
      <w:spacing w:before="160" w:after="120"/>
      <w:outlineLvl w:val="3"/>
    </w:pPr>
    <w:rPr>
      <w:sz w:val="22"/>
    </w:rPr>
  </w:style>
  <w:style w:type="paragraph" w:styleId="Heading5">
    <w:name w:val="heading 5"/>
    <w:basedOn w:val="HeadingBase"/>
    <w:next w:val="Normal"/>
    <w:link w:val="Heading5Char"/>
    <w:qFormat/>
    <w:rsid w:val="00DC15BE"/>
    <w:pPr>
      <w:spacing w:before="80"/>
      <w:outlineLvl w:val="4"/>
    </w:pPr>
    <w:rPr>
      <w:color w:val="918585"/>
      <w:sz w:val="20"/>
    </w:rPr>
  </w:style>
  <w:style w:type="paragraph" w:styleId="Heading6">
    <w:name w:val="heading 6"/>
    <w:basedOn w:val="HeadingBase"/>
    <w:next w:val="Normal"/>
    <w:link w:val="Heading6Char"/>
    <w:qFormat/>
    <w:rsid w:val="00DC15BE"/>
    <w:pPr>
      <w:spacing w:before="60"/>
      <w:outlineLvl w:val="5"/>
    </w:pPr>
    <w:rPr>
      <w:color w:val="918585"/>
      <w:sz w:val="20"/>
    </w:rPr>
  </w:style>
  <w:style w:type="paragraph" w:styleId="Heading7">
    <w:name w:val="heading 7"/>
    <w:basedOn w:val="Normal"/>
    <w:next w:val="Normal"/>
    <w:link w:val="Heading7Char"/>
    <w:qFormat/>
    <w:rsid w:val="00DC15BE"/>
    <w:pPr>
      <w:ind w:left="720"/>
      <w:outlineLvl w:val="6"/>
    </w:pPr>
    <w:rPr>
      <w:i/>
    </w:rPr>
  </w:style>
  <w:style w:type="paragraph" w:styleId="Heading8">
    <w:name w:val="heading 8"/>
    <w:basedOn w:val="Normal"/>
    <w:next w:val="Normal"/>
    <w:link w:val="Heading8Char"/>
    <w:qFormat/>
    <w:rsid w:val="00DC15BE"/>
    <w:pPr>
      <w:ind w:left="720"/>
      <w:outlineLvl w:val="7"/>
    </w:pPr>
    <w:rPr>
      <w:i/>
    </w:rPr>
  </w:style>
  <w:style w:type="paragraph" w:styleId="Heading9">
    <w:name w:val="heading 9"/>
    <w:basedOn w:val="Normal"/>
    <w:next w:val="Normal"/>
    <w:link w:val="Heading9Char"/>
    <w:qFormat/>
    <w:rsid w:val="00DC15BE"/>
    <w:pPr>
      <w:ind w:left="720"/>
      <w:outlineLvl w:val="8"/>
    </w:pPr>
    <w:rPr>
      <w:i/>
    </w:rPr>
  </w:style>
  <w:style w:type="character" w:default="1" w:styleId="DefaultParagraphFont">
    <w:name w:val="Default Paragraph Font"/>
    <w:uiPriority w:val="1"/>
    <w:unhideWhenUsed/>
    <w:rsid w:val="00DC15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15BE"/>
  </w:style>
  <w:style w:type="character" w:customStyle="1" w:styleId="Heading1Char">
    <w:name w:val="Heading 1 Char"/>
    <w:basedOn w:val="DefaultParagraphFont"/>
    <w:link w:val="Heading1"/>
    <w:rsid w:val="00DC15BE"/>
    <w:rPr>
      <w:rFonts w:ascii="Times New Roman" w:eastAsia="Times New Roman" w:hAnsi="Times New Roman" w:cs="Times New Roman"/>
      <w:b/>
      <w:sz w:val="32"/>
      <w:szCs w:val="20"/>
      <w:lang w:eastAsia="en-US"/>
    </w:rPr>
  </w:style>
  <w:style w:type="paragraph" w:styleId="BodyText">
    <w:name w:val="Body Text"/>
    <w:basedOn w:val="Normal"/>
    <w:link w:val="BodyTextChar"/>
    <w:rsid w:val="00DC15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15BE"/>
    <w:rPr>
      <w:rFonts w:ascii="Times New Roman" w:eastAsia="Times New Roman" w:hAnsi="Times New Roman" w:cs="Times New Roman"/>
      <w:sz w:val="24"/>
      <w:lang w:val="en-US" w:eastAsia="en-US"/>
    </w:rPr>
  </w:style>
  <w:style w:type="paragraph" w:styleId="Footer">
    <w:name w:val="footer"/>
    <w:basedOn w:val="Normal"/>
    <w:link w:val="FooterChar"/>
    <w:rsid w:val="00DC15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15BE"/>
    <w:rPr>
      <w:rFonts w:ascii="Times New Roman" w:eastAsia="Times New Roman" w:hAnsi="Times New Roman" w:cs="Times New Roman"/>
      <w:sz w:val="16"/>
      <w:lang w:val="en-US" w:eastAsia="en-US"/>
    </w:rPr>
  </w:style>
  <w:style w:type="paragraph" w:styleId="List">
    <w:name w:val="List"/>
    <w:basedOn w:val="BodyText"/>
    <w:next w:val="BodyText"/>
    <w:rsid w:val="00DC15BE"/>
    <w:pPr>
      <w:tabs>
        <w:tab w:val="left" w:pos="340"/>
      </w:tabs>
      <w:spacing w:before="60" w:after="60"/>
      <w:ind w:left="340" w:hanging="340"/>
    </w:pPr>
  </w:style>
  <w:style w:type="paragraph" w:styleId="ListBullet">
    <w:name w:val="List Bullet"/>
    <w:basedOn w:val="List"/>
    <w:rsid w:val="00DC15BE"/>
    <w:pPr>
      <w:numPr>
        <w:numId w:val="13"/>
      </w:numPr>
      <w:tabs>
        <w:tab w:val="clear" w:pos="340"/>
      </w:tabs>
      <w:spacing w:before="40" w:after="40"/>
    </w:pPr>
  </w:style>
  <w:style w:type="character" w:customStyle="1" w:styleId="SpecialBold">
    <w:name w:val="Special Bold"/>
    <w:basedOn w:val="DefaultParagraphFont"/>
    <w:rsid w:val="00DC15BE"/>
    <w:rPr>
      <w:b/>
      <w:spacing w:val="0"/>
    </w:rPr>
  </w:style>
  <w:style w:type="paragraph" w:styleId="ListBullet2">
    <w:name w:val="List Bullet 2"/>
    <w:basedOn w:val="List2"/>
    <w:rsid w:val="00DC15BE"/>
    <w:pPr>
      <w:numPr>
        <w:numId w:val="14"/>
      </w:numPr>
      <w:tabs>
        <w:tab w:val="clear" w:pos="680"/>
      </w:tabs>
    </w:pPr>
  </w:style>
  <w:style w:type="paragraph" w:styleId="Header">
    <w:name w:val="header"/>
    <w:basedOn w:val="Normal"/>
    <w:link w:val="HeaderChar"/>
    <w:rsid w:val="00DC15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15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15BE"/>
    <w:pPr>
      <w:spacing w:before="240" w:after="120"/>
      <w:outlineLvl w:val="0"/>
    </w:pPr>
    <w:rPr>
      <w:rFonts w:ascii="Times New Roman" w:hAnsi="Times New Roman"/>
      <w:b/>
      <w:sz w:val="28"/>
    </w:rPr>
  </w:style>
  <w:style w:type="paragraph" w:customStyle="1" w:styleId="AllowPageBreak">
    <w:name w:val="AllowPageBreak"/>
    <w:rsid w:val="00DC15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C15BE"/>
    <w:rPr>
      <w:b/>
      <w:i/>
      <w:u w:val="none"/>
    </w:rPr>
  </w:style>
  <w:style w:type="character" w:customStyle="1" w:styleId="Heading2Char">
    <w:name w:val="Heading 2 Char"/>
    <w:basedOn w:val="DefaultParagraphFont"/>
    <w:link w:val="Heading2"/>
    <w:rsid w:val="00DC15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15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15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15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15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15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15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15BE"/>
    <w:rPr>
      <w:rFonts w:ascii="Courier New" w:eastAsia="Times New Roman" w:hAnsi="Courier New" w:cs="Times New Roman"/>
      <w:i/>
      <w:szCs w:val="20"/>
      <w:lang w:val="en-US" w:eastAsia="en-US"/>
    </w:rPr>
  </w:style>
  <w:style w:type="paragraph" w:customStyle="1" w:styleId="HeadingBase">
    <w:name w:val="Heading Base"/>
    <w:rsid w:val="00DC15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15BE"/>
    <w:pPr>
      <w:tabs>
        <w:tab w:val="right" w:leader="dot" w:pos="9072"/>
      </w:tabs>
      <w:ind w:left="567"/>
    </w:pPr>
    <w:rPr>
      <w:szCs w:val="22"/>
    </w:rPr>
  </w:style>
  <w:style w:type="paragraph" w:customStyle="1" w:styleId="TOCBase">
    <w:name w:val="TOC Base"/>
    <w:rsid w:val="00DC15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15BE"/>
    <w:pPr>
      <w:tabs>
        <w:tab w:val="right" w:leader="dot" w:pos="9072"/>
      </w:tabs>
      <w:spacing w:before="40" w:after="40"/>
      <w:ind w:left="284"/>
    </w:pPr>
    <w:rPr>
      <w:rFonts w:ascii="Times New Roman" w:hAnsi="Times New Roman"/>
    </w:rPr>
  </w:style>
  <w:style w:type="paragraph" w:styleId="TOC1">
    <w:name w:val="toc 1"/>
    <w:basedOn w:val="TOCBase"/>
    <w:next w:val="Normal"/>
    <w:rsid w:val="00DC15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15BE"/>
    <w:pPr>
      <w:spacing w:before="5040"/>
      <w:jc w:val="center"/>
    </w:pPr>
    <w:rPr>
      <w:sz w:val="48"/>
      <w:szCs w:val="72"/>
      <w:lang w:val="en-US"/>
    </w:rPr>
  </w:style>
  <w:style w:type="character" w:customStyle="1" w:styleId="TitleChar">
    <w:name w:val="Title Char"/>
    <w:basedOn w:val="DefaultParagraphFont"/>
    <w:link w:val="Title"/>
    <w:rsid w:val="00DC15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15BE"/>
    <w:pPr>
      <w:tabs>
        <w:tab w:val="left" w:pos="3600"/>
        <w:tab w:val="left" w:pos="3958"/>
      </w:tabs>
    </w:pPr>
  </w:style>
  <w:style w:type="paragraph" w:customStyle="1" w:styleId="Note">
    <w:name w:val="Note"/>
    <w:basedOn w:val="BodyText"/>
    <w:rsid w:val="00DC15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15BE"/>
    <w:pPr>
      <w:framePr w:wrap="auto" w:hAnchor="text" w:y="6049"/>
    </w:pPr>
    <w:rPr>
      <w:color w:val="000000"/>
      <w:sz w:val="40"/>
    </w:rPr>
  </w:style>
  <w:style w:type="paragraph" w:customStyle="1" w:styleId="TOCTitle">
    <w:name w:val="TOCTitle"/>
    <w:basedOn w:val="Heading1"/>
    <w:rsid w:val="00DC15BE"/>
    <w:pPr>
      <w:spacing w:after="240"/>
      <w:jc w:val="center"/>
      <w:outlineLvl w:val="9"/>
    </w:pPr>
    <w:rPr>
      <w:caps/>
    </w:rPr>
  </w:style>
  <w:style w:type="paragraph" w:customStyle="1" w:styleId="Version">
    <w:name w:val="Version"/>
    <w:rsid w:val="00DC15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15BE"/>
    <w:pPr>
      <w:keepNext w:val="0"/>
      <w:tabs>
        <w:tab w:val="right" w:pos="4176"/>
      </w:tabs>
      <w:ind w:left="198" w:hanging="198"/>
    </w:pPr>
    <w:rPr>
      <w:rFonts w:ascii="Garamond" w:hAnsi="Garamond"/>
    </w:rPr>
  </w:style>
  <w:style w:type="paragraph" w:styleId="IndexHeading">
    <w:name w:val="index heading"/>
    <w:basedOn w:val="Normal"/>
    <w:next w:val="Index1"/>
    <w:semiHidden/>
    <w:rsid w:val="00DC15BE"/>
    <w:pPr>
      <w:spacing w:before="120" w:after="120"/>
    </w:pPr>
    <w:rPr>
      <w:rFonts w:ascii="Arial" w:hAnsi="Arial"/>
      <w:b/>
      <w:color w:val="918585"/>
      <w:sz w:val="24"/>
    </w:rPr>
  </w:style>
  <w:style w:type="paragraph" w:customStyle="1" w:styleId="Chapter">
    <w:name w:val="Chapter"/>
    <w:basedOn w:val="Normal"/>
    <w:rsid w:val="00DC15BE"/>
    <w:pPr>
      <w:spacing w:before="240"/>
    </w:pPr>
    <w:rPr>
      <w:rFonts w:ascii="Times New Roman" w:hAnsi="Times New Roman"/>
      <w:smallCaps/>
      <w:spacing w:val="80"/>
      <w:sz w:val="28"/>
    </w:rPr>
  </w:style>
  <w:style w:type="paragraph" w:customStyle="1" w:styleId="InChapter">
    <w:name w:val="InChapter"/>
    <w:basedOn w:val="Heading3"/>
    <w:rsid w:val="00DC15BE"/>
    <w:pPr>
      <w:spacing w:after="240"/>
      <w:outlineLvl w:val="9"/>
    </w:pPr>
    <w:rPr>
      <w:noProof/>
    </w:rPr>
  </w:style>
  <w:style w:type="paragraph" w:styleId="Index2">
    <w:name w:val="index 2"/>
    <w:basedOn w:val="Normal"/>
    <w:next w:val="Normal"/>
    <w:semiHidden/>
    <w:rsid w:val="00DC15BE"/>
    <w:pPr>
      <w:tabs>
        <w:tab w:val="right" w:pos="4176"/>
      </w:tabs>
      <w:ind w:left="568" w:hanging="284"/>
    </w:pPr>
    <w:rPr>
      <w:rFonts w:ascii="Garamond" w:hAnsi="Garamond"/>
    </w:rPr>
  </w:style>
  <w:style w:type="paragraph" w:customStyle="1" w:styleId="Byline">
    <w:name w:val="Byline"/>
    <w:rsid w:val="00DC15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15BE"/>
    <w:pPr>
      <w:tabs>
        <w:tab w:val="clear" w:pos="3600"/>
        <w:tab w:val="clear" w:pos="3958"/>
      </w:tabs>
      <w:jc w:val="right"/>
    </w:pPr>
  </w:style>
  <w:style w:type="character" w:styleId="Emphasis">
    <w:name w:val="Emphasis"/>
    <w:basedOn w:val="DefaultParagraphFont"/>
    <w:qFormat/>
    <w:rsid w:val="00DC15BE"/>
    <w:rPr>
      <w:i/>
    </w:rPr>
  </w:style>
  <w:style w:type="paragraph" w:styleId="Caption">
    <w:name w:val="caption"/>
    <w:basedOn w:val="BodyText"/>
    <w:next w:val="Normal"/>
    <w:qFormat/>
    <w:rsid w:val="00DC15BE"/>
    <w:pPr>
      <w:framePr w:w="2268" w:hSpace="181" w:vSpace="181" w:wrap="around" w:vAnchor="text" w:hAnchor="page" w:x="1135" w:y="285" w:anchorLock="1"/>
    </w:pPr>
    <w:rPr>
      <w:i/>
    </w:rPr>
  </w:style>
  <w:style w:type="paragraph" w:customStyle="1" w:styleId="MiniTOCTitle">
    <w:name w:val="MiniTOCTitle"/>
    <w:basedOn w:val="Heading4"/>
    <w:rsid w:val="00DC15BE"/>
    <w:pPr>
      <w:spacing w:before="240"/>
      <w:outlineLvl w:val="9"/>
    </w:pPr>
    <w:rPr>
      <w:noProof/>
      <w:sz w:val="24"/>
    </w:rPr>
  </w:style>
  <w:style w:type="paragraph" w:customStyle="1" w:styleId="MiniTOCItem">
    <w:name w:val="MiniTOCItem"/>
    <w:basedOn w:val="ListBullet"/>
    <w:rsid w:val="00DC15BE"/>
    <w:pPr>
      <w:numPr>
        <w:numId w:val="0"/>
      </w:numPr>
      <w:tabs>
        <w:tab w:val="right" w:leader="dot" w:pos="6521"/>
      </w:tabs>
      <w:spacing w:before="0" w:after="0"/>
    </w:pPr>
  </w:style>
  <w:style w:type="paragraph" w:customStyle="1" w:styleId="TOFTitle">
    <w:name w:val="TOFTitle"/>
    <w:basedOn w:val="TOCTitle"/>
    <w:rsid w:val="00DC15BE"/>
  </w:style>
  <w:style w:type="paragraph" w:styleId="TableofFigures">
    <w:name w:val="table of figures"/>
    <w:basedOn w:val="Normal"/>
    <w:next w:val="Normal"/>
    <w:semiHidden/>
    <w:rsid w:val="00DC15BE"/>
    <w:pPr>
      <w:tabs>
        <w:tab w:val="right" w:leader="dot" w:pos="9072"/>
      </w:tabs>
      <w:ind w:left="970" w:hanging="403"/>
    </w:pPr>
    <w:rPr>
      <w:rFonts w:ascii="Times New Roman" w:hAnsi="Times New Roman"/>
      <w:b/>
    </w:rPr>
  </w:style>
  <w:style w:type="paragraph" w:styleId="ListNumber">
    <w:name w:val="List Number"/>
    <w:basedOn w:val="List"/>
    <w:rsid w:val="00DC15BE"/>
    <w:pPr>
      <w:numPr>
        <w:numId w:val="11"/>
      </w:numPr>
    </w:pPr>
  </w:style>
  <w:style w:type="character" w:customStyle="1" w:styleId="WingdingSymbols">
    <w:name w:val="Wingding Symbols"/>
    <w:rsid w:val="00DC15BE"/>
    <w:rPr>
      <w:rFonts w:ascii="Wingdings" w:hAnsi="Wingdings"/>
    </w:rPr>
  </w:style>
  <w:style w:type="paragraph" w:customStyle="1" w:styleId="TableHeading">
    <w:name w:val="Table Heading"/>
    <w:basedOn w:val="HeadingBase"/>
    <w:rsid w:val="00DC15BE"/>
    <w:pPr>
      <w:keepLines/>
      <w:pBdr>
        <w:bottom w:val="single" w:sz="6" w:space="1" w:color="918585"/>
      </w:pBdr>
      <w:spacing w:before="240"/>
    </w:pPr>
  </w:style>
  <w:style w:type="character" w:customStyle="1" w:styleId="HotSpot">
    <w:name w:val="HotSpot"/>
    <w:rsid w:val="00DC15BE"/>
    <w:rPr>
      <w:color w:val="0033CC"/>
      <w:u w:val="none"/>
    </w:rPr>
  </w:style>
  <w:style w:type="paragraph" w:customStyle="1" w:styleId="BodyTextRight">
    <w:name w:val="Body Text Right"/>
    <w:basedOn w:val="BodyText"/>
    <w:rsid w:val="00DC15BE"/>
    <w:pPr>
      <w:spacing w:before="0" w:after="0"/>
      <w:jc w:val="right"/>
    </w:pPr>
  </w:style>
  <w:style w:type="paragraph" w:styleId="Index3">
    <w:name w:val="index 3"/>
    <w:basedOn w:val="ListNumber2"/>
    <w:next w:val="Normal"/>
    <w:semiHidden/>
    <w:rsid w:val="00DC15BE"/>
    <w:pPr>
      <w:numPr>
        <w:numId w:val="0"/>
      </w:numPr>
      <w:tabs>
        <w:tab w:val="right" w:leader="dot" w:pos="4176"/>
      </w:tabs>
    </w:pPr>
  </w:style>
  <w:style w:type="paragraph" w:styleId="ListNumber2">
    <w:name w:val="List Number 2"/>
    <w:basedOn w:val="List2"/>
    <w:rsid w:val="00DC15BE"/>
    <w:pPr>
      <w:numPr>
        <w:numId w:val="10"/>
      </w:numPr>
      <w:tabs>
        <w:tab w:val="clear" w:pos="1060"/>
      </w:tabs>
    </w:pPr>
  </w:style>
  <w:style w:type="paragraph" w:customStyle="1" w:styleId="MarginNote">
    <w:name w:val="Margin Note"/>
    <w:basedOn w:val="BodyText"/>
    <w:rsid w:val="00DC15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15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15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15BE"/>
    <w:rPr>
      <w:sz w:val="32"/>
    </w:rPr>
  </w:style>
  <w:style w:type="paragraph" w:customStyle="1" w:styleId="HeadingProcedure">
    <w:name w:val="Heading Procedure"/>
    <w:basedOn w:val="HeadingBase"/>
    <w:next w:val="Normal"/>
    <w:rsid w:val="00DC15BE"/>
    <w:pPr>
      <w:tabs>
        <w:tab w:val="left" w:pos="0"/>
      </w:tabs>
      <w:spacing w:before="120" w:after="60"/>
    </w:pPr>
    <w:rPr>
      <w:i/>
      <w:color w:val="918585"/>
      <w:sz w:val="22"/>
    </w:rPr>
  </w:style>
  <w:style w:type="paragraph" w:customStyle="1" w:styleId="TableBodyText">
    <w:name w:val="Table Body Text"/>
    <w:basedOn w:val="BodyText"/>
    <w:rsid w:val="00DC15BE"/>
    <w:pPr>
      <w:spacing w:before="60" w:after="60"/>
    </w:pPr>
  </w:style>
  <w:style w:type="paragraph" w:styleId="ListContinue">
    <w:name w:val="List Continue"/>
    <w:basedOn w:val="List"/>
    <w:rsid w:val="00DC15BE"/>
    <w:pPr>
      <w:ind w:firstLine="0"/>
    </w:pPr>
  </w:style>
  <w:style w:type="paragraph" w:customStyle="1" w:styleId="ListNote">
    <w:name w:val="List Note"/>
    <w:basedOn w:val="List"/>
    <w:rsid w:val="00DC15BE"/>
    <w:pPr>
      <w:pBdr>
        <w:top w:val="single" w:sz="6" w:space="2" w:color="918585"/>
        <w:bottom w:val="single" w:sz="6" w:space="2" w:color="918585"/>
      </w:pBdr>
      <w:tabs>
        <w:tab w:val="left" w:pos="1021"/>
      </w:tabs>
      <w:ind w:firstLine="0"/>
    </w:pPr>
  </w:style>
  <w:style w:type="paragraph" w:customStyle="1" w:styleId="Warning">
    <w:name w:val="Warning"/>
    <w:basedOn w:val="BodyText"/>
    <w:rsid w:val="00DC15BE"/>
    <w:pPr>
      <w:shd w:val="clear" w:color="auto" w:fill="D9D9D9"/>
      <w:tabs>
        <w:tab w:val="left" w:pos="992"/>
      </w:tabs>
      <w:ind w:left="119" w:right="119"/>
    </w:pPr>
    <w:rPr>
      <w:sz w:val="20"/>
    </w:rPr>
  </w:style>
  <w:style w:type="paragraph" w:customStyle="1" w:styleId="MarginIcons">
    <w:name w:val="Margin Icons"/>
    <w:basedOn w:val="BodyText"/>
    <w:rsid w:val="00DC15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15BE"/>
    <w:rPr>
      <w:rFonts w:ascii="Courier New" w:hAnsi="Courier New"/>
    </w:rPr>
  </w:style>
  <w:style w:type="paragraph" w:customStyle="1" w:styleId="NoteBullet">
    <w:name w:val="Note Bullet"/>
    <w:basedOn w:val="Note"/>
    <w:rsid w:val="00DC15BE"/>
    <w:pPr>
      <w:tabs>
        <w:tab w:val="clear" w:pos="680"/>
      </w:tabs>
      <w:spacing w:before="60" w:after="60"/>
    </w:pPr>
  </w:style>
  <w:style w:type="paragraph" w:customStyle="1" w:styleId="SubHeading2">
    <w:name w:val="SubHeading2"/>
    <w:basedOn w:val="HeadingBase"/>
    <w:rsid w:val="00DC15BE"/>
    <w:pPr>
      <w:spacing w:before="240" w:after="60"/>
    </w:pPr>
    <w:rPr>
      <w:sz w:val="20"/>
    </w:rPr>
  </w:style>
  <w:style w:type="paragraph" w:customStyle="1" w:styleId="SubHeading1">
    <w:name w:val="SubHeading1"/>
    <w:basedOn w:val="HeadingBase"/>
    <w:rsid w:val="00DC15BE"/>
    <w:pPr>
      <w:spacing w:before="240" w:after="60"/>
    </w:pPr>
    <w:rPr>
      <w:color w:val="918585"/>
      <w:sz w:val="22"/>
    </w:rPr>
  </w:style>
  <w:style w:type="paragraph" w:customStyle="1" w:styleId="SideHeading">
    <w:name w:val="Side Heading"/>
    <w:basedOn w:val="HeadingBase"/>
    <w:rsid w:val="00DC15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15BE"/>
    <w:pPr>
      <w:numPr>
        <w:numId w:val="12"/>
      </w:numPr>
    </w:pPr>
  </w:style>
  <w:style w:type="paragraph" w:styleId="PlainText">
    <w:name w:val="Plain Text"/>
    <w:basedOn w:val="Normal"/>
    <w:link w:val="PlainTextChar"/>
    <w:rsid w:val="00DC15BE"/>
    <w:rPr>
      <w:sz w:val="20"/>
    </w:rPr>
  </w:style>
  <w:style w:type="character" w:customStyle="1" w:styleId="PlainTextChar">
    <w:name w:val="Plain Text Char"/>
    <w:basedOn w:val="DefaultParagraphFont"/>
    <w:link w:val="PlainText"/>
    <w:rsid w:val="00DC15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15BE"/>
    <w:rPr>
      <w:b/>
      <w:smallCaps/>
    </w:rPr>
  </w:style>
  <w:style w:type="paragraph" w:customStyle="1" w:styleId="TableListNumber">
    <w:name w:val="Table List Number"/>
    <w:basedOn w:val="ListNumber"/>
    <w:rsid w:val="00DC15BE"/>
    <w:pPr>
      <w:numPr>
        <w:numId w:val="0"/>
      </w:numPr>
    </w:pPr>
  </w:style>
  <w:style w:type="paragraph" w:styleId="TOC4">
    <w:name w:val="toc 4"/>
    <w:basedOn w:val="TOCBase"/>
    <w:next w:val="Normal"/>
    <w:semiHidden/>
    <w:rsid w:val="00DC15BE"/>
    <w:pPr>
      <w:tabs>
        <w:tab w:val="right" w:leader="dot" w:pos="9071"/>
      </w:tabs>
      <w:ind w:left="1701"/>
    </w:pPr>
  </w:style>
  <w:style w:type="paragraph" w:customStyle="1" w:styleId="ListAlpha">
    <w:name w:val="List Alpha"/>
    <w:basedOn w:val="List"/>
    <w:rsid w:val="00DC15BE"/>
    <w:pPr>
      <w:numPr>
        <w:numId w:val="9"/>
      </w:numPr>
    </w:pPr>
  </w:style>
  <w:style w:type="paragraph" w:customStyle="1" w:styleId="ListAlpha2">
    <w:name w:val="List Alpha 2"/>
    <w:basedOn w:val="List2"/>
    <w:rsid w:val="00DC15BE"/>
    <w:pPr>
      <w:numPr>
        <w:numId w:val="8"/>
      </w:numPr>
    </w:pPr>
  </w:style>
  <w:style w:type="paragraph" w:styleId="List2">
    <w:name w:val="List 2"/>
    <w:basedOn w:val="BodyText"/>
    <w:rsid w:val="00DC15BE"/>
    <w:pPr>
      <w:tabs>
        <w:tab w:val="left" w:pos="680"/>
      </w:tabs>
      <w:spacing w:before="60" w:after="60"/>
      <w:ind w:left="680" w:hanging="340"/>
    </w:pPr>
  </w:style>
  <w:style w:type="paragraph" w:styleId="List3">
    <w:name w:val="List 3"/>
    <w:basedOn w:val="BodyText"/>
    <w:rsid w:val="00DC15BE"/>
    <w:pPr>
      <w:tabs>
        <w:tab w:val="left" w:pos="1021"/>
      </w:tabs>
      <w:spacing w:before="60" w:after="60"/>
      <w:ind w:left="1020" w:hanging="340"/>
    </w:pPr>
  </w:style>
  <w:style w:type="paragraph" w:styleId="List4">
    <w:name w:val="List 4"/>
    <w:basedOn w:val="BodyText"/>
    <w:rsid w:val="00DC15BE"/>
    <w:pPr>
      <w:tabs>
        <w:tab w:val="left" w:pos="1361"/>
      </w:tabs>
      <w:spacing w:before="60" w:after="60"/>
      <w:ind w:left="1361" w:hanging="340"/>
    </w:pPr>
  </w:style>
  <w:style w:type="paragraph" w:styleId="List5">
    <w:name w:val="List 5"/>
    <w:basedOn w:val="BodyText"/>
    <w:rsid w:val="00DC15BE"/>
    <w:pPr>
      <w:tabs>
        <w:tab w:val="left" w:pos="1701"/>
      </w:tabs>
      <w:spacing w:before="60" w:after="60"/>
      <w:ind w:left="1701" w:hanging="340"/>
    </w:pPr>
  </w:style>
  <w:style w:type="paragraph" w:styleId="ListBullet3">
    <w:name w:val="List Bullet 3"/>
    <w:basedOn w:val="List3"/>
    <w:rsid w:val="00DC15BE"/>
    <w:pPr>
      <w:numPr>
        <w:numId w:val="15"/>
      </w:numPr>
      <w:tabs>
        <w:tab w:val="clear" w:pos="1021"/>
      </w:tabs>
      <w:ind w:left="1037" w:hanging="357"/>
    </w:pPr>
  </w:style>
  <w:style w:type="paragraph" w:styleId="ListBullet4">
    <w:name w:val="List Bullet 4"/>
    <w:basedOn w:val="List4"/>
    <w:rsid w:val="00DC15BE"/>
    <w:pPr>
      <w:numPr>
        <w:numId w:val="3"/>
      </w:numPr>
    </w:pPr>
  </w:style>
  <w:style w:type="paragraph" w:styleId="ListBullet5">
    <w:name w:val="List Bullet 5"/>
    <w:basedOn w:val="List5"/>
    <w:rsid w:val="00DC15BE"/>
    <w:pPr>
      <w:numPr>
        <w:numId w:val="4"/>
      </w:numPr>
    </w:pPr>
  </w:style>
  <w:style w:type="paragraph" w:styleId="ListContinue2">
    <w:name w:val="List Continue 2"/>
    <w:basedOn w:val="List2"/>
    <w:rsid w:val="00DC15BE"/>
    <w:pPr>
      <w:ind w:firstLine="0"/>
    </w:pPr>
  </w:style>
  <w:style w:type="paragraph" w:styleId="ListContinue3">
    <w:name w:val="List Continue 3"/>
    <w:basedOn w:val="List3"/>
    <w:rsid w:val="00DC15BE"/>
    <w:pPr>
      <w:ind w:left="1021" w:firstLine="0"/>
    </w:pPr>
  </w:style>
  <w:style w:type="paragraph" w:styleId="ListContinue4">
    <w:name w:val="List Continue 4"/>
    <w:basedOn w:val="List4"/>
    <w:rsid w:val="00DC15BE"/>
    <w:pPr>
      <w:ind w:firstLine="0"/>
    </w:pPr>
  </w:style>
  <w:style w:type="paragraph" w:styleId="ListContinue5">
    <w:name w:val="List Continue 5"/>
    <w:basedOn w:val="List5"/>
    <w:rsid w:val="00DC15BE"/>
    <w:pPr>
      <w:ind w:firstLine="0"/>
    </w:pPr>
  </w:style>
  <w:style w:type="paragraph" w:styleId="ListNumber3">
    <w:name w:val="List Number 3"/>
    <w:basedOn w:val="List3"/>
    <w:rsid w:val="00DC15BE"/>
    <w:pPr>
      <w:numPr>
        <w:numId w:val="5"/>
      </w:numPr>
    </w:pPr>
  </w:style>
  <w:style w:type="paragraph" w:styleId="ListNumber4">
    <w:name w:val="List Number 4"/>
    <w:basedOn w:val="List4"/>
    <w:rsid w:val="00DC15BE"/>
    <w:pPr>
      <w:numPr>
        <w:numId w:val="6"/>
      </w:numPr>
    </w:pPr>
  </w:style>
  <w:style w:type="paragraph" w:styleId="ListNumber5">
    <w:name w:val="List Number 5"/>
    <w:basedOn w:val="List5"/>
    <w:rsid w:val="00DC15BE"/>
    <w:pPr>
      <w:numPr>
        <w:numId w:val="7"/>
      </w:numPr>
    </w:pPr>
  </w:style>
  <w:style w:type="paragraph" w:styleId="BlockText">
    <w:name w:val="Block Text"/>
    <w:basedOn w:val="Normal"/>
    <w:rsid w:val="00DC15BE"/>
    <w:pPr>
      <w:spacing w:after="120"/>
      <w:ind w:left="1440" w:right="1440"/>
    </w:pPr>
  </w:style>
  <w:style w:type="character" w:customStyle="1" w:styleId="Subscript">
    <w:name w:val="Subscript"/>
    <w:basedOn w:val="DefaultParagraphFont"/>
    <w:rsid w:val="00DC15BE"/>
    <w:rPr>
      <w:sz w:val="16"/>
      <w:vertAlign w:val="subscript"/>
    </w:rPr>
  </w:style>
  <w:style w:type="character" w:customStyle="1" w:styleId="Superscript">
    <w:name w:val="Superscript"/>
    <w:basedOn w:val="DefaultParagraphFont"/>
    <w:rsid w:val="00DC15BE"/>
    <w:rPr>
      <w:sz w:val="16"/>
      <w:vertAlign w:val="superscript"/>
    </w:rPr>
  </w:style>
  <w:style w:type="character" w:customStyle="1" w:styleId="Symbols">
    <w:name w:val="Symbols"/>
    <w:basedOn w:val="DefaultParagraphFont"/>
    <w:rsid w:val="00DC15BE"/>
    <w:rPr>
      <w:rFonts w:ascii="Symbol" w:hAnsi="Symbol"/>
    </w:rPr>
  </w:style>
  <w:style w:type="character" w:customStyle="1" w:styleId="MenuOptions">
    <w:name w:val="Menu Options"/>
    <w:basedOn w:val="DefaultParagraphFont"/>
    <w:rsid w:val="00DC15BE"/>
    <w:rPr>
      <w:rFonts w:ascii="Arial Narrow" w:hAnsi="Arial Narrow"/>
      <w:smallCaps/>
    </w:rPr>
  </w:style>
  <w:style w:type="character" w:customStyle="1" w:styleId="Buttons">
    <w:name w:val="Buttons"/>
    <w:basedOn w:val="DefaultParagraphFont"/>
    <w:rsid w:val="00DC15BE"/>
    <w:rPr>
      <w:b/>
    </w:rPr>
  </w:style>
  <w:style w:type="character" w:customStyle="1" w:styleId="Underlined">
    <w:name w:val="Underlined"/>
    <w:basedOn w:val="DefaultParagraphFont"/>
    <w:rsid w:val="00DC15BE"/>
    <w:rPr>
      <w:u w:val="single"/>
    </w:rPr>
  </w:style>
  <w:style w:type="paragraph" w:customStyle="1" w:styleId="TableBodyTextRight">
    <w:name w:val="Table Body Text Right"/>
    <w:basedOn w:val="TableBodyText"/>
    <w:rsid w:val="00DC15BE"/>
    <w:pPr>
      <w:widowControl w:val="0"/>
      <w:autoSpaceDE w:val="0"/>
      <w:autoSpaceDN w:val="0"/>
      <w:adjustRightInd w:val="0"/>
      <w:jc w:val="right"/>
    </w:pPr>
    <w:rPr>
      <w:rFonts w:cs="Arial"/>
      <w:szCs w:val="18"/>
    </w:rPr>
  </w:style>
  <w:style w:type="paragraph" w:customStyle="1" w:styleId="CopyrightText">
    <w:name w:val="Copyright Text"/>
    <w:basedOn w:val="BodyText"/>
    <w:rsid w:val="00DC15BE"/>
    <w:rPr>
      <w:sz w:val="18"/>
    </w:rPr>
  </w:style>
  <w:style w:type="paragraph" w:customStyle="1" w:styleId="BodySmallRight">
    <w:name w:val="Body Small Right"/>
    <w:basedOn w:val="BodyTextRight"/>
    <w:rsid w:val="00DC15BE"/>
    <w:rPr>
      <w:sz w:val="18"/>
      <w:szCs w:val="18"/>
    </w:rPr>
  </w:style>
  <w:style w:type="paragraph" w:customStyle="1" w:styleId="MarginEdition">
    <w:name w:val="Margin Edition"/>
    <w:basedOn w:val="MarginNote"/>
    <w:rsid w:val="00DC15BE"/>
    <w:pPr>
      <w:spacing w:before="0" w:after="0"/>
    </w:pPr>
    <w:rPr>
      <w:rFonts w:ascii="Times New Roman" w:hAnsi="Times New Roman"/>
      <w:color w:val="999999"/>
    </w:rPr>
  </w:style>
  <w:style w:type="paragraph" w:customStyle="1" w:styleId="Spacer">
    <w:name w:val="Spacer"/>
    <w:basedOn w:val="Normal"/>
    <w:rsid w:val="00DC15BE"/>
    <w:rPr>
      <w:sz w:val="2"/>
      <w:szCs w:val="2"/>
    </w:rPr>
  </w:style>
  <w:style w:type="character" w:customStyle="1" w:styleId="Small">
    <w:name w:val="Small"/>
    <w:basedOn w:val="DefaultParagraphFont"/>
    <w:rsid w:val="00DC15BE"/>
    <w:rPr>
      <w:sz w:val="16"/>
    </w:rPr>
  </w:style>
  <w:style w:type="paragraph" w:customStyle="1" w:styleId="WideTable">
    <w:name w:val="Wide Table"/>
    <w:basedOn w:val="Normal"/>
    <w:rsid w:val="00DC15BE"/>
    <w:pPr>
      <w:ind w:left="-1418"/>
    </w:pPr>
    <w:rPr>
      <w:sz w:val="2"/>
      <w:szCs w:val="2"/>
    </w:rPr>
  </w:style>
  <w:style w:type="character" w:styleId="PageNumber">
    <w:name w:val="page number"/>
    <w:basedOn w:val="DefaultParagraphFont"/>
    <w:rsid w:val="00DC15BE"/>
  </w:style>
  <w:style w:type="paragraph" w:styleId="Quote">
    <w:name w:val="Quote"/>
    <w:basedOn w:val="Heading1"/>
    <w:link w:val="QuoteChar"/>
    <w:qFormat/>
    <w:rsid w:val="00DC15BE"/>
    <w:rPr>
      <w:b w:val="0"/>
      <w:sz w:val="72"/>
      <w:szCs w:val="72"/>
      <w:lang w:val="en-NZ"/>
    </w:rPr>
  </w:style>
  <w:style w:type="character" w:customStyle="1" w:styleId="QuoteChar">
    <w:name w:val="Quote Char"/>
    <w:basedOn w:val="DefaultParagraphFont"/>
    <w:link w:val="Quote"/>
    <w:rsid w:val="00DC15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15BE"/>
    <w:pPr>
      <w:pageBreakBefore/>
    </w:pPr>
  </w:style>
  <w:style w:type="paragraph" w:customStyle="1" w:styleId="Border">
    <w:name w:val="Border"/>
    <w:basedOn w:val="Normal"/>
    <w:qFormat/>
    <w:rsid w:val="00DC15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15BE"/>
    <w:rPr>
      <w:b/>
      <w:bCs/>
      <w:i/>
      <w:iCs/>
      <w:color w:val="auto"/>
    </w:rPr>
  </w:style>
  <w:style w:type="paragraph" w:styleId="IntenseQuote">
    <w:name w:val="Intense Quote"/>
    <w:basedOn w:val="Normal"/>
    <w:next w:val="Normal"/>
    <w:link w:val="IntenseQuoteChar"/>
    <w:uiPriority w:val="30"/>
    <w:qFormat/>
    <w:rsid w:val="00DC15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15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15BE"/>
    <w:rPr>
      <w:smallCaps/>
      <w:color w:val="auto"/>
      <w:u w:val="single"/>
    </w:rPr>
  </w:style>
  <w:style w:type="character" w:styleId="IntenseReference">
    <w:name w:val="Intense Reference"/>
    <w:basedOn w:val="DefaultParagraphFont"/>
    <w:uiPriority w:val="32"/>
    <w:qFormat/>
    <w:rsid w:val="00DC15BE"/>
    <w:rPr>
      <w:b/>
      <w:bCs/>
      <w:smallCaps/>
      <w:color w:val="auto"/>
      <w:spacing w:val="5"/>
      <w:u w:val="single"/>
    </w:rPr>
  </w:style>
  <w:style w:type="paragraph" w:customStyle="1" w:styleId="2ColumnHeading">
    <w:name w:val="2Column Heading"/>
    <w:basedOn w:val="BodyText"/>
    <w:qFormat/>
    <w:rsid w:val="00DC15BE"/>
    <w:pPr>
      <w:spacing w:after="60"/>
      <w:ind w:left="-2268"/>
    </w:pPr>
    <w:rPr>
      <w:b/>
    </w:rPr>
  </w:style>
  <w:style w:type="paragraph" w:customStyle="1" w:styleId="Heading1TOC">
    <w:name w:val="Heading1 TOC"/>
    <w:basedOn w:val="Normal"/>
    <w:qFormat/>
    <w:rsid w:val="00DC15BE"/>
    <w:pPr>
      <w:spacing w:before="240" w:after="120"/>
    </w:pPr>
    <w:rPr>
      <w:rFonts w:ascii="Times New Roman" w:hAnsi="Times New Roman"/>
      <w:b/>
      <w:sz w:val="32"/>
    </w:rPr>
  </w:style>
  <w:style w:type="paragraph" w:customStyle="1" w:styleId="Heading2TOC">
    <w:name w:val="Heading2 TOC"/>
    <w:basedOn w:val="Normal"/>
    <w:qFormat/>
    <w:rsid w:val="00DC15BE"/>
    <w:pPr>
      <w:spacing w:before="240" w:after="60"/>
    </w:pPr>
    <w:rPr>
      <w:rFonts w:ascii="Times New Roman" w:hAnsi="Times New Roman"/>
      <w:b/>
      <w:sz w:val="28"/>
    </w:rPr>
  </w:style>
  <w:style w:type="character" w:customStyle="1" w:styleId="Underline">
    <w:name w:val="Underline"/>
    <w:basedOn w:val="DefaultParagraphFont"/>
    <w:qFormat/>
    <w:rsid w:val="00DC15BE"/>
    <w:rPr>
      <w:u w:val="single"/>
    </w:rPr>
  </w:style>
  <w:style w:type="paragraph" w:styleId="BalloonText">
    <w:name w:val="Balloon Text"/>
    <w:basedOn w:val="Normal"/>
    <w:link w:val="BalloonTextChar"/>
    <w:rsid w:val="00DC15BE"/>
    <w:rPr>
      <w:rFonts w:ascii="Tahoma" w:hAnsi="Tahoma" w:cs="Tahoma"/>
      <w:sz w:val="16"/>
      <w:szCs w:val="16"/>
    </w:rPr>
  </w:style>
  <w:style w:type="character" w:customStyle="1" w:styleId="BalloonTextChar">
    <w:name w:val="Balloon Text Char"/>
    <w:basedOn w:val="DefaultParagraphFont"/>
    <w:link w:val="BalloonText"/>
    <w:rsid w:val="00DC15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15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15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1346</Words>
  <Characters>8690</Characters>
  <Application>Microsoft Office Word</Application>
  <DocSecurity>0</DocSecurity>
  <Lines>280</Lines>
  <Paragraphs>165</Paragraphs>
  <ScaleCrop>false</ScaleCrop>
  <Company>Author-it Software Corporation Ltd.</Company>
  <LinksUpToDate>false</LinksUpToDate>
  <CharactersWithSpaces>9967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NWP529B Develop and modify trade waste policies and plans</dc:title>
  <dc:subject>Approved</dc:subject>
  <dc:creator>Government Skills Australia</dc:creator>
  <cp:keywords>Revision Number: 2</cp:keywords>
  <dc:description>Copyright © 1996-2007 Author-it Software Corporation Ltd., all rights reserved.</dc:description>
  <cp:lastModifiedBy>Peter Giorgilli</cp:lastModifiedBy>
  <cp:revision>3</cp:revision>
  <dcterms:created xsi:type="dcterms:W3CDTF">2012-05-27T12:42:00Z</dcterms:created>
  <dcterms:modified xsi:type="dcterms:W3CDTF">2012-05-27T12:42:00Z</dcterms:modified>
</cp:coreProperties>
</file>