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B9A" w:rsidP="001C5B9A">
      <w:pPr>
        <w:pStyle w:val="Title"/>
      </w:pPr>
      <w:r>
        <w:fldChar w:fldCharType="begin"/>
      </w:r>
      <w:r>
        <w:instrText xml:space="preserve"> TITLE   \* MERGEFORMAT </w:instrText>
      </w:r>
      <w:r>
        <w:fldChar w:fldCharType="separate"/>
      </w:r>
      <w:r>
        <w:t>NWP518B Prepare and report on data related to flood mitigation</w:t>
      </w:r>
      <w:r>
        <w:fldChar w:fldCharType="end"/>
      </w:r>
    </w:p>
    <w:p w:rsidR="001C5B9A" w:rsidP="001C5B9A">
      <w:pPr>
        <w:pStyle w:val="Version"/>
        <w:sectPr w:rsidSect="004E51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E515E" w:rsidP="004E515E">
      <w:pPr>
        <w:pStyle w:val="SuperHeading"/>
      </w:pPr>
      <w:r w:rsidRPr="004E515E">
        <w:t>NWP518B Prepare and report on data related to flood mitigation</w:t>
      </w:r>
    </w:p>
    <w:p w:rsidR="00000000" w:rsidRPr="004E515E" w:rsidP="004E515E">
      <w:pPr>
        <w:pStyle w:val="SuperHeading"/>
      </w:pPr>
    </w:p>
    <w:p w:rsidR="00000000" w:rsidRPr="004E515E" w:rsidP="004E515E">
      <w:pPr>
        <w:pStyle w:val="Heading1"/>
      </w:pPr>
      <w:bookmarkStart w:id="1" w:name="O_406936"/>
      <w:bookmarkEnd w:id="1"/>
      <w:r w:rsidRPr="004E515E">
        <w:t>Modification History</w:t>
      </w:r>
    </w:p>
    <w:p w:rsidR="00000000" w:rsidRPr="004E515E" w:rsidP="004E515E">
      <w:pPr>
        <w:pStyle w:val="BodyText"/>
      </w:pPr>
      <w:r w:rsidRPr="004E515E">
        <w:t>NWP518B Release 2:</w:t>
      </w:r>
      <w:r w:rsidRPr="004E515E">
        <w:tab/>
        <w:t>Layout adjusted. No changes to content.</w:t>
      </w:r>
    </w:p>
    <w:p w:rsidR="00000000" w:rsidRPr="004E515E" w:rsidP="004E515E">
      <w:pPr>
        <w:pStyle w:val="BodyText"/>
      </w:pPr>
      <w:r w:rsidRPr="004E515E">
        <w:t>NWP518B Release 1:</w:t>
      </w:r>
      <w:r w:rsidRPr="004E515E">
        <w:tab/>
        <w:t>Primary release.</w:t>
      </w:r>
    </w:p>
    <w:p w:rsidR="00000000" w:rsidRPr="004E515E" w:rsidP="004E515E">
      <w:pPr>
        <w:pStyle w:val="AllowPageBreak"/>
      </w:pPr>
    </w:p>
    <w:p w:rsidR="00000000" w:rsidRPr="004E515E" w:rsidP="004E515E">
      <w:pPr>
        <w:pStyle w:val="Heading1"/>
      </w:pPr>
      <w:bookmarkStart w:id="2" w:name="O_406932"/>
      <w:bookmarkEnd w:id="2"/>
      <w:r w:rsidRPr="004E515E">
        <w:t>Unit Descriptor</w:t>
      </w:r>
    </w:p>
    <w:p w:rsidR="00000000" w:rsidRPr="004E515E" w:rsidP="004E515E">
      <w:pPr>
        <w:pStyle w:val="BodyText"/>
      </w:pPr>
      <w:r w:rsidRPr="004E515E">
        <w:t>This unit of competency describes the outcomes required to collect and analyse data associated with rainfall, run-off, flood estimation and reporting required for the development and communication of flood mitigation plans.</w:t>
      </w:r>
    </w:p>
    <w:p w:rsidR="00000000" w:rsidRPr="004E515E" w:rsidP="004E515E">
      <w:pPr>
        <w:pStyle w:val="AllowPageBreak"/>
      </w:pPr>
    </w:p>
    <w:p w:rsidR="00000000" w:rsidRPr="004E515E" w:rsidP="004E515E">
      <w:pPr>
        <w:pStyle w:val="Heading1"/>
      </w:pPr>
      <w:bookmarkStart w:id="3" w:name="O_406944"/>
      <w:bookmarkEnd w:id="3"/>
      <w:r w:rsidRPr="004E515E">
        <w:t xml:space="preserve">Application of </w:t>
      </w:r>
      <w:r w:rsidRPr="004E515E">
        <w:t>the Unit</w:t>
      </w:r>
    </w:p>
    <w:p w:rsidR="00000000" w:rsidRPr="004E515E" w:rsidP="004E515E">
      <w:pPr>
        <w:pStyle w:val="BodyText"/>
      </w:pPr>
      <w:r w:rsidRPr="004E515E">
        <w:t>This unit supports the attainment of skills and knowledge required for planners and managers in water organisations with responsibility for the preparation of flood mitigation reports.</w:t>
      </w:r>
    </w:p>
    <w:p w:rsidR="00000000" w:rsidRPr="004E515E" w:rsidP="004E515E">
      <w:pPr>
        <w:pStyle w:val="AllowPageBreak"/>
      </w:pPr>
    </w:p>
    <w:p w:rsidR="00000000" w:rsidRPr="004E515E" w:rsidP="004E515E">
      <w:pPr>
        <w:pStyle w:val="Heading1"/>
      </w:pPr>
      <w:bookmarkStart w:id="4" w:name="O_406937"/>
      <w:bookmarkEnd w:id="4"/>
      <w:r w:rsidRPr="004E515E">
        <w:t>Licensing/Regulatory Information</w:t>
      </w:r>
    </w:p>
    <w:p w:rsidR="00000000" w:rsidRPr="004E515E" w:rsidP="004E515E">
      <w:pPr>
        <w:pStyle w:val="BodyText"/>
      </w:pPr>
      <w:r w:rsidRPr="004E515E">
        <w:t>Not applicab</w:t>
      </w:r>
      <w:r w:rsidRPr="004E515E">
        <w:t>le.</w:t>
      </w:r>
    </w:p>
    <w:p w:rsidR="00000000" w:rsidRPr="004E515E" w:rsidP="004E515E">
      <w:pPr>
        <w:pStyle w:val="AllowPageBreak"/>
      </w:pPr>
    </w:p>
    <w:p w:rsidR="00000000" w:rsidRPr="004E515E" w:rsidP="004E515E">
      <w:pPr>
        <w:pStyle w:val="Heading1"/>
      </w:pPr>
      <w:bookmarkStart w:id="5" w:name="O_406935"/>
      <w:bookmarkEnd w:id="5"/>
      <w:r w:rsidRPr="004E515E">
        <w:t>Pre-Requisites</w:t>
      </w:r>
    </w:p>
    <w:p w:rsidR="00000000" w:rsidRPr="004E515E" w:rsidP="004E515E">
      <w:pPr>
        <w:pStyle w:val="BodyText"/>
      </w:pPr>
      <w:r w:rsidRPr="004E515E">
        <w:t>Not applicable.</w:t>
      </w:r>
    </w:p>
    <w:p w:rsidR="00000000" w:rsidRPr="004E515E" w:rsidP="004E515E">
      <w:pPr>
        <w:pStyle w:val="AllowPageBreak"/>
      </w:pPr>
    </w:p>
    <w:p w:rsidR="00000000" w:rsidRPr="004E515E" w:rsidP="004E515E">
      <w:pPr>
        <w:pStyle w:val="Heading1"/>
      </w:pPr>
      <w:bookmarkStart w:id="6" w:name="O_406940"/>
      <w:bookmarkEnd w:id="6"/>
      <w:r w:rsidRPr="004E515E">
        <w:t>Employability Skills Information</w:t>
      </w:r>
    </w:p>
    <w:p w:rsidR="00000000" w:rsidRPr="004E515E" w:rsidP="004E515E">
      <w:pPr>
        <w:pStyle w:val="BodyText"/>
      </w:pPr>
      <w:r w:rsidRPr="004E515E">
        <w:t>This unit contains employability skills.</w:t>
      </w:r>
    </w:p>
    <w:p w:rsidR="00000000" w:rsidRPr="004E515E" w:rsidP="004E515E">
      <w:pPr>
        <w:pStyle w:val="AllowPageBreak"/>
      </w:pPr>
    </w:p>
    <w:p w:rsidR="00000000" w:rsidRPr="004E515E" w:rsidP="004E515E">
      <w:pPr>
        <w:pStyle w:val="Heading1"/>
      </w:pPr>
      <w:bookmarkStart w:id="7" w:name="O_406941"/>
      <w:bookmarkEnd w:id="7"/>
      <w:r w:rsidRPr="004E515E">
        <w:t>Elements and Performance Criteria Pre-Content</w:t>
      </w:r>
    </w:p>
    <w:tbl>
      <w:tblPr>
        <w:tblW w:w="0" w:type="auto"/>
        <w:tblLayout w:type="fixed"/>
        <w:tblCellMar>
          <w:left w:w="62" w:type="dxa"/>
          <w:right w:w="62" w:type="dxa"/>
        </w:tblCellMar>
        <w:tblLook w:val="0000"/>
      </w:tblPr>
      <w:tblGrid>
        <w:gridCol w:w="2201"/>
        <w:gridCol w:w="6321"/>
      </w:tblGrid>
      <w:tr w:rsidTr="001C5B9A">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4E515E">
            <w:pPr>
              <w:pStyle w:val="BodyText"/>
              <w:rPr>
                <w:lang w:val="en-NZ"/>
              </w:rPr>
            </w:pPr>
            <w:r w:rsidRPr="004E515E">
              <w:t>Elements describe the essential outcomes of a unit</w:t>
            </w:r>
            <w:r w:rsidRPr="004E515E">
              <w:t xml:space="preserve"> of competency.</w:t>
            </w:r>
          </w:p>
        </w:tc>
        <w:tc>
          <w:tcPr>
            <w:tcW w:w="6321" w:type="dxa"/>
            <w:tcBorders>
              <w:top w:val="nil"/>
              <w:left w:val="nil"/>
              <w:bottom w:val="nil"/>
              <w:right w:val="nil"/>
            </w:tcBorders>
            <w:tcMar>
              <w:top w:w="0" w:type="dxa"/>
              <w:left w:w="62" w:type="dxa"/>
              <w:bottom w:w="0" w:type="dxa"/>
              <w:right w:w="62" w:type="dxa"/>
            </w:tcMar>
          </w:tcPr>
          <w:p w:rsidR="00000000" w:rsidRPr="004E515E" w:rsidP="004E515E">
            <w:pPr>
              <w:pStyle w:val="BodyText"/>
            </w:pPr>
            <w:r w:rsidRPr="004E515E">
              <w:t xml:space="preserve">Performance criteria describe the required performance needed to demonstrate achievement of the element. Where </w:t>
            </w:r>
            <w:r w:rsidRPr="004E515E">
              <w:rPr>
                <w:rStyle w:val="BoldandItalics"/>
              </w:rPr>
              <w:t>bold italicised</w:t>
            </w:r>
            <w:r w:rsidRPr="004E515E">
              <w:t xml:space="preserve"> text is used, further information is detailed in the range statement. Assessment of performance is to be consiste</w:t>
            </w:r>
            <w:r w:rsidRPr="004E515E">
              <w:t>nt with the evidence guide.</w:t>
            </w:r>
          </w:p>
        </w:tc>
      </w:tr>
    </w:tbl>
    <w:p w:rsidR="00000000" w:rsidRPr="004E515E" w:rsidP="004E515E">
      <w:pPr>
        <w:pStyle w:val="BodyText"/>
      </w:pPr>
    </w:p>
    <w:p w:rsidR="00000000" w:rsidRPr="004E515E" w:rsidP="004E515E">
      <w:pPr>
        <w:pStyle w:val="AllowPageBreak"/>
      </w:pPr>
    </w:p>
    <w:p w:rsidR="00000000" w:rsidRPr="004E515E" w:rsidP="004E515E">
      <w:pPr>
        <w:pStyle w:val="Heading1"/>
      </w:pPr>
      <w:bookmarkStart w:id="8" w:name="O_406942"/>
      <w:bookmarkEnd w:id="8"/>
      <w:r w:rsidRPr="004E515E">
        <w:t>Elements and Performance Criteria</w:t>
      </w:r>
    </w:p>
    <w:tbl>
      <w:tblPr>
        <w:tblW w:w="0" w:type="auto"/>
        <w:tblLayout w:type="fixed"/>
        <w:tblCellMar>
          <w:left w:w="62" w:type="dxa"/>
          <w:right w:w="62" w:type="dxa"/>
        </w:tblCellMar>
        <w:tblLook w:val="0000"/>
      </w:tblPr>
      <w:tblGrid>
        <w:gridCol w:w="2201"/>
        <w:gridCol w:w="6321"/>
      </w:tblGrid>
      <w:tr w:rsidTr="001C5B9A">
        <w:tblPrEx>
          <w:tblW w:w="0" w:type="auto"/>
          <w:tblLayout w:type="fixed"/>
          <w:tblCellMar>
            <w:left w:w="62" w:type="dxa"/>
            <w:right w:w="62" w:type="dxa"/>
          </w:tblCellMar>
          <w:tblLook w:val="0000"/>
        </w:tblPrEx>
        <w:trPr>
          <w:tblHeader/>
        </w:trPr>
        <w:tc>
          <w:tcPr>
            <w:tcW w:w="2201" w:type="dxa"/>
            <w:tcBorders>
              <w:top w:val="nil"/>
              <w:left w:val="nil"/>
              <w:bottom w:val="nil"/>
              <w:right w:val="nil"/>
            </w:tcBorders>
            <w:tcMar>
              <w:top w:w="0" w:type="dxa"/>
              <w:left w:w="62" w:type="dxa"/>
              <w:bottom w:w="0" w:type="dxa"/>
              <w:right w:w="62" w:type="dxa"/>
            </w:tcMar>
          </w:tcPr>
          <w:p w:rsidR="00000000" w:rsidRPr="004E515E" w:rsidP="004E515E">
            <w:pPr>
              <w:pStyle w:val="BodyText"/>
            </w:pPr>
            <w:r w:rsidRPr="004E515E">
              <w:rPr>
                <w:rStyle w:val="SpecialBold"/>
              </w:rPr>
              <w:t>ELEMENT</w:t>
            </w:r>
          </w:p>
        </w:tc>
        <w:tc>
          <w:tcPr>
            <w:tcW w:w="6321" w:type="dxa"/>
            <w:tcBorders>
              <w:top w:val="nil"/>
              <w:left w:val="nil"/>
              <w:bottom w:val="nil"/>
              <w:right w:val="nil"/>
            </w:tcBorders>
            <w:tcMar>
              <w:top w:w="0" w:type="dxa"/>
              <w:left w:w="62" w:type="dxa"/>
              <w:bottom w:w="0" w:type="dxa"/>
              <w:right w:w="62" w:type="dxa"/>
            </w:tcMar>
          </w:tcPr>
          <w:p w:rsidR="00000000" w:rsidP="004E515E">
            <w:pPr>
              <w:pStyle w:val="BodyText"/>
              <w:rPr>
                <w:lang w:val="en-NZ"/>
              </w:rPr>
            </w:pPr>
            <w:r w:rsidRPr="004E515E">
              <w:rPr>
                <w:rStyle w:val="SpecialBold"/>
              </w:rPr>
              <w:t>PERFORMANCE CRITERIA</w:t>
            </w:r>
          </w:p>
        </w:tc>
      </w:tr>
      <w:tr w:rsidTr="001C5B9A">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4E515E">
            <w:pPr>
              <w:pStyle w:val="List"/>
              <w:rPr>
                <w:lang w:val="en-NZ"/>
              </w:rPr>
            </w:pPr>
            <w:r w:rsidRPr="004E515E">
              <w:rPr>
                <w:rStyle w:val="SpecialBold"/>
              </w:rPr>
              <w:t>1</w:t>
            </w:r>
            <w:r w:rsidRPr="004E515E">
              <w:tab/>
            </w:r>
            <w:r w:rsidRPr="004E515E">
              <w:rPr>
                <w:rStyle w:val="SpecialBold"/>
              </w:rPr>
              <w:t>Analyse rainfall and run-off regimes</w:t>
            </w:r>
            <w:r w:rsidRPr="004E515E">
              <w:t>.</w:t>
            </w:r>
          </w:p>
        </w:tc>
        <w:tc>
          <w:tcPr>
            <w:tcW w:w="6321" w:type="dxa"/>
            <w:tcBorders>
              <w:top w:val="nil"/>
              <w:left w:val="nil"/>
              <w:bottom w:val="nil"/>
              <w:right w:val="nil"/>
            </w:tcBorders>
            <w:tcMar>
              <w:top w:w="0" w:type="dxa"/>
              <w:left w:w="62" w:type="dxa"/>
              <w:bottom w:w="0" w:type="dxa"/>
              <w:right w:w="62" w:type="dxa"/>
            </w:tcMar>
          </w:tcPr>
          <w:p w:rsidR="00000000" w:rsidRPr="004E515E" w:rsidP="004E515E">
            <w:pPr>
              <w:pStyle w:val="List"/>
            </w:pPr>
            <w:r w:rsidRPr="004E515E">
              <w:t>1.1</w:t>
            </w:r>
            <w:r w:rsidRPr="004E515E">
              <w:tab/>
              <w:t xml:space="preserve">Access and interpret historical rainfall run-off and </w:t>
            </w:r>
            <w:r w:rsidRPr="004E515E">
              <w:rPr>
                <w:rStyle w:val="BoldandItalics"/>
              </w:rPr>
              <w:t>flooding regimes</w:t>
            </w:r>
            <w:r w:rsidRPr="004E515E">
              <w:t xml:space="preserve"> of specific catchments.</w:t>
            </w:r>
          </w:p>
          <w:p w:rsidR="00000000" w:rsidRPr="004E515E" w:rsidP="004E515E">
            <w:pPr>
              <w:pStyle w:val="List"/>
            </w:pPr>
            <w:r w:rsidRPr="004E515E">
              <w:t>1.2</w:t>
            </w:r>
            <w:r w:rsidRPr="004E515E">
              <w:tab/>
            </w:r>
            <w:r w:rsidRPr="004E515E">
              <w:t>Delineate historical floods.</w:t>
            </w:r>
          </w:p>
          <w:p w:rsidR="00000000" w:rsidRPr="004E515E" w:rsidP="004E515E">
            <w:pPr>
              <w:pStyle w:val="List"/>
            </w:pPr>
            <w:r w:rsidRPr="004E515E">
              <w:t>1.3</w:t>
            </w:r>
            <w:r w:rsidRPr="004E515E">
              <w:tab/>
              <w:t>Model simulated, hypothetical or estimated rainfall intensity data and catchment characteristics.</w:t>
            </w:r>
          </w:p>
          <w:p w:rsidR="00000000" w:rsidP="004E515E">
            <w:pPr>
              <w:pStyle w:val="List"/>
              <w:rPr>
                <w:lang w:val="en-NZ"/>
              </w:rPr>
            </w:pPr>
            <w:r w:rsidRPr="004E515E">
              <w:t>1.4</w:t>
            </w:r>
            <w:r w:rsidRPr="004E515E">
              <w:tab/>
              <w:t xml:space="preserve">Collate, manipulate and interpret </w:t>
            </w:r>
            <w:r w:rsidRPr="004E515E">
              <w:rPr>
                <w:rStyle w:val="BoldandItalics"/>
              </w:rPr>
              <w:t>data</w:t>
            </w:r>
            <w:r w:rsidRPr="004E515E">
              <w:t>.</w:t>
            </w:r>
          </w:p>
        </w:tc>
      </w:tr>
      <w:tr w:rsidTr="001C5B9A">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4E515E">
            <w:pPr>
              <w:pStyle w:val="List"/>
              <w:rPr>
                <w:lang w:val="en-NZ"/>
              </w:rPr>
            </w:pPr>
            <w:r w:rsidRPr="004E515E">
              <w:rPr>
                <w:rStyle w:val="SpecialBold"/>
              </w:rPr>
              <w:t>2</w:t>
            </w:r>
            <w:r w:rsidRPr="004E515E">
              <w:tab/>
            </w:r>
            <w:r w:rsidRPr="004E515E">
              <w:rPr>
                <w:rStyle w:val="SpecialBold"/>
              </w:rPr>
              <w:t>Estimate flooding</w:t>
            </w:r>
            <w:r w:rsidRPr="004E515E">
              <w:t>.</w:t>
            </w:r>
          </w:p>
        </w:tc>
        <w:tc>
          <w:tcPr>
            <w:tcW w:w="6321" w:type="dxa"/>
            <w:tcBorders>
              <w:top w:val="nil"/>
              <w:left w:val="nil"/>
              <w:bottom w:val="nil"/>
              <w:right w:val="nil"/>
            </w:tcBorders>
            <w:tcMar>
              <w:top w:w="0" w:type="dxa"/>
              <w:left w:w="62" w:type="dxa"/>
              <w:bottom w:w="0" w:type="dxa"/>
              <w:right w:w="62" w:type="dxa"/>
            </w:tcMar>
          </w:tcPr>
          <w:p w:rsidR="00000000" w:rsidRPr="004E515E" w:rsidP="004E515E">
            <w:pPr>
              <w:pStyle w:val="List"/>
            </w:pPr>
            <w:r w:rsidRPr="004E515E">
              <w:t>2.1</w:t>
            </w:r>
            <w:r w:rsidRPr="004E515E">
              <w:tab/>
              <w:t xml:space="preserve">Use </w:t>
            </w:r>
            <w:r w:rsidRPr="004E515E">
              <w:rPr>
                <w:rStyle w:val="BoldandItalics"/>
              </w:rPr>
              <w:t>techniques for flood estimation</w:t>
            </w:r>
            <w:r w:rsidRPr="004E515E">
              <w:t xml:space="preserve"> and apply to </w:t>
            </w:r>
            <w:r w:rsidRPr="004E515E">
              <w:t>the development of flood estimation guidelines.</w:t>
            </w:r>
          </w:p>
          <w:p w:rsidR="00000000" w:rsidRPr="004E515E" w:rsidP="004E515E">
            <w:pPr>
              <w:pStyle w:val="List"/>
            </w:pPr>
            <w:r w:rsidRPr="004E515E">
              <w:t>2.2</w:t>
            </w:r>
            <w:r w:rsidRPr="004E515E">
              <w:tab/>
              <w:t>Estimate and record flood levels, extents and flow rates.</w:t>
            </w:r>
          </w:p>
          <w:p w:rsidR="00000000" w:rsidRPr="004E515E" w:rsidP="004E515E">
            <w:pPr>
              <w:pStyle w:val="List"/>
            </w:pPr>
            <w:r w:rsidRPr="004E515E">
              <w:t>2.3</w:t>
            </w:r>
            <w:r w:rsidRPr="004E515E">
              <w:tab/>
              <w:t xml:space="preserve">Complete and record </w:t>
            </w:r>
            <w:r w:rsidRPr="004E515E">
              <w:rPr>
                <w:rStyle w:val="BoldandItalics"/>
              </w:rPr>
              <w:t>flood hazard assessments</w:t>
            </w:r>
            <w:r w:rsidRPr="004E515E">
              <w:t>.</w:t>
            </w:r>
          </w:p>
          <w:p w:rsidR="00000000" w:rsidP="004E515E">
            <w:pPr>
              <w:pStyle w:val="List"/>
              <w:rPr>
                <w:lang w:val="en-NZ"/>
              </w:rPr>
            </w:pPr>
            <w:r w:rsidRPr="004E515E">
              <w:t>2.4</w:t>
            </w:r>
            <w:r w:rsidRPr="004E515E">
              <w:tab/>
              <w:t xml:space="preserve">Analyse and record the impact of </w:t>
            </w:r>
            <w:r w:rsidRPr="004E515E">
              <w:rPr>
                <w:rStyle w:val="BoldandItalics"/>
              </w:rPr>
              <w:t>planning controls</w:t>
            </w:r>
            <w:r w:rsidRPr="004E515E">
              <w:t xml:space="preserve"> of flood assessments.</w:t>
            </w:r>
          </w:p>
        </w:tc>
      </w:tr>
      <w:tr w:rsidTr="001C5B9A">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4E515E">
            <w:pPr>
              <w:pStyle w:val="List"/>
              <w:rPr>
                <w:lang w:val="en-NZ"/>
              </w:rPr>
            </w:pPr>
            <w:r w:rsidRPr="004E515E">
              <w:rPr>
                <w:rStyle w:val="SpecialBold"/>
              </w:rPr>
              <w:t>3</w:t>
            </w:r>
            <w:r w:rsidRPr="004E515E">
              <w:tab/>
            </w:r>
            <w:r w:rsidRPr="004E515E">
              <w:rPr>
                <w:rStyle w:val="SpecialBold"/>
              </w:rPr>
              <w:t>Report and communicate information</w:t>
            </w:r>
            <w:r w:rsidRPr="004E515E">
              <w:t>.</w:t>
            </w:r>
          </w:p>
        </w:tc>
        <w:tc>
          <w:tcPr>
            <w:tcW w:w="6321" w:type="dxa"/>
            <w:tcBorders>
              <w:top w:val="nil"/>
              <w:left w:val="nil"/>
              <w:bottom w:val="nil"/>
              <w:right w:val="nil"/>
            </w:tcBorders>
            <w:tcMar>
              <w:top w:w="0" w:type="dxa"/>
              <w:left w:w="62" w:type="dxa"/>
              <w:bottom w:w="0" w:type="dxa"/>
              <w:right w:w="62" w:type="dxa"/>
            </w:tcMar>
          </w:tcPr>
          <w:p w:rsidR="00000000" w:rsidRPr="004E515E" w:rsidP="004E515E">
            <w:pPr>
              <w:pStyle w:val="List"/>
            </w:pPr>
            <w:r w:rsidRPr="004E515E">
              <w:t>3.1</w:t>
            </w:r>
            <w:r w:rsidRPr="004E515E">
              <w:tab/>
              <w:t>Collate, analyse and record information to meet organisational requirements.</w:t>
            </w:r>
          </w:p>
          <w:p w:rsidR="00000000" w:rsidRPr="004E515E" w:rsidP="004E515E">
            <w:pPr>
              <w:pStyle w:val="List"/>
            </w:pPr>
            <w:r w:rsidRPr="004E515E">
              <w:t>3.2</w:t>
            </w:r>
            <w:r w:rsidRPr="004E515E">
              <w:tab/>
              <w:t xml:space="preserve">Communicate information to </w:t>
            </w:r>
            <w:r w:rsidRPr="004E515E">
              <w:rPr>
                <w:rStyle w:val="BoldandItalics"/>
              </w:rPr>
              <w:t>stakeholders</w:t>
            </w:r>
            <w:r w:rsidRPr="004E515E">
              <w:t xml:space="preserve"> using standard organisational procedures.</w:t>
            </w:r>
          </w:p>
          <w:p w:rsidR="00000000" w:rsidRPr="004E515E" w:rsidP="004E515E">
            <w:pPr>
              <w:pStyle w:val="List"/>
            </w:pPr>
            <w:r w:rsidRPr="004E515E">
              <w:t>3.3</w:t>
            </w:r>
            <w:r w:rsidRPr="004E515E">
              <w:tab/>
              <w:t>Prepare and present reports in a clear, concise a</w:t>
            </w:r>
            <w:r w:rsidRPr="004E515E">
              <w:t>nd timely manner to meet organisational requirements.</w:t>
            </w:r>
          </w:p>
        </w:tc>
      </w:tr>
    </w:tbl>
    <w:p w:rsidR="00000000" w:rsidRPr="004E515E" w:rsidP="004E515E">
      <w:pPr>
        <w:pStyle w:val="BodyText"/>
      </w:pPr>
    </w:p>
    <w:p w:rsidR="00000000" w:rsidRPr="004E515E" w:rsidP="004E515E">
      <w:pPr>
        <w:pStyle w:val="AllowPageBreak"/>
      </w:pPr>
    </w:p>
    <w:p w:rsidR="00000000" w:rsidRPr="004E515E" w:rsidP="004E515E">
      <w:pPr>
        <w:pStyle w:val="Heading1"/>
      </w:pPr>
      <w:bookmarkStart w:id="9" w:name="O_406933"/>
      <w:bookmarkEnd w:id="9"/>
      <w:r w:rsidRPr="004E515E">
        <w:t>Required Skills and Knowledge</w:t>
      </w:r>
    </w:p>
    <w:tbl>
      <w:tblPr>
        <w:tblW w:w="0" w:type="auto"/>
        <w:tblLayout w:type="fixed"/>
        <w:tblCellMar>
          <w:left w:w="62" w:type="dxa"/>
          <w:right w:w="62" w:type="dxa"/>
        </w:tblCellMar>
        <w:tblLook w:val="0000"/>
      </w:tblPr>
      <w:tblGrid>
        <w:gridCol w:w="8522"/>
      </w:tblGrid>
      <w:tr w:rsidTr="001C5B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515E">
            <w:pPr>
              <w:pStyle w:val="BodyText"/>
              <w:rPr>
                <w:lang w:val="en-NZ"/>
              </w:rPr>
            </w:pPr>
            <w:r w:rsidRPr="004E515E">
              <w:t>This describes the essential skills and knowledge and their level, required for this unit.</w:t>
            </w:r>
          </w:p>
        </w:tc>
      </w:tr>
      <w:tr w:rsidTr="001C5B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515E" w:rsidP="004E515E">
            <w:pPr>
              <w:pStyle w:val="BodyText"/>
            </w:pPr>
            <w:r w:rsidRPr="004E515E">
              <w:rPr>
                <w:rStyle w:val="SpecialBold"/>
              </w:rPr>
              <w:t>Required skills</w:t>
            </w:r>
            <w:r w:rsidRPr="004E515E">
              <w:t>:</w:t>
            </w:r>
          </w:p>
          <w:p w:rsidR="00000000" w:rsidRPr="004E515E" w:rsidP="004E515E">
            <w:pPr>
              <w:pStyle w:val="ListBullet"/>
            </w:pPr>
            <w:r w:rsidRPr="004E515E">
              <w:t>use mathematical techniques to analyse and model flood data</w:t>
            </w:r>
          </w:p>
          <w:p w:rsidR="00000000" w:rsidRPr="004E515E" w:rsidP="004E515E">
            <w:pPr>
              <w:pStyle w:val="ListBullet"/>
            </w:pPr>
            <w:r w:rsidRPr="004E515E">
              <w:t>collect and interpret data</w:t>
            </w:r>
          </w:p>
          <w:p w:rsidR="00000000" w:rsidRPr="004E515E" w:rsidP="004E515E">
            <w:pPr>
              <w:pStyle w:val="ListBullet"/>
            </w:pPr>
            <w:r w:rsidRPr="004E515E">
              <w:t>manipulate and model data</w:t>
            </w:r>
          </w:p>
          <w:p w:rsidR="00000000" w:rsidRPr="004E515E" w:rsidP="004E515E">
            <w:pPr>
              <w:pStyle w:val="ListBullet"/>
            </w:pPr>
            <w:r w:rsidRPr="004E515E">
              <w:t>develop clear and effective reports</w:t>
            </w:r>
          </w:p>
          <w:p w:rsidR="00000000" w:rsidP="004E515E">
            <w:pPr>
              <w:pStyle w:val="ListBullet"/>
              <w:rPr>
                <w:lang w:val="en-NZ"/>
              </w:rPr>
            </w:pPr>
            <w:r w:rsidRPr="004E515E">
              <w:t>communicate effectively</w:t>
            </w:r>
          </w:p>
        </w:tc>
      </w:tr>
      <w:tr w:rsidTr="001C5B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515E" w:rsidP="004E515E">
            <w:pPr>
              <w:pStyle w:val="BodyText"/>
            </w:pPr>
            <w:r w:rsidRPr="004E515E">
              <w:rPr>
                <w:rStyle w:val="SpecialBold"/>
              </w:rPr>
              <w:t>Required knowledge</w:t>
            </w:r>
            <w:r w:rsidRPr="004E515E">
              <w:t>:</w:t>
            </w:r>
          </w:p>
          <w:p w:rsidR="00000000" w:rsidRPr="004E515E" w:rsidP="004E515E">
            <w:pPr>
              <w:pStyle w:val="ListBullet"/>
            </w:pPr>
            <w:r w:rsidRPr="004E515E">
              <w:t>catchment hydrology principles</w:t>
            </w:r>
          </w:p>
          <w:p w:rsidR="00000000" w:rsidRPr="004E515E" w:rsidP="004E515E">
            <w:pPr>
              <w:pStyle w:val="ListBullet"/>
            </w:pPr>
            <w:r w:rsidRPr="004E515E">
              <w:t>water flow measurement</w:t>
            </w:r>
          </w:p>
          <w:p w:rsidR="00000000" w:rsidRPr="004E515E" w:rsidP="004E515E">
            <w:pPr>
              <w:pStyle w:val="ListBullet"/>
            </w:pPr>
            <w:r w:rsidRPr="004E515E">
              <w:t>flow ro</w:t>
            </w:r>
            <w:r w:rsidRPr="004E515E">
              <w:t>uting</w:t>
            </w:r>
          </w:p>
          <w:p w:rsidR="00000000" w:rsidRPr="004E515E" w:rsidP="004E515E">
            <w:pPr>
              <w:pStyle w:val="ListBullet"/>
            </w:pPr>
            <w:r w:rsidRPr="004E515E">
              <w:t>relevant legislation, by-laws and planning schemes</w:t>
            </w:r>
          </w:p>
          <w:p w:rsidR="00000000" w:rsidRPr="004E515E" w:rsidP="004E515E">
            <w:pPr>
              <w:pStyle w:val="ListBullet"/>
            </w:pPr>
            <w:r w:rsidRPr="004E515E">
              <w:t>mathematical calculation</w:t>
            </w:r>
          </w:p>
          <w:p w:rsidR="00000000" w:rsidRPr="004E515E" w:rsidP="004E515E">
            <w:pPr>
              <w:pStyle w:val="ListBullet"/>
            </w:pPr>
            <w:r w:rsidRPr="004E515E">
              <w:t>cultural environment</w:t>
            </w:r>
          </w:p>
          <w:p w:rsidR="00000000" w:rsidRPr="004E515E" w:rsidP="004E515E">
            <w:pPr>
              <w:pStyle w:val="ListBullet"/>
            </w:pPr>
            <w:r w:rsidRPr="004E515E">
              <w:t>occupational health and safety and environmental legislation, Acts and procedures</w:t>
            </w:r>
          </w:p>
        </w:tc>
      </w:tr>
    </w:tbl>
    <w:p w:rsidR="00000000" w:rsidRPr="004E515E" w:rsidP="004E515E">
      <w:pPr>
        <w:pStyle w:val="BodyText"/>
      </w:pPr>
    </w:p>
    <w:p w:rsidR="00000000" w:rsidRPr="004E515E" w:rsidP="004E515E">
      <w:pPr>
        <w:pStyle w:val="AllowPageBreak"/>
      </w:pPr>
    </w:p>
    <w:p w:rsidR="00000000" w:rsidRPr="004E515E" w:rsidP="004E515E">
      <w:pPr>
        <w:pStyle w:val="Heading1"/>
      </w:pPr>
      <w:bookmarkStart w:id="10" w:name="O_406939"/>
      <w:bookmarkEnd w:id="10"/>
      <w:r w:rsidRPr="004E515E">
        <w:t>Evidence Guide</w:t>
      </w:r>
    </w:p>
    <w:tbl>
      <w:tblPr>
        <w:tblW w:w="0" w:type="auto"/>
        <w:tblLayout w:type="fixed"/>
        <w:tblCellMar>
          <w:left w:w="62" w:type="dxa"/>
          <w:right w:w="62" w:type="dxa"/>
        </w:tblCellMar>
        <w:tblLook w:val="0000"/>
      </w:tblPr>
      <w:tblGrid>
        <w:gridCol w:w="2968"/>
        <w:gridCol w:w="6015"/>
      </w:tblGrid>
      <w:tr w:rsidTr="001C5B9A">
        <w:tblPrEx>
          <w:tblW w:w="0" w:type="auto"/>
          <w:tblLayout w:type="fixed"/>
          <w:tblCellMar>
            <w:left w:w="62" w:type="dxa"/>
            <w:right w:w="62" w:type="dxa"/>
          </w:tblCellMar>
          <w:tblLook w:val="0000"/>
        </w:tblPrEx>
        <w:tc>
          <w:tcPr>
            <w:tcW w:w="8983" w:type="dxa"/>
            <w:gridSpan w:val="2"/>
            <w:tcBorders>
              <w:top w:val="nil"/>
              <w:left w:val="nil"/>
              <w:bottom w:val="nil"/>
              <w:right w:val="nil"/>
            </w:tcBorders>
            <w:tcMar>
              <w:top w:w="0" w:type="dxa"/>
              <w:left w:w="62" w:type="dxa"/>
              <w:bottom w:w="0" w:type="dxa"/>
              <w:right w:w="62" w:type="dxa"/>
            </w:tcMar>
          </w:tcPr>
          <w:p w:rsidR="00000000" w:rsidP="004E515E">
            <w:pPr>
              <w:pStyle w:val="BodyText"/>
              <w:rPr>
                <w:lang w:val="en-NZ"/>
              </w:rPr>
            </w:pPr>
            <w:r w:rsidRPr="004E515E">
              <w:t>The evidence guide provides advice on assessment and must be read in conjunction with the Performance Criteria, Required Skills and Knowledge, the Range Statement and the Assessment Guidelines for the Training Package.</w:t>
            </w:r>
          </w:p>
        </w:tc>
      </w:tr>
      <w:tr w:rsidTr="001C5B9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4E515E">
            <w:pPr>
              <w:pStyle w:val="BodyText"/>
              <w:rPr>
                <w:lang w:val="en-NZ"/>
              </w:rPr>
            </w:pPr>
            <w:r w:rsidRPr="004E515E">
              <w:rPr>
                <w:rStyle w:val="SpecialBold"/>
              </w:rPr>
              <w:t>Critical aspects for assessment and</w:t>
            </w:r>
            <w:r w:rsidRPr="004E515E">
              <w:rPr>
                <w:rStyle w:val="SpecialBold"/>
              </w:rPr>
              <w:t xml:space="preserve"> evidence required to demonstrate competency in this unit</w:t>
            </w:r>
          </w:p>
        </w:tc>
        <w:tc>
          <w:tcPr>
            <w:tcW w:w="6015" w:type="dxa"/>
            <w:tcBorders>
              <w:top w:val="nil"/>
              <w:left w:val="nil"/>
              <w:bottom w:val="nil"/>
              <w:right w:val="nil"/>
            </w:tcBorders>
            <w:tcMar>
              <w:top w:w="0" w:type="dxa"/>
              <w:left w:w="62" w:type="dxa"/>
              <w:bottom w:w="0" w:type="dxa"/>
              <w:right w:w="62" w:type="dxa"/>
            </w:tcMar>
          </w:tcPr>
          <w:p w:rsidR="00000000" w:rsidRPr="004E515E" w:rsidP="004E515E">
            <w:pPr>
              <w:pStyle w:val="BodyText"/>
            </w:pPr>
            <w:r w:rsidRPr="004E515E">
              <w:t xml:space="preserve">The candidate should demonstrate the ability to collect and analyse data associated with rainfall, run-off, flood estimation and reporting </w:t>
            </w:r>
            <w:r w:rsidRPr="004E515E">
              <w:t>required for the development and communication of flood mitigation plans including:</w:t>
            </w:r>
          </w:p>
          <w:p w:rsidR="00000000" w:rsidRPr="004E515E" w:rsidP="004E515E">
            <w:pPr>
              <w:pStyle w:val="ListBullet"/>
            </w:pPr>
            <w:r w:rsidRPr="004E515E">
              <w:t>collecting relevant data</w:t>
            </w:r>
          </w:p>
          <w:p w:rsidR="00000000" w:rsidRPr="004E515E" w:rsidP="004E515E">
            <w:pPr>
              <w:pStyle w:val="ListBullet"/>
            </w:pPr>
            <w:r w:rsidRPr="004E515E">
              <w:t>analysing relevant data</w:t>
            </w:r>
          </w:p>
          <w:p w:rsidR="00000000" w:rsidRPr="004E515E" w:rsidP="004E515E">
            <w:pPr>
              <w:pStyle w:val="ListBullet"/>
            </w:pPr>
            <w:r w:rsidRPr="004E515E">
              <w:t xml:space="preserve">modelling of data </w:t>
            </w:r>
          </w:p>
          <w:p w:rsidR="00000000" w:rsidRPr="004E515E" w:rsidP="004E515E">
            <w:pPr>
              <w:pStyle w:val="ListBullet"/>
            </w:pPr>
            <w:r w:rsidRPr="004E515E">
              <w:t>preparing clear, concise and timely reports</w:t>
            </w:r>
          </w:p>
          <w:p w:rsidR="00000000" w:rsidP="004E515E">
            <w:pPr>
              <w:pStyle w:val="ListBullet"/>
              <w:rPr>
                <w:lang w:val="en-NZ"/>
              </w:rPr>
            </w:pPr>
            <w:r w:rsidRPr="004E515E">
              <w:t>communicating data and outcomes to stakeholders and team me</w:t>
            </w:r>
            <w:r w:rsidRPr="004E515E">
              <w:t>mbers</w:t>
            </w:r>
          </w:p>
        </w:tc>
      </w:tr>
      <w:tr w:rsidTr="001C5B9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4E515E">
            <w:pPr>
              <w:pStyle w:val="BodyText"/>
              <w:rPr>
                <w:lang w:val="en-NZ"/>
              </w:rPr>
            </w:pPr>
            <w:r w:rsidRPr="004E515E">
              <w:rPr>
                <w:rStyle w:val="SpecialBold"/>
              </w:rPr>
              <w:t>Context of and specific resources for assessment</w:t>
            </w:r>
          </w:p>
        </w:tc>
        <w:tc>
          <w:tcPr>
            <w:tcW w:w="6015" w:type="dxa"/>
            <w:tcBorders>
              <w:top w:val="nil"/>
              <w:left w:val="nil"/>
              <w:bottom w:val="nil"/>
              <w:right w:val="nil"/>
            </w:tcBorders>
            <w:tcMar>
              <w:top w:w="0" w:type="dxa"/>
              <w:left w:w="62" w:type="dxa"/>
              <w:bottom w:w="0" w:type="dxa"/>
              <w:right w:w="62" w:type="dxa"/>
            </w:tcMar>
          </w:tcPr>
          <w:p w:rsidR="00000000" w:rsidRPr="004E515E" w:rsidP="004E515E">
            <w:pPr>
              <w:pStyle w:val="BodyText"/>
            </w:pPr>
            <w:r w:rsidRPr="004E515E">
              <w:t xml:space="preserve">Access to the workplace and resources including: </w:t>
            </w:r>
          </w:p>
          <w:p w:rsidR="00000000" w:rsidRPr="004E515E" w:rsidP="004E515E">
            <w:pPr>
              <w:pStyle w:val="ListBullet"/>
            </w:pPr>
            <w:r w:rsidRPr="004E515E">
              <w:t>documentation that should normally be available in a water industry organisation</w:t>
            </w:r>
          </w:p>
          <w:p w:rsidR="00000000" w:rsidRPr="004E515E" w:rsidP="004E515E">
            <w:pPr>
              <w:pStyle w:val="ListBullet"/>
            </w:pPr>
            <w:r w:rsidRPr="004E515E">
              <w:t>relevant codes, standards, and government regulations</w:t>
            </w:r>
          </w:p>
          <w:p w:rsidR="00000000" w:rsidRPr="004E515E" w:rsidP="004E515E">
            <w:pPr>
              <w:pStyle w:val="BodyText"/>
            </w:pPr>
            <w:r w:rsidRPr="004E515E">
              <w:t>Where applicab</w:t>
            </w:r>
            <w:r w:rsidRPr="004E515E">
              <w:t>le, physical resources should include equipment modified for people with disabilities.</w:t>
            </w:r>
          </w:p>
          <w:p w:rsidR="00000000" w:rsidRPr="004E515E" w:rsidP="004E515E">
            <w:pPr>
              <w:pStyle w:val="BodyText"/>
            </w:pPr>
            <w:r w:rsidRPr="004E515E">
              <w:t>Access must be provided to appropriate learning and/or assessment support when required.</w:t>
            </w:r>
          </w:p>
          <w:p w:rsidR="00000000" w:rsidRPr="004E515E" w:rsidP="004E515E">
            <w:pPr>
              <w:pStyle w:val="BodyText"/>
            </w:pPr>
            <w:r w:rsidRPr="004E515E">
              <w:t>Assessment processes and techniques must be culturally appropriate, and appropri</w:t>
            </w:r>
            <w:r w:rsidRPr="004E515E">
              <w:t xml:space="preserve">ate to the language and literacy capacity of the candidate and the work being performed. </w:t>
            </w:r>
          </w:p>
          <w:p w:rsidR="00000000" w:rsidRPr="004E515E" w:rsidP="004E515E">
            <w:pPr>
              <w:pStyle w:val="BodyText"/>
            </w:pPr>
            <w:r w:rsidRPr="004E515E">
              <w:t>Validity and sufficiency of evidence requires that:</w:t>
            </w:r>
          </w:p>
          <w:p w:rsidR="00000000" w:rsidRPr="004E515E" w:rsidP="004E515E">
            <w:pPr>
              <w:pStyle w:val="ListBullet"/>
            </w:pPr>
            <w:r w:rsidRPr="004E515E">
              <w:t xml:space="preserve">competency will need to be demonstrated over a period of time reflecting the scope </w:t>
            </w:r>
            <w:r w:rsidRPr="004E515E">
              <w:t>of the role and the practical requirements of the workplace</w:t>
            </w:r>
          </w:p>
          <w:p w:rsidR="00000000" w:rsidRPr="004E515E" w:rsidP="004E515E">
            <w:pPr>
              <w:pStyle w:val="ListBullet"/>
            </w:pPr>
            <w:r w:rsidRPr="004E515E">
              <w:t>where the assessment is part of a structured learning experience the evidence collected must relate to a number of performances assessed at different points in time and separated by further learni</w:t>
            </w:r>
            <w:r w:rsidRPr="004E515E">
              <w:t>ng and practice</w:t>
            </w:r>
          </w:p>
          <w:p w:rsidR="00000000" w:rsidRPr="004E515E" w:rsidP="004E515E">
            <w:pPr>
              <w:pStyle w:val="ListBullet"/>
            </w:pPr>
            <w:r w:rsidRPr="004E515E">
              <w:t>a decision of competence should only be made when the assessor has complete confidence in the person's competence over time and in various contexts</w:t>
            </w:r>
          </w:p>
          <w:p w:rsidR="00000000" w:rsidRPr="004E515E" w:rsidP="004E515E">
            <w:pPr>
              <w:pStyle w:val="ListBullet"/>
            </w:pPr>
            <w:r w:rsidRPr="004E515E">
              <w:t>all assessment that is part of a structured learning experience must include a combination o</w:t>
            </w:r>
            <w:r w:rsidRPr="004E515E">
              <w:t>f direct, indirect and supplementary evidence</w:t>
            </w:r>
          </w:p>
          <w:p w:rsidR="00000000" w:rsidRPr="004E515E" w:rsidP="004E515E">
            <w:pPr>
              <w:pStyle w:val="ListBullet"/>
            </w:pPr>
            <w:r w:rsidRPr="004E515E">
              <w:t>where assessment is for the purpose of recognition (RCC/RPL), the evidence provided will need to be authenticated and show that it represents competency demonstrated over a period of time</w:t>
            </w:r>
          </w:p>
          <w:p w:rsidR="00000000" w:rsidRPr="004E515E" w:rsidP="004E515E">
            <w:pPr>
              <w:pStyle w:val="ListBullet"/>
            </w:pPr>
            <w:r w:rsidRPr="004E515E">
              <w:t>assessment can be thro</w:t>
            </w:r>
            <w:r w:rsidRPr="004E515E">
              <w:t>ugh simulated project-based activity and must include evidence relating to each of the elements in this unit</w:t>
            </w:r>
          </w:p>
          <w:p w:rsidR="00000000" w:rsidRPr="004E515E" w:rsidP="004E515E">
            <w:pPr>
              <w:pStyle w:val="BodyText"/>
            </w:pPr>
            <w:r w:rsidRPr="004E515E">
              <w:t>In all cases where practical assessment is used it will be combined with targeted questioning to assess the underpinning knowledge. Questioning wil</w:t>
            </w:r>
            <w:r w:rsidRPr="004E515E">
              <w:t>l be undertaken in a manner appropriate to the skill levels of the operator, any cultural issues that may affect responses to the questions, and reflecting the requirements of the competency and the work being performed.</w:t>
            </w:r>
          </w:p>
        </w:tc>
      </w:tr>
    </w:tbl>
    <w:p w:rsidR="00000000" w:rsidRPr="004E515E" w:rsidP="004E515E">
      <w:pPr>
        <w:pStyle w:val="BodyText"/>
      </w:pPr>
    </w:p>
    <w:p w:rsidR="00000000" w:rsidRPr="004E515E" w:rsidP="004E515E">
      <w:pPr>
        <w:pStyle w:val="AllowPageBreak"/>
      </w:pPr>
    </w:p>
    <w:p w:rsidR="00000000" w:rsidRPr="004E515E" w:rsidP="004E515E">
      <w:pPr>
        <w:pStyle w:val="Heading1"/>
      </w:pPr>
      <w:bookmarkStart w:id="11" w:name="O_406934"/>
      <w:bookmarkEnd w:id="11"/>
      <w:r w:rsidRPr="004E515E">
        <w:t>Range Statement</w:t>
      </w:r>
    </w:p>
    <w:tbl>
      <w:tblPr>
        <w:tblW w:w="0" w:type="auto"/>
        <w:tblLayout w:type="fixed"/>
        <w:tblCellMar>
          <w:left w:w="62" w:type="dxa"/>
          <w:right w:w="62" w:type="dxa"/>
        </w:tblCellMar>
        <w:tblLook w:val="0000"/>
      </w:tblPr>
      <w:tblGrid>
        <w:gridCol w:w="2849"/>
        <w:gridCol w:w="5673"/>
      </w:tblGrid>
      <w:tr w:rsidTr="001C5B9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E515E">
            <w:pPr>
              <w:pStyle w:val="BodyText"/>
              <w:rPr>
                <w:lang w:val="en-NZ"/>
              </w:rPr>
            </w:pPr>
            <w:r w:rsidRPr="004E515E">
              <w:t xml:space="preserve">The range statement relates to the unit of competency as a whole. It allows for different work environments and situations that may affect performance. </w:t>
            </w:r>
            <w:r w:rsidRPr="004E515E">
              <w:rPr>
                <w:rStyle w:val="BoldandItalics"/>
              </w:rPr>
              <w:t>Bold italicised</w:t>
            </w:r>
            <w:r w:rsidRPr="004E515E">
              <w:t xml:space="preserve"> wording, if used in the Performance Criteria, is detailed below. Add any essential opera</w:t>
            </w:r>
            <w:r w:rsidRPr="004E515E">
              <w:t>ting conditions that may be present with training and assessment depending on the work situation, needs if the candidate, accessibility of the item, and local industry and regional contexts.</w:t>
            </w:r>
          </w:p>
        </w:tc>
      </w:tr>
      <w:tr w:rsidTr="001C5B9A">
        <w:tblPrEx>
          <w:tblW w:w="0" w:type="auto"/>
          <w:tblLayout w:type="fixed"/>
          <w:tblCellMar>
            <w:left w:w="62" w:type="dxa"/>
            <w:right w:w="62" w:type="dxa"/>
          </w:tblCellMar>
          <w:tblLook w:val="0000"/>
        </w:tblPrEx>
        <w:tc>
          <w:tcPr>
            <w:tcW w:w="2849" w:type="dxa"/>
            <w:tcBorders>
              <w:top w:val="nil"/>
              <w:left w:val="nil"/>
              <w:bottom w:val="nil"/>
              <w:right w:val="nil"/>
            </w:tcBorders>
            <w:tcMar>
              <w:top w:w="0" w:type="dxa"/>
              <w:left w:w="62" w:type="dxa"/>
              <w:bottom w:w="0" w:type="dxa"/>
              <w:right w:w="62" w:type="dxa"/>
            </w:tcMar>
          </w:tcPr>
          <w:p w:rsidR="00000000" w:rsidP="004E515E">
            <w:pPr>
              <w:pStyle w:val="BodyText"/>
              <w:rPr>
                <w:lang w:val="en-NZ"/>
              </w:rPr>
            </w:pPr>
            <w:r w:rsidRPr="004E515E">
              <w:rPr>
                <w:rStyle w:val="BoldandItalics"/>
              </w:rPr>
              <w:t>Flooding regimes</w:t>
            </w:r>
            <w:r w:rsidRPr="004E515E">
              <w:t xml:space="preserve"> may include:</w:t>
            </w:r>
          </w:p>
        </w:tc>
        <w:tc>
          <w:tcPr>
            <w:tcW w:w="5673" w:type="dxa"/>
            <w:tcBorders>
              <w:top w:val="nil"/>
              <w:left w:val="nil"/>
              <w:bottom w:val="nil"/>
              <w:right w:val="nil"/>
            </w:tcBorders>
            <w:tcMar>
              <w:top w:w="0" w:type="dxa"/>
              <w:left w:w="62" w:type="dxa"/>
              <w:bottom w:w="0" w:type="dxa"/>
              <w:right w:w="62" w:type="dxa"/>
            </w:tcMar>
          </w:tcPr>
          <w:p w:rsidR="00000000" w:rsidRPr="004E515E" w:rsidP="004E515E">
            <w:pPr>
              <w:pStyle w:val="ListBullet"/>
            </w:pPr>
            <w:r w:rsidRPr="004E515E">
              <w:t>flood levels</w:t>
            </w:r>
          </w:p>
          <w:p w:rsidR="00000000" w:rsidRPr="004E515E" w:rsidP="004E515E">
            <w:pPr>
              <w:pStyle w:val="ListBullet"/>
            </w:pPr>
            <w:r w:rsidRPr="004E515E">
              <w:t>peaks; flow rates</w:t>
            </w:r>
          </w:p>
          <w:p w:rsidR="00000000" w:rsidRPr="004E515E" w:rsidP="004E515E">
            <w:pPr>
              <w:pStyle w:val="ListBullet"/>
            </w:pPr>
            <w:r w:rsidRPr="004E515E">
              <w:t>area extent</w:t>
            </w:r>
          </w:p>
          <w:p w:rsidR="00000000" w:rsidP="004E515E">
            <w:pPr>
              <w:pStyle w:val="ListBullet"/>
              <w:rPr>
                <w:lang w:val="en-NZ"/>
              </w:rPr>
            </w:pPr>
            <w:r w:rsidRPr="004E515E">
              <w:t>duration</w:t>
            </w:r>
          </w:p>
        </w:tc>
      </w:tr>
      <w:tr w:rsidTr="001C5B9A">
        <w:tblPrEx>
          <w:tblW w:w="0" w:type="auto"/>
          <w:tblLayout w:type="fixed"/>
          <w:tblCellMar>
            <w:left w:w="62" w:type="dxa"/>
            <w:right w:w="62" w:type="dxa"/>
          </w:tblCellMar>
          <w:tblLook w:val="0000"/>
        </w:tblPrEx>
        <w:tc>
          <w:tcPr>
            <w:tcW w:w="2849" w:type="dxa"/>
            <w:tcBorders>
              <w:top w:val="nil"/>
              <w:left w:val="nil"/>
              <w:bottom w:val="nil"/>
              <w:right w:val="nil"/>
            </w:tcBorders>
            <w:tcMar>
              <w:top w:w="0" w:type="dxa"/>
              <w:left w:w="62" w:type="dxa"/>
              <w:bottom w:w="0" w:type="dxa"/>
              <w:right w:w="62" w:type="dxa"/>
            </w:tcMar>
          </w:tcPr>
          <w:p w:rsidR="00000000" w:rsidP="004E515E">
            <w:pPr>
              <w:pStyle w:val="BodyText"/>
              <w:rPr>
                <w:lang w:val="en-NZ"/>
              </w:rPr>
            </w:pPr>
            <w:r w:rsidRPr="004E515E">
              <w:rPr>
                <w:rStyle w:val="BoldandItalics"/>
              </w:rPr>
              <w:t>Data</w:t>
            </w:r>
            <w:r w:rsidRPr="004E515E">
              <w:t xml:space="preserve"> may include: </w:t>
            </w:r>
          </w:p>
        </w:tc>
        <w:tc>
          <w:tcPr>
            <w:tcW w:w="5673" w:type="dxa"/>
            <w:tcBorders>
              <w:top w:val="nil"/>
              <w:left w:val="nil"/>
              <w:bottom w:val="nil"/>
              <w:right w:val="nil"/>
            </w:tcBorders>
            <w:tcMar>
              <w:top w:w="0" w:type="dxa"/>
              <w:left w:w="62" w:type="dxa"/>
              <w:bottom w:w="0" w:type="dxa"/>
              <w:right w:w="62" w:type="dxa"/>
            </w:tcMar>
          </w:tcPr>
          <w:p w:rsidR="00000000" w:rsidRPr="004E515E" w:rsidP="004E515E">
            <w:pPr>
              <w:pStyle w:val="ListBullet"/>
            </w:pPr>
            <w:r w:rsidRPr="004E515E">
              <w:t>time series data</w:t>
            </w:r>
          </w:p>
          <w:p w:rsidR="00000000" w:rsidRPr="004E515E" w:rsidP="004E515E">
            <w:pPr>
              <w:pStyle w:val="ListBullet"/>
            </w:pPr>
            <w:r w:rsidRPr="004E515E">
              <w:t>historical</w:t>
            </w:r>
          </w:p>
          <w:p w:rsidR="00000000" w:rsidRPr="004E515E" w:rsidP="004E515E">
            <w:pPr>
              <w:pStyle w:val="ListBullet"/>
            </w:pPr>
            <w:r w:rsidRPr="004E515E">
              <w:t>rainfall</w:t>
            </w:r>
          </w:p>
          <w:p w:rsidR="00000000" w:rsidP="004E515E">
            <w:pPr>
              <w:pStyle w:val="ListBullet"/>
              <w:rPr>
                <w:lang w:val="en-NZ"/>
              </w:rPr>
            </w:pPr>
            <w:r w:rsidRPr="004E515E">
              <w:t>flood levels</w:t>
            </w:r>
          </w:p>
        </w:tc>
      </w:tr>
      <w:tr w:rsidTr="001C5B9A">
        <w:tblPrEx>
          <w:tblW w:w="0" w:type="auto"/>
          <w:tblLayout w:type="fixed"/>
          <w:tblCellMar>
            <w:left w:w="62" w:type="dxa"/>
            <w:right w:w="62" w:type="dxa"/>
          </w:tblCellMar>
          <w:tblLook w:val="0000"/>
        </w:tblPrEx>
        <w:tc>
          <w:tcPr>
            <w:tcW w:w="2849" w:type="dxa"/>
            <w:tcBorders>
              <w:top w:val="nil"/>
              <w:left w:val="nil"/>
              <w:bottom w:val="nil"/>
              <w:right w:val="nil"/>
            </w:tcBorders>
            <w:tcMar>
              <w:top w:w="0" w:type="dxa"/>
              <w:left w:w="62" w:type="dxa"/>
              <w:bottom w:w="0" w:type="dxa"/>
              <w:right w:w="62" w:type="dxa"/>
            </w:tcMar>
          </w:tcPr>
          <w:p w:rsidR="00000000" w:rsidP="004E515E">
            <w:pPr>
              <w:pStyle w:val="BodyText"/>
              <w:rPr>
                <w:lang w:val="en-NZ"/>
              </w:rPr>
            </w:pPr>
            <w:r w:rsidRPr="004E515E">
              <w:rPr>
                <w:rStyle w:val="BoldandItalics"/>
              </w:rPr>
              <w:t>Techniques for flood estimation</w:t>
            </w:r>
            <w:r w:rsidRPr="004E515E">
              <w:t xml:space="preserve"> may include: </w:t>
            </w:r>
          </w:p>
        </w:tc>
        <w:tc>
          <w:tcPr>
            <w:tcW w:w="5673" w:type="dxa"/>
            <w:tcBorders>
              <w:top w:val="nil"/>
              <w:left w:val="nil"/>
              <w:bottom w:val="nil"/>
              <w:right w:val="nil"/>
            </w:tcBorders>
            <w:tcMar>
              <w:top w:w="0" w:type="dxa"/>
              <w:left w:w="62" w:type="dxa"/>
              <w:bottom w:w="0" w:type="dxa"/>
              <w:right w:w="62" w:type="dxa"/>
            </w:tcMar>
          </w:tcPr>
          <w:p w:rsidR="00000000" w:rsidRPr="004E515E" w:rsidP="004E515E">
            <w:pPr>
              <w:pStyle w:val="ListBullet"/>
            </w:pPr>
            <w:r w:rsidRPr="004E515E">
              <w:t>base flow separation</w:t>
            </w:r>
          </w:p>
          <w:p w:rsidR="00000000" w:rsidRPr="004E515E" w:rsidP="004E515E">
            <w:pPr>
              <w:pStyle w:val="ListBullet"/>
            </w:pPr>
            <w:r w:rsidRPr="004E515E">
              <w:t>flood frequency</w:t>
            </w:r>
          </w:p>
          <w:p w:rsidR="00000000" w:rsidP="004E515E">
            <w:pPr>
              <w:pStyle w:val="ListBullet"/>
              <w:rPr>
                <w:lang w:val="en-NZ"/>
              </w:rPr>
            </w:pPr>
            <w:r w:rsidRPr="004E515E">
              <w:t>rainfall modelling</w:t>
            </w:r>
          </w:p>
        </w:tc>
      </w:tr>
      <w:tr w:rsidTr="001C5B9A">
        <w:tblPrEx>
          <w:tblW w:w="0" w:type="auto"/>
          <w:tblLayout w:type="fixed"/>
          <w:tblCellMar>
            <w:left w:w="62" w:type="dxa"/>
            <w:right w:w="62" w:type="dxa"/>
          </w:tblCellMar>
          <w:tblLook w:val="0000"/>
        </w:tblPrEx>
        <w:tc>
          <w:tcPr>
            <w:tcW w:w="2849" w:type="dxa"/>
            <w:tcBorders>
              <w:top w:val="nil"/>
              <w:left w:val="nil"/>
              <w:bottom w:val="nil"/>
              <w:right w:val="nil"/>
            </w:tcBorders>
            <w:tcMar>
              <w:top w:w="0" w:type="dxa"/>
              <w:left w:w="62" w:type="dxa"/>
              <w:bottom w:w="0" w:type="dxa"/>
              <w:right w:w="62" w:type="dxa"/>
            </w:tcMar>
          </w:tcPr>
          <w:p w:rsidR="00000000" w:rsidP="004E515E">
            <w:pPr>
              <w:pStyle w:val="BodyText"/>
              <w:rPr>
                <w:lang w:val="en-NZ"/>
              </w:rPr>
            </w:pPr>
            <w:r w:rsidRPr="004E515E">
              <w:rPr>
                <w:rStyle w:val="BoldandItalics"/>
              </w:rPr>
              <w:t>Flood hazard assessments</w:t>
            </w:r>
            <w:r w:rsidRPr="004E515E">
              <w:t xml:space="preserve"> may include:</w:t>
            </w:r>
          </w:p>
        </w:tc>
        <w:tc>
          <w:tcPr>
            <w:tcW w:w="5673" w:type="dxa"/>
            <w:tcBorders>
              <w:top w:val="nil"/>
              <w:left w:val="nil"/>
              <w:bottom w:val="nil"/>
              <w:right w:val="nil"/>
            </w:tcBorders>
            <w:tcMar>
              <w:top w:w="0" w:type="dxa"/>
              <w:left w:w="62" w:type="dxa"/>
              <w:bottom w:w="0" w:type="dxa"/>
              <w:right w:w="62" w:type="dxa"/>
            </w:tcMar>
          </w:tcPr>
          <w:p w:rsidR="00000000" w:rsidRPr="004E515E" w:rsidP="004E515E">
            <w:pPr>
              <w:pStyle w:val="ListBullet"/>
            </w:pPr>
            <w:r w:rsidRPr="004E515E">
              <w:t>the safety of people</w:t>
            </w:r>
          </w:p>
          <w:p w:rsidR="00000000" w:rsidRPr="004E515E" w:rsidP="004E515E">
            <w:pPr>
              <w:pStyle w:val="ListBullet"/>
            </w:pPr>
            <w:r w:rsidRPr="004E515E">
              <w:t>safety of animals</w:t>
            </w:r>
          </w:p>
          <w:p w:rsidR="00000000" w:rsidRPr="004E515E" w:rsidP="004E515E">
            <w:pPr>
              <w:pStyle w:val="ListBullet"/>
            </w:pPr>
            <w:r w:rsidRPr="004E515E">
              <w:t>land inundation</w:t>
            </w:r>
          </w:p>
          <w:p w:rsidR="00000000" w:rsidRPr="004E515E" w:rsidP="004E515E">
            <w:pPr>
              <w:pStyle w:val="ListBullet"/>
            </w:pPr>
            <w:r w:rsidRPr="004E515E">
              <w:t>house and other property inundation</w:t>
            </w:r>
          </w:p>
          <w:p w:rsidR="00000000" w:rsidRPr="004E515E" w:rsidP="004E515E">
            <w:pPr>
              <w:pStyle w:val="ListBullet"/>
            </w:pPr>
            <w:r w:rsidRPr="004E515E">
              <w:t>effects on communication and other infrastructures</w:t>
            </w:r>
          </w:p>
          <w:p w:rsidR="00000000" w:rsidRPr="004E515E" w:rsidP="004E515E">
            <w:pPr>
              <w:pStyle w:val="ListBullet"/>
            </w:pPr>
            <w:r w:rsidRPr="004E515E">
              <w:t>ability and extent of need for emergency services industry</w:t>
            </w:r>
          </w:p>
          <w:p w:rsidR="00000000" w:rsidP="004E515E">
            <w:pPr>
              <w:pStyle w:val="ListBullet"/>
              <w:rPr>
                <w:lang w:val="en-NZ"/>
              </w:rPr>
            </w:pPr>
            <w:r w:rsidRPr="004E515E">
              <w:t>cost analysis</w:t>
            </w:r>
          </w:p>
        </w:tc>
      </w:tr>
      <w:tr w:rsidTr="001C5B9A">
        <w:tblPrEx>
          <w:tblW w:w="0" w:type="auto"/>
          <w:tblLayout w:type="fixed"/>
          <w:tblCellMar>
            <w:left w:w="62" w:type="dxa"/>
            <w:right w:w="62" w:type="dxa"/>
          </w:tblCellMar>
          <w:tblLook w:val="0000"/>
        </w:tblPrEx>
        <w:tc>
          <w:tcPr>
            <w:tcW w:w="2849" w:type="dxa"/>
            <w:tcBorders>
              <w:top w:val="nil"/>
              <w:left w:val="nil"/>
              <w:bottom w:val="nil"/>
              <w:right w:val="nil"/>
            </w:tcBorders>
            <w:tcMar>
              <w:top w:w="0" w:type="dxa"/>
              <w:left w:w="62" w:type="dxa"/>
              <w:bottom w:w="0" w:type="dxa"/>
              <w:right w:w="62" w:type="dxa"/>
            </w:tcMar>
          </w:tcPr>
          <w:p w:rsidR="00000000" w:rsidP="004E515E">
            <w:pPr>
              <w:pStyle w:val="BodyText"/>
              <w:rPr>
                <w:lang w:val="en-NZ"/>
              </w:rPr>
            </w:pPr>
            <w:r w:rsidRPr="004E515E">
              <w:rPr>
                <w:rStyle w:val="BoldandItalics"/>
              </w:rPr>
              <w:t>Planning controls</w:t>
            </w:r>
            <w:r w:rsidRPr="004E515E">
              <w:t xml:space="preserve"> may include.</w:t>
            </w:r>
          </w:p>
        </w:tc>
        <w:tc>
          <w:tcPr>
            <w:tcW w:w="5673" w:type="dxa"/>
            <w:tcBorders>
              <w:top w:val="nil"/>
              <w:left w:val="nil"/>
              <w:bottom w:val="nil"/>
              <w:right w:val="nil"/>
            </w:tcBorders>
            <w:tcMar>
              <w:top w:w="0" w:type="dxa"/>
              <w:left w:w="62" w:type="dxa"/>
              <w:bottom w:w="0" w:type="dxa"/>
              <w:right w:w="62" w:type="dxa"/>
            </w:tcMar>
          </w:tcPr>
          <w:p w:rsidR="00000000" w:rsidRPr="004E515E" w:rsidP="004E515E">
            <w:pPr>
              <w:pStyle w:val="ListBullet"/>
            </w:pPr>
            <w:r w:rsidRPr="004E515E">
              <w:t>land use planning</w:t>
            </w:r>
          </w:p>
          <w:p w:rsidR="00000000" w:rsidRPr="004E515E" w:rsidP="004E515E">
            <w:pPr>
              <w:pStyle w:val="ListBullet"/>
            </w:pPr>
            <w:r w:rsidRPr="004E515E">
              <w:t>construction or destruction of physical structures (e.g. levee banks, sand bag levees)</w:t>
            </w:r>
          </w:p>
          <w:p w:rsidR="00000000" w:rsidRPr="004E515E" w:rsidP="004E515E">
            <w:pPr>
              <w:pStyle w:val="ListBullet"/>
            </w:pPr>
            <w:r w:rsidRPr="004E515E">
              <w:t>infrastructure development</w:t>
            </w:r>
          </w:p>
          <w:p w:rsidR="00000000" w:rsidP="004E515E">
            <w:pPr>
              <w:pStyle w:val="ListBullet"/>
              <w:rPr>
                <w:lang w:val="en-NZ"/>
              </w:rPr>
            </w:pPr>
            <w:r w:rsidRPr="004E515E">
              <w:t>cultural land restrictions</w:t>
            </w:r>
          </w:p>
        </w:tc>
      </w:tr>
      <w:tr w:rsidTr="001C5B9A">
        <w:tblPrEx>
          <w:tblW w:w="0" w:type="auto"/>
          <w:tblLayout w:type="fixed"/>
          <w:tblCellMar>
            <w:left w:w="62" w:type="dxa"/>
            <w:right w:w="62" w:type="dxa"/>
          </w:tblCellMar>
          <w:tblLook w:val="0000"/>
        </w:tblPrEx>
        <w:tc>
          <w:tcPr>
            <w:tcW w:w="2849" w:type="dxa"/>
            <w:tcBorders>
              <w:top w:val="nil"/>
              <w:left w:val="nil"/>
              <w:bottom w:val="nil"/>
              <w:right w:val="nil"/>
            </w:tcBorders>
            <w:tcMar>
              <w:top w:w="0" w:type="dxa"/>
              <w:left w:w="62" w:type="dxa"/>
              <w:bottom w:w="0" w:type="dxa"/>
              <w:right w:w="62" w:type="dxa"/>
            </w:tcMar>
          </w:tcPr>
          <w:p w:rsidR="00000000" w:rsidP="004E515E">
            <w:pPr>
              <w:pStyle w:val="BodyText"/>
              <w:rPr>
                <w:lang w:val="en-NZ"/>
              </w:rPr>
            </w:pPr>
            <w:r w:rsidRPr="004E515E">
              <w:rPr>
                <w:rStyle w:val="BoldandItalics"/>
              </w:rPr>
              <w:t>Stakeholders</w:t>
            </w:r>
            <w:r w:rsidRPr="004E515E">
              <w:t xml:space="preserve"> may include:</w:t>
            </w:r>
          </w:p>
        </w:tc>
        <w:tc>
          <w:tcPr>
            <w:tcW w:w="5673" w:type="dxa"/>
            <w:tcBorders>
              <w:top w:val="nil"/>
              <w:left w:val="nil"/>
              <w:bottom w:val="nil"/>
              <w:right w:val="nil"/>
            </w:tcBorders>
            <w:tcMar>
              <w:top w:w="0" w:type="dxa"/>
              <w:left w:w="62" w:type="dxa"/>
              <w:bottom w:w="0" w:type="dxa"/>
              <w:right w:w="62" w:type="dxa"/>
            </w:tcMar>
          </w:tcPr>
          <w:p w:rsidR="00000000" w:rsidRPr="004E515E" w:rsidP="004E515E">
            <w:pPr>
              <w:pStyle w:val="ListBullet"/>
            </w:pPr>
            <w:r w:rsidRPr="004E515E">
              <w:t>community groups</w:t>
            </w:r>
          </w:p>
          <w:p w:rsidR="00000000" w:rsidRPr="004E515E" w:rsidP="004E515E">
            <w:pPr>
              <w:pStyle w:val="ListBullet"/>
            </w:pPr>
            <w:r w:rsidRPr="004E515E">
              <w:t>land holders</w:t>
            </w:r>
          </w:p>
          <w:p w:rsidR="00000000" w:rsidRPr="004E515E" w:rsidP="004E515E">
            <w:pPr>
              <w:pStyle w:val="ListBullet"/>
            </w:pPr>
            <w:r w:rsidRPr="004E515E">
              <w:t>emergency response groups</w:t>
            </w:r>
          </w:p>
          <w:p w:rsidR="00000000" w:rsidRPr="004E515E" w:rsidP="004E515E">
            <w:pPr>
              <w:pStyle w:val="ListBullet"/>
            </w:pPr>
            <w:r w:rsidRPr="004E515E">
              <w:t>town planners</w:t>
            </w:r>
          </w:p>
          <w:p w:rsidR="00000000" w:rsidRPr="004E515E" w:rsidP="004E515E">
            <w:pPr>
              <w:pStyle w:val="ListBullet"/>
            </w:pPr>
            <w:r w:rsidRPr="004E515E">
              <w:t xml:space="preserve">utility managers </w:t>
            </w:r>
            <w:r w:rsidRPr="004E515E">
              <w:t>(gas, electricity, water)</w:t>
            </w:r>
          </w:p>
          <w:p w:rsidR="00000000" w:rsidRPr="004E515E" w:rsidP="004E515E">
            <w:pPr>
              <w:pStyle w:val="ListBullet"/>
            </w:pPr>
            <w:r w:rsidRPr="004E515E">
              <w:t>local government</w:t>
            </w:r>
          </w:p>
          <w:p w:rsidR="00000000" w:rsidRPr="004E515E" w:rsidP="004E515E">
            <w:pPr>
              <w:pStyle w:val="ListBullet"/>
            </w:pPr>
            <w:r w:rsidRPr="004E515E">
              <w:t>industry and commerce</w:t>
            </w:r>
          </w:p>
        </w:tc>
      </w:tr>
    </w:tbl>
    <w:p w:rsidR="001C5B9A" w:rsidP="004E515E">
      <w:pPr>
        <w:pStyle w:val="BodyText"/>
      </w:pPr>
    </w:p>
    <w:p w:rsidR="001C5B9A" w:rsidP="004E515E">
      <w:pPr>
        <w:pStyle w:val="BodyText"/>
      </w:pPr>
    </w:p>
    <w:p w:rsidR="00000000" w:rsidRPr="004E515E" w:rsidP="004E515E">
      <w:pPr>
        <w:pStyle w:val="Heading1"/>
      </w:pPr>
      <w:bookmarkStart w:id="12" w:name="O_406931"/>
      <w:bookmarkEnd w:id="12"/>
      <w:r w:rsidRPr="004E515E">
        <w:t>Unit Sector(s)</w:t>
      </w:r>
    </w:p>
    <w:p w:rsidR="00000000" w:rsidRPr="004E515E" w:rsidP="004E515E">
      <w:pPr>
        <w:pStyle w:val="BodyText"/>
      </w:pPr>
      <w:r w:rsidRPr="004E515E">
        <w:t>Not applicable.</w:t>
      </w:r>
    </w:p>
    <w:p w:rsidR="00000000" w:rsidRPr="004E515E" w:rsidP="004E515E">
      <w:pPr>
        <w:pStyle w:val="AllowPageBreak"/>
      </w:pPr>
    </w:p>
    <w:p w:rsidR="00000000" w:rsidRPr="004E515E" w:rsidP="004E515E">
      <w:pPr>
        <w:pStyle w:val="Heading1"/>
      </w:pPr>
      <w:bookmarkStart w:id="13" w:name="O_406943"/>
      <w:bookmarkEnd w:id="13"/>
      <w:r w:rsidRPr="004E515E">
        <w:t>Competency field</w:t>
      </w:r>
    </w:p>
    <w:p w:rsidR="00000000" w:rsidRPr="004E515E" w:rsidP="004E515E">
      <w:pPr>
        <w:pStyle w:val="BodyText"/>
      </w:pPr>
      <w:r w:rsidRPr="004E515E">
        <w:t>Common.</w:t>
      </w:r>
    </w:p>
    <w:p w:rsidR="00000000" w:rsidRPr="004E515E" w:rsidP="004E515E"/>
    <w:sectPr w:rsidSect="004E51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15E" w:rsidRPr="001C5B9A" w:rsidP="001C5B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B9A" w:rsidP="004E5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C5B9A" w:rsidP="004E515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1C5B9A" w:rsidP="004E51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15E" w:rsidRPr="001C5B9A" w:rsidP="001C5B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B9A" w:rsidRPr="002D2AF8" w:rsidP="004E515E">
    <w:pPr>
      <w:pStyle w:val="Header"/>
      <w:framePr w:wrap="around"/>
    </w:pPr>
    <w:r>
      <w:fldChar w:fldCharType="begin"/>
    </w:r>
    <w:r>
      <w:instrText xml:space="preserve"> TITLE   \* MERGEFORMAT </w:instrText>
    </w:r>
    <w:r>
      <w:fldChar w:fldCharType="separate"/>
    </w:r>
    <w:r>
      <w:t>NWP518B Prepare and report on data related to flood mitigation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1C5B9A" w:rsidP="004E51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7211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2857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1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15E"/>
    <w:pPr>
      <w:spacing w:before="360" w:after="60"/>
      <w:outlineLvl w:val="0"/>
    </w:pPr>
    <w:rPr>
      <w:sz w:val="32"/>
    </w:rPr>
  </w:style>
  <w:style w:type="paragraph" w:styleId="Heading2">
    <w:name w:val="heading 2"/>
    <w:basedOn w:val="HeadingBase"/>
    <w:next w:val="BodyText"/>
    <w:link w:val="Heading2Char"/>
    <w:qFormat/>
    <w:rsid w:val="004E515E"/>
    <w:pPr>
      <w:keepLines/>
      <w:spacing w:before="240" w:after="120"/>
      <w:outlineLvl w:val="1"/>
    </w:pPr>
    <w:rPr>
      <w:sz w:val="28"/>
      <w:szCs w:val="40"/>
    </w:rPr>
  </w:style>
  <w:style w:type="paragraph" w:styleId="Heading3">
    <w:name w:val="heading 3"/>
    <w:basedOn w:val="HeadingBase"/>
    <w:next w:val="BodyText"/>
    <w:link w:val="Heading3Char"/>
    <w:qFormat/>
    <w:rsid w:val="004E515E"/>
    <w:pPr>
      <w:spacing w:before="180" w:after="120"/>
      <w:outlineLvl w:val="2"/>
    </w:pPr>
    <w:rPr>
      <w:spacing w:val="-10"/>
      <w:kern w:val="32"/>
    </w:rPr>
  </w:style>
  <w:style w:type="paragraph" w:styleId="Heading4">
    <w:name w:val="heading 4"/>
    <w:basedOn w:val="HeadingBase"/>
    <w:next w:val="BodyText"/>
    <w:link w:val="Heading4Char"/>
    <w:qFormat/>
    <w:rsid w:val="004E515E"/>
    <w:pPr>
      <w:spacing w:before="160" w:after="120"/>
      <w:outlineLvl w:val="3"/>
    </w:pPr>
    <w:rPr>
      <w:sz w:val="22"/>
    </w:rPr>
  </w:style>
  <w:style w:type="paragraph" w:styleId="Heading5">
    <w:name w:val="heading 5"/>
    <w:basedOn w:val="HeadingBase"/>
    <w:next w:val="Normal"/>
    <w:link w:val="Heading5Char"/>
    <w:qFormat/>
    <w:rsid w:val="004E515E"/>
    <w:pPr>
      <w:spacing w:before="80"/>
      <w:outlineLvl w:val="4"/>
    </w:pPr>
    <w:rPr>
      <w:color w:val="918585"/>
      <w:sz w:val="20"/>
    </w:rPr>
  </w:style>
  <w:style w:type="paragraph" w:styleId="Heading6">
    <w:name w:val="heading 6"/>
    <w:basedOn w:val="HeadingBase"/>
    <w:next w:val="Normal"/>
    <w:link w:val="Heading6Char"/>
    <w:qFormat/>
    <w:rsid w:val="004E515E"/>
    <w:pPr>
      <w:spacing w:before="60"/>
      <w:outlineLvl w:val="5"/>
    </w:pPr>
    <w:rPr>
      <w:color w:val="918585"/>
      <w:sz w:val="20"/>
    </w:rPr>
  </w:style>
  <w:style w:type="paragraph" w:styleId="Heading7">
    <w:name w:val="heading 7"/>
    <w:basedOn w:val="Normal"/>
    <w:next w:val="Normal"/>
    <w:link w:val="Heading7Char"/>
    <w:qFormat/>
    <w:rsid w:val="004E515E"/>
    <w:pPr>
      <w:ind w:left="720"/>
      <w:outlineLvl w:val="6"/>
    </w:pPr>
    <w:rPr>
      <w:i/>
    </w:rPr>
  </w:style>
  <w:style w:type="paragraph" w:styleId="Heading8">
    <w:name w:val="heading 8"/>
    <w:basedOn w:val="Normal"/>
    <w:next w:val="Normal"/>
    <w:link w:val="Heading8Char"/>
    <w:qFormat/>
    <w:rsid w:val="004E515E"/>
    <w:pPr>
      <w:ind w:left="720"/>
      <w:outlineLvl w:val="7"/>
    </w:pPr>
    <w:rPr>
      <w:i/>
    </w:rPr>
  </w:style>
  <w:style w:type="paragraph" w:styleId="Heading9">
    <w:name w:val="heading 9"/>
    <w:basedOn w:val="Normal"/>
    <w:next w:val="Normal"/>
    <w:link w:val="Heading9Char"/>
    <w:qFormat/>
    <w:rsid w:val="004E515E"/>
    <w:pPr>
      <w:ind w:left="720"/>
      <w:outlineLvl w:val="8"/>
    </w:pPr>
    <w:rPr>
      <w:i/>
    </w:rPr>
  </w:style>
  <w:style w:type="character" w:default="1" w:styleId="DefaultParagraphFont">
    <w:name w:val="Default Paragraph Font"/>
    <w:uiPriority w:val="1"/>
    <w:unhideWhenUsed/>
    <w:rsid w:val="004E5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15E"/>
  </w:style>
  <w:style w:type="character" w:customStyle="1" w:styleId="Heading1Char">
    <w:name w:val="Heading 1 Char"/>
    <w:basedOn w:val="DefaultParagraphFont"/>
    <w:link w:val="Heading1"/>
    <w:rsid w:val="004E515E"/>
    <w:rPr>
      <w:rFonts w:ascii="Times New Roman" w:eastAsia="Times New Roman" w:hAnsi="Times New Roman" w:cs="Times New Roman"/>
      <w:b/>
      <w:sz w:val="32"/>
      <w:szCs w:val="20"/>
      <w:lang w:eastAsia="en-US"/>
    </w:rPr>
  </w:style>
  <w:style w:type="paragraph" w:styleId="BodyText">
    <w:name w:val="Body Text"/>
    <w:basedOn w:val="Normal"/>
    <w:link w:val="BodyTextChar"/>
    <w:rsid w:val="004E51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515E"/>
    <w:rPr>
      <w:rFonts w:ascii="Times New Roman" w:eastAsia="Times New Roman" w:hAnsi="Times New Roman" w:cs="Times New Roman"/>
      <w:sz w:val="24"/>
      <w:lang w:eastAsia="en-US"/>
    </w:rPr>
  </w:style>
  <w:style w:type="paragraph" w:styleId="List">
    <w:name w:val="List"/>
    <w:basedOn w:val="BodyText"/>
    <w:next w:val="BodyText"/>
    <w:rsid w:val="004E515E"/>
    <w:pPr>
      <w:tabs>
        <w:tab w:val="left" w:pos="340"/>
      </w:tabs>
      <w:spacing w:before="60" w:after="60"/>
      <w:ind w:left="340" w:hanging="340"/>
    </w:pPr>
  </w:style>
  <w:style w:type="paragraph" w:styleId="ListBullet">
    <w:name w:val="List Bullet"/>
    <w:basedOn w:val="List"/>
    <w:rsid w:val="004E515E"/>
    <w:pPr>
      <w:numPr>
        <w:numId w:val="12"/>
      </w:numPr>
      <w:tabs>
        <w:tab w:val="clear" w:pos="340"/>
      </w:tabs>
      <w:spacing w:before="40" w:after="40"/>
    </w:pPr>
  </w:style>
  <w:style w:type="character" w:customStyle="1" w:styleId="SpecialBold">
    <w:name w:val="Special Bold"/>
    <w:basedOn w:val="DefaultParagraphFont"/>
    <w:rsid w:val="004E515E"/>
    <w:rPr>
      <w:b/>
      <w:spacing w:val="0"/>
    </w:rPr>
  </w:style>
  <w:style w:type="paragraph" w:customStyle="1" w:styleId="SuperHeading">
    <w:name w:val="SuperHeading"/>
    <w:basedOn w:val="Normal"/>
    <w:rsid w:val="004E515E"/>
    <w:pPr>
      <w:spacing w:before="240" w:after="120"/>
      <w:outlineLvl w:val="0"/>
    </w:pPr>
    <w:rPr>
      <w:rFonts w:ascii="Times New Roman" w:hAnsi="Times New Roman"/>
      <w:b/>
      <w:sz w:val="32"/>
    </w:rPr>
  </w:style>
  <w:style w:type="paragraph" w:customStyle="1" w:styleId="AllowPageBreak">
    <w:name w:val="AllowPageBreak"/>
    <w:rsid w:val="004E51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515E"/>
    <w:rPr>
      <w:b/>
      <w:i/>
      <w:u w:val="none"/>
    </w:rPr>
  </w:style>
  <w:style w:type="character" w:customStyle="1" w:styleId="Heading2Char">
    <w:name w:val="Heading 2 Char"/>
    <w:basedOn w:val="DefaultParagraphFont"/>
    <w:link w:val="Heading2"/>
    <w:rsid w:val="004E51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1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1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1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15E"/>
    <w:rPr>
      <w:rFonts w:ascii="Courier New" w:eastAsia="Times New Roman" w:hAnsi="Courier New" w:cs="Times New Roman"/>
      <w:i/>
      <w:szCs w:val="20"/>
      <w:lang w:eastAsia="en-US"/>
    </w:rPr>
  </w:style>
  <w:style w:type="paragraph" w:customStyle="1" w:styleId="HeadingBase">
    <w:name w:val="Heading Base"/>
    <w:rsid w:val="004E5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15E"/>
    <w:pPr>
      <w:tabs>
        <w:tab w:val="right" w:leader="dot" w:pos="9072"/>
      </w:tabs>
      <w:ind w:left="567"/>
    </w:pPr>
    <w:rPr>
      <w:szCs w:val="22"/>
    </w:rPr>
  </w:style>
  <w:style w:type="paragraph" w:customStyle="1" w:styleId="TOCBase">
    <w:name w:val="TOC Base"/>
    <w:rsid w:val="004E5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15E"/>
    <w:pPr>
      <w:tabs>
        <w:tab w:val="right" w:leader="dot" w:pos="9072"/>
      </w:tabs>
      <w:spacing w:before="40" w:after="40"/>
      <w:ind w:left="284"/>
    </w:pPr>
    <w:rPr>
      <w:rFonts w:ascii="Times New Roman" w:hAnsi="Times New Roman"/>
    </w:rPr>
  </w:style>
  <w:style w:type="paragraph" w:styleId="TOC1">
    <w:name w:val="toc 1"/>
    <w:basedOn w:val="TOCBase"/>
    <w:next w:val="Normal"/>
    <w:rsid w:val="004E51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5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15E"/>
    <w:rPr>
      <w:rFonts w:ascii="Times New Roman" w:eastAsia="Times New Roman" w:hAnsi="Times New Roman" w:cs="Times New Roman"/>
      <w:sz w:val="16"/>
      <w:lang w:eastAsia="en-US"/>
    </w:rPr>
  </w:style>
  <w:style w:type="paragraph" w:styleId="Title">
    <w:name w:val="Title"/>
    <w:basedOn w:val="HeadingBase"/>
    <w:link w:val="TitleChar"/>
    <w:qFormat/>
    <w:rsid w:val="004E515E"/>
    <w:pPr>
      <w:spacing w:before="5040"/>
      <w:jc w:val="center"/>
    </w:pPr>
    <w:rPr>
      <w:sz w:val="48"/>
      <w:szCs w:val="72"/>
      <w:lang w:val="en-US"/>
    </w:rPr>
  </w:style>
  <w:style w:type="character" w:customStyle="1" w:styleId="TitleChar">
    <w:name w:val="Title Char"/>
    <w:basedOn w:val="DefaultParagraphFont"/>
    <w:link w:val="Title"/>
    <w:rsid w:val="004E5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15E"/>
    <w:pPr>
      <w:tabs>
        <w:tab w:val="left" w:pos="3600"/>
        <w:tab w:val="left" w:pos="3958"/>
      </w:tabs>
    </w:pPr>
  </w:style>
  <w:style w:type="paragraph" w:customStyle="1" w:styleId="Note">
    <w:name w:val="Note"/>
    <w:basedOn w:val="BodyText"/>
    <w:rsid w:val="004E5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15E"/>
    <w:pPr>
      <w:framePr w:wrap="auto" w:hAnchor="text" w:y="6049"/>
    </w:pPr>
    <w:rPr>
      <w:color w:val="000000"/>
      <w:sz w:val="40"/>
    </w:rPr>
  </w:style>
  <w:style w:type="paragraph" w:customStyle="1" w:styleId="TOCTitle">
    <w:name w:val="TOCTitle"/>
    <w:basedOn w:val="Heading1"/>
    <w:rsid w:val="004E515E"/>
    <w:pPr>
      <w:spacing w:after="240"/>
      <w:jc w:val="center"/>
      <w:outlineLvl w:val="9"/>
    </w:pPr>
    <w:rPr>
      <w:caps/>
    </w:rPr>
  </w:style>
  <w:style w:type="paragraph" w:customStyle="1" w:styleId="Version">
    <w:name w:val="Version"/>
    <w:rsid w:val="004E51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515E"/>
    <w:pPr>
      <w:numPr>
        <w:numId w:val="13"/>
      </w:numPr>
      <w:tabs>
        <w:tab w:val="clear" w:pos="680"/>
      </w:tabs>
    </w:pPr>
  </w:style>
  <w:style w:type="paragraph" w:styleId="Index1">
    <w:name w:val="index 1"/>
    <w:basedOn w:val="Normal"/>
    <w:next w:val="Normal"/>
    <w:semiHidden/>
    <w:rsid w:val="004E515E"/>
    <w:pPr>
      <w:keepNext w:val="0"/>
      <w:tabs>
        <w:tab w:val="right" w:pos="4176"/>
      </w:tabs>
      <w:ind w:left="198" w:hanging="198"/>
    </w:pPr>
    <w:rPr>
      <w:rFonts w:ascii="Garamond" w:hAnsi="Garamond"/>
    </w:rPr>
  </w:style>
  <w:style w:type="paragraph" w:styleId="IndexHeading">
    <w:name w:val="index heading"/>
    <w:basedOn w:val="Normal"/>
    <w:next w:val="Index1"/>
    <w:semiHidden/>
    <w:rsid w:val="004E515E"/>
    <w:pPr>
      <w:spacing w:before="120" w:after="120"/>
    </w:pPr>
    <w:rPr>
      <w:rFonts w:ascii="Arial" w:hAnsi="Arial"/>
      <w:b/>
      <w:color w:val="918585"/>
      <w:sz w:val="24"/>
    </w:rPr>
  </w:style>
  <w:style w:type="paragraph" w:styleId="Header">
    <w:name w:val="header"/>
    <w:basedOn w:val="Normal"/>
    <w:link w:val="HeaderChar"/>
    <w:rsid w:val="004E5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15E"/>
    <w:rPr>
      <w:rFonts w:ascii="Times New Roman" w:eastAsia="Times New Roman" w:hAnsi="Times New Roman" w:cs="Times New Roman"/>
      <w:sz w:val="16"/>
      <w:szCs w:val="20"/>
      <w:lang w:val="en-GB" w:eastAsia="en-US"/>
    </w:rPr>
  </w:style>
  <w:style w:type="paragraph" w:customStyle="1" w:styleId="Chapter">
    <w:name w:val="Chapter"/>
    <w:basedOn w:val="Normal"/>
    <w:rsid w:val="004E515E"/>
    <w:pPr>
      <w:spacing w:before="240"/>
    </w:pPr>
    <w:rPr>
      <w:rFonts w:ascii="Times New Roman" w:hAnsi="Times New Roman"/>
      <w:smallCaps/>
      <w:spacing w:val="80"/>
      <w:sz w:val="28"/>
    </w:rPr>
  </w:style>
  <w:style w:type="paragraph" w:customStyle="1" w:styleId="InChapter">
    <w:name w:val="InChapter"/>
    <w:basedOn w:val="Heading3"/>
    <w:rsid w:val="004E515E"/>
    <w:pPr>
      <w:spacing w:after="240"/>
      <w:outlineLvl w:val="9"/>
    </w:pPr>
    <w:rPr>
      <w:noProof/>
    </w:rPr>
  </w:style>
  <w:style w:type="paragraph" w:styleId="Index2">
    <w:name w:val="index 2"/>
    <w:basedOn w:val="Normal"/>
    <w:next w:val="Normal"/>
    <w:semiHidden/>
    <w:rsid w:val="004E515E"/>
    <w:pPr>
      <w:tabs>
        <w:tab w:val="right" w:pos="4176"/>
      </w:tabs>
      <w:ind w:left="568" w:hanging="284"/>
    </w:pPr>
    <w:rPr>
      <w:rFonts w:ascii="Garamond" w:hAnsi="Garamond"/>
    </w:rPr>
  </w:style>
  <w:style w:type="paragraph" w:customStyle="1" w:styleId="Byline">
    <w:name w:val="Byline"/>
    <w:rsid w:val="004E5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15E"/>
    <w:pPr>
      <w:tabs>
        <w:tab w:val="clear" w:pos="3600"/>
        <w:tab w:val="clear" w:pos="3958"/>
      </w:tabs>
      <w:jc w:val="right"/>
    </w:pPr>
  </w:style>
  <w:style w:type="character" w:styleId="Emphasis">
    <w:name w:val="Emphasis"/>
    <w:basedOn w:val="DefaultParagraphFont"/>
    <w:qFormat/>
    <w:rsid w:val="004E515E"/>
    <w:rPr>
      <w:i/>
    </w:rPr>
  </w:style>
  <w:style w:type="paragraph" w:styleId="Caption">
    <w:name w:val="caption"/>
    <w:basedOn w:val="BodyText"/>
    <w:next w:val="Normal"/>
    <w:qFormat/>
    <w:rsid w:val="004E515E"/>
    <w:pPr>
      <w:framePr w:w="2268" w:hSpace="181" w:vSpace="181" w:wrap="around" w:vAnchor="text" w:hAnchor="page" w:x="1135" w:y="285" w:anchorLock="1"/>
    </w:pPr>
    <w:rPr>
      <w:i/>
    </w:rPr>
  </w:style>
  <w:style w:type="paragraph" w:customStyle="1" w:styleId="MiniTOCTitle">
    <w:name w:val="MiniTOCTitle"/>
    <w:basedOn w:val="Heading4"/>
    <w:rsid w:val="004E515E"/>
    <w:pPr>
      <w:spacing w:before="240"/>
      <w:outlineLvl w:val="9"/>
    </w:pPr>
    <w:rPr>
      <w:noProof/>
      <w:sz w:val="24"/>
    </w:rPr>
  </w:style>
  <w:style w:type="paragraph" w:customStyle="1" w:styleId="MiniTOCItem">
    <w:name w:val="MiniTOCItem"/>
    <w:basedOn w:val="ListBullet"/>
    <w:rsid w:val="004E515E"/>
    <w:pPr>
      <w:numPr>
        <w:numId w:val="0"/>
      </w:numPr>
      <w:tabs>
        <w:tab w:val="right" w:leader="dot" w:pos="6521"/>
      </w:tabs>
      <w:spacing w:before="0" w:after="0"/>
    </w:pPr>
  </w:style>
  <w:style w:type="paragraph" w:customStyle="1" w:styleId="TOFTitle">
    <w:name w:val="TOFTitle"/>
    <w:basedOn w:val="TOCTitle"/>
    <w:rsid w:val="004E515E"/>
  </w:style>
  <w:style w:type="paragraph" w:styleId="TableofFigures">
    <w:name w:val="table of figures"/>
    <w:basedOn w:val="Normal"/>
    <w:next w:val="Normal"/>
    <w:semiHidden/>
    <w:rsid w:val="004E515E"/>
    <w:pPr>
      <w:tabs>
        <w:tab w:val="right" w:leader="dot" w:pos="9072"/>
      </w:tabs>
      <w:ind w:left="970" w:hanging="403"/>
    </w:pPr>
    <w:rPr>
      <w:rFonts w:ascii="Times New Roman" w:hAnsi="Times New Roman"/>
      <w:b/>
    </w:rPr>
  </w:style>
  <w:style w:type="paragraph" w:styleId="ListNumber">
    <w:name w:val="List Number"/>
    <w:basedOn w:val="List"/>
    <w:rsid w:val="004E515E"/>
    <w:pPr>
      <w:numPr>
        <w:numId w:val="10"/>
      </w:numPr>
    </w:pPr>
  </w:style>
  <w:style w:type="character" w:customStyle="1" w:styleId="WingdingSymbols">
    <w:name w:val="Wingding Symbols"/>
    <w:rsid w:val="004E515E"/>
    <w:rPr>
      <w:rFonts w:ascii="Wingdings" w:hAnsi="Wingdings"/>
    </w:rPr>
  </w:style>
  <w:style w:type="paragraph" w:customStyle="1" w:styleId="TableHeading">
    <w:name w:val="Table Heading"/>
    <w:basedOn w:val="HeadingBase"/>
    <w:rsid w:val="004E515E"/>
    <w:pPr>
      <w:keepLines/>
      <w:pBdr>
        <w:bottom w:val="single" w:sz="6" w:space="1" w:color="918585"/>
      </w:pBdr>
      <w:spacing w:before="240"/>
    </w:pPr>
  </w:style>
  <w:style w:type="character" w:customStyle="1" w:styleId="HotSpot">
    <w:name w:val="HotSpot"/>
    <w:rsid w:val="004E515E"/>
    <w:rPr>
      <w:color w:val="0033CC"/>
      <w:u w:val="none"/>
    </w:rPr>
  </w:style>
  <w:style w:type="paragraph" w:customStyle="1" w:styleId="BodyTextRight">
    <w:name w:val="Body Text Right"/>
    <w:basedOn w:val="BodyText"/>
    <w:rsid w:val="004E515E"/>
    <w:pPr>
      <w:spacing w:before="0" w:after="0"/>
      <w:jc w:val="right"/>
    </w:pPr>
  </w:style>
  <w:style w:type="paragraph" w:styleId="Index3">
    <w:name w:val="index 3"/>
    <w:basedOn w:val="ListNumber2"/>
    <w:next w:val="Normal"/>
    <w:semiHidden/>
    <w:rsid w:val="004E515E"/>
    <w:pPr>
      <w:numPr>
        <w:numId w:val="0"/>
      </w:numPr>
      <w:tabs>
        <w:tab w:val="right" w:leader="dot" w:pos="4176"/>
      </w:tabs>
    </w:pPr>
  </w:style>
  <w:style w:type="paragraph" w:styleId="ListNumber2">
    <w:name w:val="List Number 2"/>
    <w:basedOn w:val="List2"/>
    <w:rsid w:val="004E515E"/>
    <w:pPr>
      <w:numPr>
        <w:numId w:val="9"/>
      </w:numPr>
      <w:tabs>
        <w:tab w:val="clear" w:pos="1060"/>
      </w:tabs>
    </w:pPr>
  </w:style>
  <w:style w:type="paragraph" w:customStyle="1" w:styleId="MarginNote">
    <w:name w:val="Margin Note"/>
    <w:basedOn w:val="BodyText"/>
    <w:rsid w:val="004E5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1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15E"/>
    <w:rPr>
      <w:sz w:val="32"/>
    </w:rPr>
  </w:style>
  <w:style w:type="paragraph" w:customStyle="1" w:styleId="HeadingProcedure">
    <w:name w:val="Heading Procedure"/>
    <w:basedOn w:val="HeadingBase"/>
    <w:next w:val="Normal"/>
    <w:rsid w:val="004E515E"/>
    <w:pPr>
      <w:tabs>
        <w:tab w:val="left" w:pos="0"/>
      </w:tabs>
      <w:spacing w:before="120" w:after="60"/>
    </w:pPr>
    <w:rPr>
      <w:i/>
      <w:color w:val="918585"/>
      <w:sz w:val="22"/>
    </w:rPr>
  </w:style>
  <w:style w:type="paragraph" w:customStyle="1" w:styleId="TableBodyText">
    <w:name w:val="Table Body Text"/>
    <w:basedOn w:val="BodyText"/>
    <w:rsid w:val="004E515E"/>
    <w:pPr>
      <w:spacing w:before="60" w:after="60"/>
    </w:pPr>
  </w:style>
  <w:style w:type="paragraph" w:styleId="ListContinue">
    <w:name w:val="List Continue"/>
    <w:basedOn w:val="List"/>
    <w:rsid w:val="004E515E"/>
    <w:pPr>
      <w:ind w:firstLine="0"/>
    </w:pPr>
  </w:style>
  <w:style w:type="paragraph" w:customStyle="1" w:styleId="ListNote">
    <w:name w:val="List Note"/>
    <w:basedOn w:val="List"/>
    <w:rsid w:val="004E515E"/>
    <w:pPr>
      <w:pBdr>
        <w:top w:val="single" w:sz="6" w:space="2" w:color="918585"/>
        <w:bottom w:val="single" w:sz="6" w:space="2" w:color="918585"/>
      </w:pBdr>
      <w:tabs>
        <w:tab w:val="left" w:pos="1021"/>
      </w:tabs>
      <w:ind w:firstLine="0"/>
    </w:pPr>
  </w:style>
  <w:style w:type="paragraph" w:customStyle="1" w:styleId="Warning">
    <w:name w:val="Warning"/>
    <w:basedOn w:val="BodyText"/>
    <w:rsid w:val="004E515E"/>
    <w:pPr>
      <w:shd w:val="clear" w:color="auto" w:fill="D9D9D9"/>
      <w:tabs>
        <w:tab w:val="left" w:pos="992"/>
      </w:tabs>
      <w:ind w:left="119" w:right="119"/>
    </w:pPr>
    <w:rPr>
      <w:sz w:val="20"/>
    </w:rPr>
  </w:style>
  <w:style w:type="paragraph" w:customStyle="1" w:styleId="MarginIcons">
    <w:name w:val="Margin Icons"/>
    <w:basedOn w:val="BodyText"/>
    <w:rsid w:val="004E5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15E"/>
    <w:rPr>
      <w:rFonts w:ascii="Courier New" w:hAnsi="Courier New"/>
    </w:rPr>
  </w:style>
  <w:style w:type="paragraph" w:customStyle="1" w:styleId="NoteBullet">
    <w:name w:val="Note Bullet"/>
    <w:basedOn w:val="Note"/>
    <w:rsid w:val="004E515E"/>
    <w:pPr>
      <w:tabs>
        <w:tab w:val="clear" w:pos="680"/>
      </w:tabs>
      <w:spacing w:before="60" w:after="60"/>
    </w:pPr>
  </w:style>
  <w:style w:type="paragraph" w:customStyle="1" w:styleId="SubHeading2">
    <w:name w:val="SubHeading2"/>
    <w:basedOn w:val="HeadingBase"/>
    <w:rsid w:val="004E515E"/>
    <w:pPr>
      <w:spacing w:before="240" w:after="60"/>
    </w:pPr>
    <w:rPr>
      <w:sz w:val="20"/>
    </w:rPr>
  </w:style>
  <w:style w:type="paragraph" w:customStyle="1" w:styleId="SubHeading1">
    <w:name w:val="SubHeading1"/>
    <w:basedOn w:val="HeadingBase"/>
    <w:rsid w:val="004E515E"/>
    <w:pPr>
      <w:spacing w:before="240" w:after="60"/>
    </w:pPr>
    <w:rPr>
      <w:color w:val="918585"/>
      <w:sz w:val="22"/>
    </w:rPr>
  </w:style>
  <w:style w:type="paragraph" w:customStyle="1" w:styleId="SideHeading">
    <w:name w:val="Side Heading"/>
    <w:basedOn w:val="HeadingBase"/>
    <w:rsid w:val="004E5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15E"/>
    <w:pPr>
      <w:tabs>
        <w:tab w:val="num" w:pos="360"/>
      </w:tabs>
    </w:pPr>
  </w:style>
  <w:style w:type="paragraph" w:styleId="PlainText">
    <w:name w:val="Plain Text"/>
    <w:basedOn w:val="Normal"/>
    <w:link w:val="PlainTextChar"/>
    <w:rsid w:val="004E515E"/>
    <w:rPr>
      <w:sz w:val="20"/>
    </w:rPr>
  </w:style>
  <w:style w:type="character" w:customStyle="1" w:styleId="PlainTextChar">
    <w:name w:val="Plain Text Char"/>
    <w:basedOn w:val="DefaultParagraphFont"/>
    <w:link w:val="PlainText"/>
    <w:rsid w:val="004E515E"/>
    <w:rPr>
      <w:rFonts w:ascii="Courier New" w:eastAsia="Times New Roman" w:hAnsi="Courier New" w:cs="Times New Roman"/>
      <w:sz w:val="20"/>
      <w:szCs w:val="20"/>
      <w:lang w:eastAsia="en-US"/>
    </w:rPr>
  </w:style>
  <w:style w:type="character" w:customStyle="1" w:styleId="MenuOption">
    <w:name w:val="Menu Option"/>
    <w:basedOn w:val="DefaultParagraphFont"/>
    <w:rsid w:val="004E515E"/>
    <w:rPr>
      <w:b/>
      <w:smallCaps/>
    </w:rPr>
  </w:style>
  <w:style w:type="paragraph" w:customStyle="1" w:styleId="TableListNumber">
    <w:name w:val="Table List Number"/>
    <w:basedOn w:val="ListNumber"/>
    <w:rsid w:val="004E515E"/>
    <w:pPr>
      <w:numPr>
        <w:numId w:val="0"/>
      </w:numPr>
    </w:pPr>
  </w:style>
  <w:style w:type="paragraph" w:styleId="TOC4">
    <w:name w:val="toc 4"/>
    <w:basedOn w:val="TOCBase"/>
    <w:next w:val="Normal"/>
    <w:semiHidden/>
    <w:rsid w:val="004E515E"/>
    <w:pPr>
      <w:tabs>
        <w:tab w:val="right" w:leader="dot" w:pos="9071"/>
      </w:tabs>
      <w:ind w:left="1701"/>
    </w:pPr>
  </w:style>
  <w:style w:type="paragraph" w:customStyle="1" w:styleId="ListAlpha">
    <w:name w:val="List Alpha"/>
    <w:basedOn w:val="List"/>
    <w:rsid w:val="004E515E"/>
    <w:pPr>
      <w:numPr>
        <w:numId w:val="8"/>
      </w:numPr>
    </w:pPr>
  </w:style>
  <w:style w:type="paragraph" w:customStyle="1" w:styleId="ListAlpha2">
    <w:name w:val="List Alpha 2"/>
    <w:basedOn w:val="List2"/>
    <w:rsid w:val="004E515E"/>
    <w:pPr>
      <w:numPr>
        <w:numId w:val="7"/>
      </w:numPr>
    </w:pPr>
  </w:style>
  <w:style w:type="paragraph" w:styleId="List2">
    <w:name w:val="List 2"/>
    <w:basedOn w:val="BodyText"/>
    <w:rsid w:val="004E515E"/>
    <w:pPr>
      <w:tabs>
        <w:tab w:val="left" w:pos="680"/>
      </w:tabs>
      <w:spacing w:before="60" w:after="60"/>
      <w:ind w:left="680" w:hanging="340"/>
    </w:pPr>
  </w:style>
  <w:style w:type="paragraph" w:styleId="List3">
    <w:name w:val="List 3"/>
    <w:basedOn w:val="BodyText"/>
    <w:rsid w:val="004E515E"/>
    <w:pPr>
      <w:tabs>
        <w:tab w:val="left" w:pos="1021"/>
      </w:tabs>
      <w:spacing w:before="60" w:after="60"/>
      <w:ind w:left="1020" w:hanging="340"/>
    </w:pPr>
  </w:style>
  <w:style w:type="paragraph" w:styleId="List4">
    <w:name w:val="List 4"/>
    <w:basedOn w:val="BodyText"/>
    <w:rsid w:val="004E515E"/>
    <w:pPr>
      <w:tabs>
        <w:tab w:val="left" w:pos="1361"/>
      </w:tabs>
      <w:spacing w:before="60" w:after="60"/>
      <w:ind w:left="1361" w:hanging="340"/>
    </w:pPr>
  </w:style>
  <w:style w:type="paragraph" w:styleId="List5">
    <w:name w:val="List 5"/>
    <w:basedOn w:val="BodyText"/>
    <w:rsid w:val="004E515E"/>
    <w:pPr>
      <w:tabs>
        <w:tab w:val="left" w:pos="1701"/>
      </w:tabs>
      <w:spacing w:before="60" w:after="60"/>
      <w:ind w:left="1701" w:hanging="340"/>
    </w:pPr>
  </w:style>
  <w:style w:type="paragraph" w:styleId="ListBullet3">
    <w:name w:val="List Bullet 3"/>
    <w:basedOn w:val="List3"/>
    <w:rsid w:val="004E515E"/>
    <w:pPr>
      <w:numPr>
        <w:numId w:val="14"/>
      </w:numPr>
      <w:tabs>
        <w:tab w:val="clear" w:pos="1021"/>
      </w:tabs>
      <w:ind w:left="1037" w:hanging="357"/>
    </w:pPr>
  </w:style>
  <w:style w:type="paragraph" w:styleId="ListBullet4">
    <w:name w:val="List Bullet 4"/>
    <w:basedOn w:val="List4"/>
    <w:rsid w:val="004E515E"/>
    <w:pPr>
      <w:numPr>
        <w:numId w:val="2"/>
      </w:numPr>
      <w:tabs>
        <w:tab w:val="clear" w:pos="1361"/>
      </w:tabs>
    </w:pPr>
  </w:style>
  <w:style w:type="paragraph" w:styleId="ListBullet5">
    <w:name w:val="List Bullet 5"/>
    <w:basedOn w:val="List5"/>
    <w:rsid w:val="004E515E"/>
    <w:pPr>
      <w:numPr>
        <w:numId w:val="3"/>
      </w:numPr>
    </w:pPr>
  </w:style>
  <w:style w:type="paragraph" w:styleId="ListContinue2">
    <w:name w:val="List Continue 2"/>
    <w:basedOn w:val="List2"/>
    <w:rsid w:val="004E515E"/>
    <w:pPr>
      <w:ind w:firstLine="0"/>
    </w:pPr>
  </w:style>
  <w:style w:type="paragraph" w:styleId="ListContinue3">
    <w:name w:val="List Continue 3"/>
    <w:basedOn w:val="List3"/>
    <w:rsid w:val="004E515E"/>
    <w:pPr>
      <w:ind w:left="1021" w:firstLine="0"/>
    </w:pPr>
  </w:style>
  <w:style w:type="paragraph" w:styleId="ListContinue4">
    <w:name w:val="List Continue 4"/>
    <w:basedOn w:val="List4"/>
    <w:rsid w:val="004E515E"/>
    <w:pPr>
      <w:ind w:firstLine="0"/>
    </w:pPr>
  </w:style>
  <w:style w:type="paragraph" w:styleId="ListContinue5">
    <w:name w:val="List Continue 5"/>
    <w:basedOn w:val="List5"/>
    <w:rsid w:val="004E515E"/>
    <w:pPr>
      <w:ind w:firstLine="0"/>
    </w:pPr>
  </w:style>
  <w:style w:type="paragraph" w:styleId="ListNumber3">
    <w:name w:val="List Number 3"/>
    <w:basedOn w:val="List3"/>
    <w:rsid w:val="004E515E"/>
    <w:pPr>
      <w:numPr>
        <w:numId w:val="4"/>
      </w:numPr>
    </w:pPr>
  </w:style>
  <w:style w:type="paragraph" w:styleId="ListNumber4">
    <w:name w:val="List Number 4"/>
    <w:basedOn w:val="List4"/>
    <w:rsid w:val="004E515E"/>
    <w:pPr>
      <w:numPr>
        <w:numId w:val="5"/>
      </w:numPr>
    </w:pPr>
  </w:style>
  <w:style w:type="paragraph" w:styleId="ListNumber5">
    <w:name w:val="List Number 5"/>
    <w:basedOn w:val="List5"/>
    <w:rsid w:val="004E515E"/>
    <w:pPr>
      <w:numPr>
        <w:numId w:val="6"/>
      </w:numPr>
    </w:pPr>
  </w:style>
  <w:style w:type="paragraph" w:styleId="BlockText">
    <w:name w:val="Block Text"/>
    <w:basedOn w:val="Normal"/>
    <w:rsid w:val="004E515E"/>
    <w:pPr>
      <w:spacing w:after="120"/>
      <w:ind w:left="1440" w:right="1440"/>
    </w:pPr>
  </w:style>
  <w:style w:type="character" w:customStyle="1" w:styleId="Subscript">
    <w:name w:val="Subscript"/>
    <w:basedOn w:val="DefaultParagraphFont"/>
    <w:rsid w:val="004E515E"/>
    <w:rPr>
      <w:sz w:val="16"/>
      <w:vertAlign w:val="subscript"/>
    </w:rPr>
  </w:style>
  <w:style w:type="character" w:customStyle="1" w:styleId="Superscript">
    <w:name w:val="Superscript"/>
    <w:basedOn w:val="DefaultParagraphFont"/>
    <w:rsid w:val="004E515E"/>
    <w:rPr>
      <w:sz w:val="16"/>
      <w:vertAlign w:val="superscript"/>
    </w:rPr>
  </w:style>
  <w:style w:type="character" w:customStyle="1" w:styleId="Symbols">
    <w:name w:val="Symbols"/>
    <w:basedOn w:val="DefaultParagraphFont"/>
    <w:rsid w:val="004E515E"/>
    <w:rPr>
      <w:rFonts w:ascii="Symbol" w:hAnsi="Symbol"/>
    </w:rPr>
  </w:style>
  <w:style w:type="character" w:customStyle="1" w:styleId="MenuOptions">
    <w:name w:val="Menu Options"/>
    <w:basedOn w:val="DefaultParagraphFont"/>
    <w:rsid w:val="004E515E"/>
    <w:rPr>
      <w:rFonts w:ascii="Arial Narrow" w:hAnsi="Arial Narrow"/>
      <w:smallCaps/>
    </w:rPr>
  </w:style>
  <w:style w:type="character" w:customStyle="1" w:styleId="Buttons">
    <w:name w:val="Buttons"/>
    <w:basedOn w:val="DefaultParagraphFont"/>
    <w:rsid w:val="004E515E"/>
    <w:rPr>
      <w:b/>
    </w:rPr>
  </w:style>
  <w:style w:type="character" w:customStyle="1" w:styleId="Underlined">
    <w:name w:val="Underlined"/>
    <w:basedOn w:val="DefaultParagraphFont"/>
    <w:rsid w:val="004E515E"/>
    <w:rPr>
      <w:u w:val="single"/>
    </w:rPr>
  </w:style>
  <w:style w:type="paragraph" w:customStyle="1" w:styleId="TableBodyTextRight">
    <w:name w:val="Table Body Text Right"/>
    <w:basedOn w:val="TableBodyText"/>
    <w:rsid w:val="004E515E"/>
    <w:pPr>
      <w:widowControl w:val="0"/>
      <w:autoSpaceDE w:val="0"/>
      <w:autoSpaceDN w:val="0"/>
      <w:adjustRightInd w:val="0"/>
      <w:jc w:val="right"/>
    </w:pPr>
    <w:rPr>
      <w:rFonts w:cs="Arial"/>
      <w:szCs w:val="18"/>
    </w:rPr>
  </w:style>
  <w:style w:type="paragraph" w:customStyle="1" w:styleId="CopyrightText">
    <w:name w:val="Copyright Text"/>
    <w:basedOn w:val="BodyText"/>
    <w:rsid w:val="004E515E"/>
    <w:rPr>
      <w:sz w:val="18"/>
    </w:rPr>
  </w:style>
  <w:style w:type="paragraph" w:customStyle="1" w:styleId="BodySmallRight">
    <w:name w:val="Body Small Right"/>
    <w:basedOn w:val="BodyTextRight"/>
    <w:rsid w:val="004E515E"/>
    <w:rPr>
      <w:sz w:val="18"/>
      <w:szCs w:val="18"/>
    </w:rPr>
  </w:style>
  <w:style w:type="paragraph" w:customStyle="1" w:styleId="MarginEdition">
    <w:name w:val="Margin Edition"/>
    <w:basedOn w:val="MarginNote"/>
    <w:rsid w:val="004E515E"/>
    <w:pPr>
      <w:spacing w:before="0" w:after="0"/>
    </w:pPr>
    <w:rPr>
      <w:rFonts w:ascii="Times New Roman" w:hAnsi="Times New Roman"/>
      <w:color w:val="999999"/>
    </w:rPr>
  </w:style>
  <w:style w:type="paragraph" w:customStyle="1" w:styleId="Spacer">
    <w:name w:val="Spacer"/>
    <w:basedOn w:val="Normal"/>
    <w:rsid w:val="004E515E"/>
    <w:rPr>
      <w:sz w:val="2"/>
      <w:szCs w:val="2"/>
    </w:rPr>
  </w:style>
  <w:style w:type="character" w:customStyle="1" w:styleId="Small">
    <w:name w:val="Small"/>
    <w:basedOn w:val="DefaultParagraphFont"/>
    <w:rsid w:val="004E515E"/>
    <w:rPr>
      <w:sz w:val="16"/>
    </w:rPr>
  </w:style>
  <w:style w:type="paragraph" w:customStyle="1" w:styleId="WideTable">
    <w:name w:val="Wide Table"/>
    <w:basedOn w:val="Normal"/>
    <w:rsid w:val="004E515E"/>
    <w:pPr>
      <w:ind w:left="-1418"/>
    </w:pPr>
    <w:rPr>
      <w:sz w:val="2"/>
      <w:szCs w:val="2"/>
    </w:rPr>
  </w:style>
  <w:style w:type="character" w:styleId="PageNumber">
    <w:name w:val="page number"/>
    <w:basedOn w:val="DefaultParagraphFont"/>
    <w:rsid w:val="004E515E"/>
  </w:style>
  <w:style w:type="paragraph" w:styleId="Quote">
    <w:name w:val="Quote"/>
    <w:basedOn w:val="Heading1"/>
    <w:link w:val="QuoteChar"/>
    <w:qFormat/>
    <w:rsid w:val="004E515E"/>
    <w:rPr>
      <w:b w:val="0"/>
      <w:sz w:val="72"/>
      <w:szCs w:val="72"/>
      <w:lang w:val="en-NZ"/>
    </w:rPr>
  </w:style>
  <w:style w:type="character" w:customStyle="1" w:styleId="QuoteChar">
    <w:name w:val="Quote Char"/>
    <w:basedOn w:val="DefaultParagraphFont"/>
    <w:link w:val="Quote"/>
    <w:rsid w:val="004E5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15E"/>
    <w:pPr>
      <w:pageBreakBefore/>
    </w:pPr>
  </w:style>
  <w:style w:type="paragraph" w:customStyle="1" w:styleId="Border">
    <w:name w:val="Border"/>
    <w:basedOn w:val="Normal"/>
    <w:qFormat/>
    <w:rsid w:val="004E5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15E"/>
    <w:rPr>
      <w:b/>
      <w:bCs/>
      <w:i/>
      <w:iCs/>
      <w:color w:val="auto"/>
    </w:rPr>
  </w:style>
  <w:style w:type="paragraph" w:styleId="IntenseQuote">
    <w:name w:val="Intense Quote"/>
    <w:basedOn w:val="Normal"/>
    <w:next w:val="Normal"/>
    <w:link w:val="IntenseQuoteChar"/>
    <w:uiPriority w:val="30"/>
    <w:qFormat/>
    <w:rsid w:val="004E5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1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15E"/>
    <w:rPr>
      <w:smallCaps/>
      <w:color w:val="auto"/>
      <w:u w:val="single"/>
    </w:rPr>
  </w:style>
  <w:style w:type="character" w:styleId="IntenseReference">
    <w:name w:val="Intense Reference"/>
    <w:basedOn w:val="DefaultParagraphFont"/>
    <w:uiPriority w:val="32"/>
    <w:qFormat/>
    <w:rsid w:val="004E515E"/>
    <w:rPr>
      <w:b/>
      <w:bCs/>
      <w:smallCaps/>
      <w:color w:val="auto"/>
      <w:spacing w:val="5"/>
      <w:u w:val="single"/>
    </w:rPr>
  </w:style>
  <w:style w:type="paragraph" w:customStyle="1" w:styleId="2ColumnHeading">
    <w:name w:val="2Column Heading"/>
    <w:basedOn w:val="BodyText"/>
    <w:qFormat/>
    <w:rsid w:val="004E515E"/>
    <w:pPr>
      <w:spacing w:after="60"/>
      <w:ind w:left="-2268"/>
    </w:pPr>
    <w:rPr>
      <w:b/>
    </w:rPr>
  </w:style>
  <w:style w:type="paragraph" w:customStyle="1" w:styleId="Heading1TOC">
    <w:name w:val="Heading1 TOC"/>
    <w:basedOn w:val="Normal"/>
    <w:qFormat/>
    <w:rsid w:val="004E515E"/>
    <w:pPr>
      <w:spacing w:before="240" w:after="120"/>
    </w:pPr>
    <w:rPr>
      <w:rFonts w:ascii="Times New Roman" w:hAnsi="Times New Roman"/>
      <w:b/>
      <w:sz w:val="32"/>
    </w:rPr>
  </w:style>
  <w:style w:type="paragraph" w:customStyle="1" w:styleId="Heading2TOC">
    <w:name w:val="Heading2 TOC"/>
    <w:basedOn w:val="Normal"/>
    <w:qFormat/>
    <w:rsid w:val="004E515E"/>
    <w:pPr>
      <w:spacing w:before="240" w:after="60"/>
    </w:pPr>
    <w:rPr>
      <w:rFonts w:ascii="Times New Roman" w:hAnsi="Times New Roman"/>
      <w:b/>
      <w:sz w:val="28"/>
    </w:rPr>
  </w:style>
  <w:style w:type="character" w:customStyle="1" w:styleId="Underline">
    <w:name w:val="Underline"/>
    <w:basedOn w:val="DefaultParagraphFont"/>
    <w:qFormat/>
    <w:rsid w:val="004E515E"/>
    <w:rPr>
      <w:u w:val="single"/>
    </w:rPr>
  </w:style>
  <w:style w:type="paragraph" w:styleId="BalloonText">
    <w:name w:val="Balloon Text"/>
    <w:basedOn w:val="Normal"/>
    <w:link w:val="BalloonTextChar"/>
    <w:rsid w:val="004E515E"/>
    <w:rPr>
      <w:rFonts w:ascii="Tahoma" w:hAnsi="Tahoma" w:cs="Tahoma"/>
      <w:sz w:val="16"/>
      <w:szCs w:val="16"/>
    </w:rPr>
  </w:style>
  <w:style w:type="character" w:customStyle="1" w:styleId="BalloonTextChar">
    <w:name w:val="Balloon Text Char"/>
    <w:basedOn w:val="DefaultParagraphFont"/>
    <w:link w:val="BalloonText"/>
    <w:rsid w:val="004E51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1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51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15E"/>
    <w:rPr>
      <w:b/>
      <w:color w:val="660033"/>
      <w:spacing w:val="0"/>
    </w:rPr>
  </w:style>
  <w:style w:type="paragraph" w:customStyle="1" w:styleId="Nameditemlist">
    <w:name w:val="Named item list"/>
    <w:basedOn w:val="BodyText"/>
    <w:qFormat/>
    <w:rsid w:val="004E51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967</Words>
  <Characters>6000</Characters>
  <Application>Microsoft Office Word</Application>
  <DocSecurity>0</DocSecurity>
  <Lines>205</Lines>
  <Paragraphs>117</Paragraphs>
  <ScaleCrop>false</ScaleCrop>
  <Company>Author-it Software Corporation Ltd.</Company>
  <LinksUpToDate>false</LinksUpToDate>
  <CharactersWithSpaces>6908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NWP518B Prepare and report on data related to flood mitigation</dc:title>
  <dc:subject>Approved</dc:subject>
  <dc:creator>Government Skills Australia</dc:creator>
  <cp:keywords>Revision Number: 2</cp:keywords>
  <dc:description>Review Date: 12 April 2008</dc:description>
  <cp:lastModifiedBy>HSD_TPCMSd.prod</cp:lastModifiedBy>
  <cp:revision>3</cp:revision>
  <dcterms:created xsi:type="dcterms:W3CDTF">2016-08-21T22:41:00Z</dcterms:created>
  <dcterms:modified xsi:type="dcterms:W3CDTF">2016-08-21T22:41:00Z</dcterms:modified>
</cp:coreProperties>
</file>