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0F6" w:rsidP="00E800F6">
      <w:pPr>
        <w:pStyle w:val="Title"/>
      </w:pPr>
      <w:bookmarkStart w:id="0" w:name="_GoBack"/>
      <w:bookmarkEnd w:id="0"/>
      <w:r>
        <w:fldChar w:fldCharType="begin"/>
      </w:r>
      <w:r>
        <w:instrText xml:space="preserve"> TITLE   \* MERGEFORMAT </w:instrText>
      </w:r>
      <w:r>
        <w:fldChar w:fldCharType="separate"/>
      </w:r>
      <w:r>
        <w:t>NWP429B Coordinate, implement and report on trade waste monitoring procedures</w:t>
      </w:r>
      <w:r>
        <w:fldChar w:fldCharType="end"/>
      </w:r>
    </w:p>
    <w:p w:rsidR="00E800F6" w:rsidP="00E800F6">
      <w:pPr>
        <w:pStyle w:val="Version"/>
        <w:sectPr w:rsidSect="00022C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22C57" w:rsidP="00022C57">
      <w:pPr>
        <w:pStyle w:val="SuperHeading"/>
      </w:pPr>
      <w:r w:rsidRPr="00022C57">
        <w:t xml:space="preserve">NWP429B Coordinate, implement and report on trade waste monitoring procedures </w:t>
      </w:r>
    </w:p>
    <w:p w:rsidR="00000000" w:rsidRPr="00022C57" w:rsidP="00022C57">
      <w:pPr>
        <w:pStyle w:val="SuperHeading"/>
      </w:pPr>
    </w:p>
    <w:p w:rsidR="00000000" w:rsidRPr="00022C57" w:rsidP="00022C57">
      <w:pPr>
        <w:pStyle w:val="Heading1"/>
      </w:pPr>
      <w:bookmarkStart w:id="1" w:name="O_406496"/>
      <w:bookmarkEnd w:id="1"/>
      <w:r w:rsidRPr="00022C57">
        <w:t>Modification History</w:t>
      </w:r>
    </w:p>
    <w:p w:rsidR="00000000" w:rsidRPr="00022C57" w:rsidP="00022C57">
      <w:pPr>
        <w:pStyle w:val="BodyText"/>
      </w:pPr>
      <w:r w:rsidRPr="00022C57">
        <w:t>NWP429B Release 2:</w:t>
      </w:r>
      <w:r w:rsidRPr="00022C57">
        <w:tab/>
        <w:t>Layout adjusted. No changes to</w:t>
      </w:r>
      <w:r w:rsidRPr="00022C57">
        <w:t xml:space="preserve"> content.</w:t>
      </w:r>
    </w:p>
    <w:p w:rsidR="00000000" w:rsidRPr="00022C57" w:rsidP="00022C57">
      <w:pPr>
        <w:pStyle w:val="BodyText"/>
      </w:pPr>
      <w:r w:rsidRPr="00022C57">
        <w:t>NWP429B Release 1:</w:t>
      </w:r>
      <w:r w:rsidRPr="00022C57">
        <w:tab/>
        <w:t>Primary release.</w:t>
      </w:r>
    </w:p>
    <w:p w:rsidR="00000000" w:rsidRPr="00022C57" w:rsidP="00022C57">
      <w:pPr>
        <w:pStyle w:val="AllowPageBreak"/>
      </w:pPr>
    </w:p>
    <w:p w:rsidR="00000000" w:rsidRPr="00022C57" w:rsidP="00022C57">
      <w:pPr>
        <w:pStyle w:val="Heading1"/>
      </w:pPr>
      <w:bookmarkStart w:id="2" w:name="O_406492"/>
      <w:bookmarkEnd w:id="2"/>
      <w:r w:rsidRPr="00022C57">
        <w:t>Unit Descriptor</w:t>
      </w:r>
    </w:p>
    <w:p w:rsidR="00000000" w:rsidRPr="00022C57" w:rsidP="00022C57">
      <w:pPr>
        <w:pStyle w:val="BodyText"/>
      </w:pPr>
      <w:r w:rsidRPr="00022C57">
        <w:t>This unit of competency describes the outcomes required to coordinate, implement and report on monitoring programs for trade waste treatment and disposal in retail commercial an</w:t>
      </w:r>
      <w:r w:rsidRPr="00022C57">
        <w:t>d light industrial organisations; and to implement the monitoring of complex trade waste systems in large organisations.</w:t>
      </w:r>
    </w:p>
    <w:p w:rsidR="00000000" w:rsidRPr="00022C57" w:rsidP="00022C57">
      <w:pPr>
        <w:pStyle w:val="AllowPageBreak"/>
      </w:pPr>
    </w:p>
    <w:p w:rsidR="00000000" w:rsidRPr="00022C57" w:rsidP="00022C57">
      <w:pPr>
        <w:pStyle w:val="Heading1"/>
      </w:pPr>
      <w:bookmarkStart w:id="3" w:name="O_406504"/>
      <w:bookmarkEnd w:id="3"/>
      <w:r w:rsidRPr="00022C57">
        <w:t>Application of the Unit</w:t>
      </w:r>
    </w:p>
    <w:p w:rsidR="00000000" w:rsidRPr="00022C57" w:rsidP="00022C57">
      <w:pPr>
        <w:pStyle w:val="BodyText"/>
      </w:pPr>
      <w:r w:rsidRPr="00022C57">
        <w:t>This unit supports the attainment of skills and knowledge required for staff with a specific r</w:t>
      </w:r>
      <w:r w:rsidRPr="00022C57">
        <w:t>esponsibility for coordinating and conducting monitoring and testing of trade waste treatment and disposal according to organisational and statutory requirements. The level of responsibility may vary according to the size and scope of the trade waste syste</w:t>
      </w:r>
      <w:r w:rsidRPr="00022C57">
        <w:t>m.</w:t>
      </w:r>
    </w:p>
    <w:p w:rsidR="00000000" w:rsidRPr="00022C57" w:rsidP="00022C57">
      <w:pPr>
        <w:pStyle w:val="AllowPageBreak"/>
      </w:pPr>
    </w:p>
    <w:p w:rsidR="00000000" w:rsidRPr="00022C57" w:rsidP="00022C57">
      <w:pPr>
        <w:pStyle w:val="Heading1"/>
      </w:pPr>
      <w:bookmarkStart w:id="4" w:name="O_406497"/>
      <w:bookmarkEnd w:id="4"/>
      <w:r w:rsidRPr="00022C57">
        <w:t>Licensing/Regulatory Information</w:t>
      </w:r>
    </w:p>
    <w:p w:rsidR="00000000" w:rsidRPr="00022C57" w:rsidP="00022C57">
      <w:pPr>
        <w:pStyle w:val="BodyText"/>
      </w:pPr>
      <w:r w:rsidRPr="00022C57">
        <w:t>Not applicable.</w:t>
      </w:r>
    </w:p>
    <w:p w:rsidR="00000000" w:rsidRPr="00022C57" w:rsidP="00022C57">
      <w:pPr>
        <w:pStyle w:val="AllowPageBreak"/>
      </w:pPr>
    </w:p>
    <w:p w:rsidR="00000000" w:rsidRPr="00022C57" w:rsidP="00022C57">
      <w:pPr>
        <w:pStyle w:val="Heading1"/>
      </w:pPr>
      <w:bookmarkStart w:id="5" w:name="O_406495"/>
      <w:bookmarkEnd w:id="5"/>
      <w:r w:rsidRPr="00022C57">
        <w:t>Pre-Requisites</w:t>
      </w:r>
    </w:p>
    <w:p w:rsidR="00000000" w:rsidRPr="00022C57" w:rsidP="00022C57">
      <w:pPr>
        <w:pStyle w:val="BodyText"/>
      </w:pPr>
      <w:r w:rsidRPr="00022C57">
        <w:t>Not applicable.</w:t>
      </w:r>
    </w:p>
    <w:p w:rsidR="00000000" w:rsidRPr="00022C57" w:rsidP="00022C57">
      <w:pPr>
        <w:pStyle w:val="AllowPageBreak"/>
      </w:pPr>
    </w:p>
    <w:p w:rsidR="00000000" w:rsidRPr="00022C57" w:rsidP="00022C57">
      <w:pPr>
        <w:pStyle w:val="Heading1"/>
      </w:pPr>
      <w:bookmarkStart w:id="6" w:name="O_406500"/>
      <w:bookmarkEnd w:id="6"/>
      <w:r w:rsidRPr="00022C57">
        <w:t>Employability Skills Information</w:t>
      </w:r>
    </w:p>
    <w:p w:rsidR="00000000" w:rsidRPr="00022C57" w:rsidP="00022C57">
      <w:pPr>
        <w:pStyle w:val="BodyText"/>
      </w:pPr>
      <w:r w:rsidRPr="00022C57">
        <w:t>This unit contains employability skills.</w:t>
      </w:r>
    </w:p>
    <w:p w:rsidR="00000000" w:rsidRPr="00022C57" w:rsidP="00022C57">
      <w:pPr>
        <w:pStyle w:val="AllowPageBreak"/>
      </w:pPr>
    </w:p>
    <w:p w:rsidR="00000000" w:rsidRPr="00022C57" w:rsidP="00022C57">
      <w:pPr>
        <w:pStyle w:val="Heading1"/>
      </w:pPr>
      <w:bookmarkStart w:id="7" w:name="O_406501"/>
      <w:bookmarkEnd w:id="7"/>
      <w:r w:rsidRPr="00022C57">
        <w:t>Elements and Performance Criteria Pre-Content</w:t>
      </w:r>
    </w:p>
    <w:tbl>
      <w:tblPr>
        <w:tblW w:w="0" w:type="auto"/>
        <w:tblLayout w:type="fixed"/>
        <w:tblCellMar>
          <w:left w:w="62" w:type="dxa"/>
          <w:right w:w="62" w:type="dxa"/>
        </w:tblCellMar>
        <w:tblLook w:val="0000"/>
      </w:tblPr>
      <w:tblGrid>
        <w:gridCol w:w="2268"/>
        <w:gridCol w:w="6743"/>
      </w:tblGrid>
      <w:tr w:rsidTr="00E800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t>Elements describe the essential outcomes of a unit of competency.</w:t>
            </w:r>
          </w:p>
        </w:tc>
        <w:tc>
          <w:tcPr>
            <w:tcW w:w="6743" w:type="dxa"/>
            <w:tcBorders>
              <w:top w:val="nil"/>
              <w:left w:val="nil"/>
              <w:bottom w:val="nil"/>
              <w:right w:val="nil"/>
            </w:tcBorders>
            <w:tcMar>
              <w:top w:w="0" w:type="dxa"/>
              <w:left w:w="62" w:type="dxa"/>
              <w:bottom w:w="0" w:type="dxa"/>
              <w:right w:w="62" w:type="dxa"/>
            </w:tcMar>
          </w:tcPr>
          <w:p w:rsidR="00000000" w:rsidRPr="00022C57" w:rsidP="00022C57">
            <w:pPr>
              <w:pStyle w:val="BodyText"/>
            </w:pPr>
            <w:r w:rsidRPr="00022C57">
              <w:t xml:space="preserve">Performance criteria describe the required performance needed to demonstrate achievement of the element. Where </w:t>
            </w:r>
            <w:r w:rsidRPr="00022C57">
              <w:rPr>
                <w:rStyle w:val="BoldandItalics"/>
              </w:rPr>
              <w:t>bold italicised</w:t>
            </w:r>
            <w:r w:rsidRPr="00022C57">
              <w:t xml:space="preserve"> text is used, fur</w:t>
            </w:r>
            <w:r w:rsidRPr="00022C57">
              <w:t>ther information is detailed in the range statement. Assessment of performance is to be consistent with the evidence guide.</w:t>
            </w:r>
          </w:p>
        </w:tc>
      </w:tr>
    </w:tbl>
    <w:p w:rsidR="00000000" w:rsidRPr="00022C57" w:rsidP="00022C57">
      <w:pPr>
        <w:pStyle w:val="BodyText"/>
      </w:pPr>
    </w:p>
    <w:p w:rsidR="00000000" w:rsidRPr="00022C57" w:rsidP="00022C57">
      <w:pPr>
        <w:pStyle w:val="AllowPageBreak"/>
      </w:pPr>
    </w:p>
    <w:p w:rsidR="00000000" w:rsidRPr="00022C57" w:rsidP="00022C57">
      <w:pPr>
        <w:pStyle w:val="Heading1"/>
      </w:pPr>
      <w:bookmarkStart w:id="8" w:name="O_406502"/>
      <w:bookmarkEnd w:id="8"/>
      <w:r w:rsidRPr="00022C57">
        <w:t>Elements and Performance Criteria</w:t>
      </w:r>
    </w:p>
    <w:tbl>
      <w:tblPr>
        <w:tblW w:w="0" w:type="auto"/>
        <w:tblLayout w:type="fixed"/>
        <w:tblCellMar>
          <w:left w:w="62" w:type="dxa"/>
          <w:right w:w="62" w:type="dxa"/>
        </w:tblCellMar>
        <w:tblLook w:val="0000"/>
      </w:tblPr>
      <w:tblGrid>
        <w:gridCol w:w="2268"/>
        <w:gridCol w:w="6743"/>
      </w:tblGrid>
      <w:tr w:rsidTr="00E800F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022C57" w:rsidP="00022C57">
            <w:pPr>
              <w:pStyle w:val="BodyText"/>
            </w:pPr>
            <w:r w:rsidRPr="00022C57">
              <w:rPr>
                <w:rStyle w:val="SpecialBold"/>
              </w:rPr>
              <w:t>ELEMENT</w:t>
            </w:r>
          </w:p>
        </w:tc>
        <w:tc>
          <w:tcPr>
            <w:tcW w:w="6743"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rPr>
                <w:rStyle w:val="SpecialBold"/>
              </w:rPr>
              <w:t>PERFORMANCE CRITERIA</w:t>
            </w:r>
          </w:p>
        </w:tc>
      </w:tr>
      <w:tr w:rsidTr="00E800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22C57">
            <w:pPr>
              <w:pStyle w:val="List"/>
              <w:rPr>
                <w:lang w:val="en-NZ"/>
              </w:rPr>
            </w:pPr>
            <w:r w:rsidRPr="00022C57">
              <w:rPr>
                <w:rStyle w:val="SpecialBold"/>
              </w:rPr>
              <w:t>1</w:t>
            </w:r>
            <w:r w:rsidRPr="00022C57">
              <w:tab/>
            </w:r>
            <w:r w:rsidRPr="00022C57">
              <w:rPr>
                <w:rStyle w:val="SpecialBold"/>
              </w:rPr>
              <w:t>Coordinate the monitoring and testing program</w:t>
            </w:r>
            <w:r w:rsidRPr="00022C57">
              <w:t>.</w:t>
            </w:r>
          </w:p>
        </w:tc>
        <w:tc>
          <w:tcPr>
            <w:tcW w:w="6743" w:type="dxa"/>
            <w:tcBorders>
              <w:top w:val="nil"/>
              <w:left w:val="nil"/>
              <w:bottom w:val="nil"/>
              <w:right w:val="nil"/>
            </w:tcBorders>
            <w:tcMar>
              <w:top w:w="0" w:type="dxa"/>
              <w:left w:w="62" w:type="dxa"/>
              <w:bottom w:w="0" w:type="dxa"/>
              <w:right w:w="62" w:type="dxa"/>
            </w:tcMar>
          </w:tcPr>
          <w:p w:rsidR="00000000" w:rsidRPr="00022C57" w:rsidP="00022C57">
            <w:pPr>
              <w:pStyle w:val="List"/>
            </w:pPr>
            <w:r w:rsidRPr="00022C57">
              <w:t>1.1</w:t>
            </w:r>
            <w:r w:rsidRPr="00022C57">
              <w:tab/>
              <w:t xml:space="preserve">Apply </w:t>
            </w:r>
            <w:r w:rsidRPr="00022C57">
              <w:rPr>
                <w:rStyle w:val="BoldandItalics"/>
              </w:rPr>
              <w:t>monitoring and testing programs</w:t>
            </w:r>
            <w:r w:rsidRPr="00022C57">
              <w:t xml:space="preserve"> and procedures for </w:t>
            </w:r>
            <w:r w:rsidRPr="00022C57">
              <w:rPr>
                <w:rStyle w:val="BoldandItalics"/>
              </w:rPr>
              <w:t>trade waste</w:t>
            </w:r>
            <w:r w:rsidRPr="00022C57">
              <w:t xml:space="preserve"> according to the objectives of </w:t>
            </w:r>
            <w:r w:rsidRPr="00022C57">
              <w:rPr>
                <w:rStyle w:val="BoldandItalics"/>
              </w:rPr>
              <w:t>trade waste policies and management plans</w:t>
            </w:r>
            <w:r w:rsidRPr="00022C57">
              <w:t xml:space="preserve"> and organisational and statutory requirements.</w:t>
            </w:r>
          </w:p>
          <w:p w:rsidR="00000000" w:rsidRPr="00022C57" w:rsidP="00022C57">
            <w:pPr>
              <w:pStyle w:val="List"/>
            </w:pPr>
            <w:r w:rsidRPr="00022C57">
              <w:t>1.2</w:t>
            </w:r>
            <w:r w:rsidRPr="00022C57">
              <w:tab/>
              <w:t>Analyse testing results where appropriate and report accord</w:t>
            </w:r>
            <w:r w:rsidRPr="00022C57">
              <w:t>ing to legislative and enterprise requirements.</w:t>
            </w:r>
          </w:p>
          <w:p w:rsidR="00000000" w:rsidRPr="00022C57" w:rsidP="00022C57">
            <w:pPr>
              <w:pStyle w:val="List"/>
            </w:pPr>
            <w:r w:rsidRPr="00022C57">
              <w:t>1.3</w:t>
            </w:r>
            <w:r w:rsidRPr="00022C57">
              <w:tab/>
              <w:t xml:space="preserve">Identify and investigate issues and inconsistencies and consult </w:t>
            </w:r>
            <w:r w:rsidRPr="00022C57">
              <w:rPr>
                <w:rStyle w:val="BoldandItalics"/>
              </w:rPr>
              <w:t>stakeholders</w:t>
            </w:r>
            <w:r w:rsidRPr="00022C57">
              <w:t>.</w:t>
            </w:r>
          </w:p>
          <w:p w:rsidR="00000000" w:rsidP="00022C57">
            <w:pPr>
              <w:pStyle w:val="List"/>
              <w:rPr>
                <w:lang w:val="en-NZ"/>
              </w:rPr>
            </w:pPr>
            <w:r w:rsidRPr="00022C57">
              <w:t>1.4</w:t>
            </w:r>
            <w:r w:rsidRPr="00022C57">
              <w:tab/>
              <w:t>Report investigation results and recommendations according to organisational requirements.</w:t>
            </w:r>
          </w:p>
        </w:tc>
      </w:tr>
      <w:tr w:rsidTr="00E800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22C57">
            <w:pPr>
              <w:pStyle w:val="List"/>
              <w:rPr>
                <w:lang w:val="en-NZ"/>
              </w:rPr>
            </w:pPr>
            <w:r w:rsidRPr="00022C57">
              <w:rPr>
                <w:rStyle w:val="SpecialBold"/>
              </w:rPr>
              <w:t>2</w:t>
            </w:r>
            <w:r w:rsidRPr="00022C57">
              <w:tab/>
            </w:r>
            <w:r w:rsidRPr="00022C57">
              <w:rPr>
                <w:rStyle w:val="SpecialBold"/>
              </w:rPr>
              <w:t>Monitor treatment and dispos</w:t>
            </w:r>
            <w:r w:rsidRPr="00022C57">
              <w:rPr>
                <w:rStyle w:val="SpecialBold"/>
              </w:rPr>
              <w:t>al</w:t>
            </w:r>
            <w:r w:rsidRPr="00022C57">
              <w:t>.</w:t>
            </w:r>
          </w:p>
        </w:tc>
        <w:tc>
          <w:tcPr>
            <w:tcW w:w="6743" w:type="dxa"/>
            <w:tcBorders>
              <w:top w:val="nil"/>
              <w:left w:val="nil"/>
              <w:bottom w:val="nil"/>
              <w:right w:val="nil"/>
            </w:tcBorders>
            <w:tcMar>
              <w:top w:w="0" w:type="dxa"/>
              <w:left w:w="62" w:type="dxa"/>
              <w:bottom w:w="0" w:type="dxa"/>
              <w:right w:w="62" w:type="dxa"/>
            </w:tcMar>
          </w:tcPr>
          <w:p w:rsidR="00000000" w:rsidRPr="00022C57" w:rsidP="00022C57">
            <w:pPr>
              <w:pStyle w:val="List"/>
            </w:pPr>
            <w:r w:rsidRPr="00022C57">
              <w:t>2.1</w:t>
            </w:r>
            <w:r w:rsidRPr="00022C57">
              <w:tab/>
              <w:t xml:space="preserve">Monitor trade waste </w:t>
            </w:r>
            <w:r w:rsidRPr="00022C57">
              <w:rPr>
                <w:rStyle w:val="BoldandItalics"/>
              </w:rPr>
              <w:t>treatment and disposal</w:t>
            </w:r>
            <w:r w:rsidRPr="00022C57">
              <w:t xml:space="preserve"> according to the trade waste management policies and plans and organisational requirements.</w:t>
            </w:r>
          </w:p>
          <w:p w:rsidR="00000000" w:rsidP="00022C57">
            <w:pPr>
              <w:pStyle w:val="List"/>
              <w:rPr>
                <w:lang w:val="en-NZ"/>
              </w:rPr>
            </w:pPr>
            <w:r w:rsidRPr="00022C57">
              <w:t>2.2</w:t>
            </w:r>
            <w:r w:rsidRPr="00022C57">
              <w:tab/>
              <w:t>Identify and investigate breaches of the trade waste discharge provisions and approvals and report results an</w:t>
            </w:r>
            <w:r w:rsidRPr="00022C57">
              <w:t xml:space="preserve">d/or recommendations according to </w:t>
            </w:r>
            <w:r w:rsidRPr="00022C57">
              <w:rPr>
                <w:rStyle w:val="BoldandItalics"/>
              </w:rPr>
              <w:t>organisational requirements</w:t>
            </w:r>
            <w:r w:rsidRPr="00022C57">
              <w:t>.</w:t>
            </w:r>
          </w:p>
        </w:tc>
      </w:tr>
      <w:tr w:rsidTr="00E800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022C57">
            <w:pPr>
              <w:pStyle w:val="List"/>
              <w:rPr>
                <w:lang w:val="en-NZ"/>
              </w:rPr>
            </w:pPr>
            <w:r w:rsidRPr="00022C57">
              <w:rPr>
                <w:rStyle w:val="SpecialBold"/>
              </w:rPr>
              <w:t>3</w:t>
            </w:r>
            <w:r w:rsidRPr="00022C57">
              <w:tab/>
            </w:r>
            <w:r w:rsidRPr="00022C57">
              <w:rPr>
                <w:rStyle w:val="SpecialBold"/>
              </w:rPr>
              <w:t>Maintain trade waste records</w:t>
            </w:r>
            <w:r w:rsidRPr="00022C57">
              <w:t>.</w:t>
            </w:r>
          </w:p>
        </w:tc>
        <w:tc>
          <w:tcPr>
            <w:tcW w:w="6743" w:type="dxa"/>
            <w:tcBorders>
              <w:top w:val="nil"/>
              <w:left w:val="nil"/>
              <w:bottom w:val="nil"/>
              <w:right w:val="nil"/>
            </w:tcBorders>
            <w:tcMar>
              <w:top w:w="0" w:type="dxa"/>
              <w:left w:w="62" w:type="dxa"/>
              <w:bottom w:w="0" w:type="dxa"/>
              <w:right w:w="62" w:type="dxa"/>
            </w:tcMar>
          </w:tcPr>
          <w:p w:rsidR="00000000" w:rsidRPr="00022C57" w:rsidP="00022C57">
            <w:pPr>
              <w:pStyle w:val="List"/>
            </w:pPr>
            <w:r w:rsidRPr="00022C57">
              <w:t>3.1</w:t>
            </w:r>
            <w:r w:rsidRPr="00022C57">
              <w:tab/>
              <w:t>Accurately and legibly complete trade waste management records for the work area and store according to organisational and statutory requirements.</w:t>
            </w:r>
          </w:p>
          <w:p w:rsidR="00000000" w:rsidRPr="00022C57" w:rsidP="00022C57">
            <w:pPr>
              <w:pStyle w:val="List"/>
            </w:pPr>
            <w:r w:rsidRPr="00022C57">
              <w:t>3.2</w:t>
            </w:r>
            <w:r w:rsidRPr="00022C57">
              <w:tab/>
              <w:t>Revie</w:t>
            </w:r>
            <w:r w:rsidRPr="00022C57">
              <w:t xml:space="preserve">w trade waste records according to organisational requirements. </w:t>
            </w:r>
          </w:p>
        </w:tc>
      </w:tr>
    </w:tbl>
    <w:p w:rsidR="00000000" w:rsidRPr="00022C57" w:rsidP="00022C57">
      <w:pPr>
        <w:pStyle w:val="BodyText"/>
      </w:pPr>
    </w:p>
    <w:p w:rsidR="00000000" w:rsidRPr="00022C57" w:rsidP="00022C57">
      <w:pPr>
        <w:pStyle w:val="AllowPageBreak"/>
      </w:pPr>
    </w:p>
    <w:p w:rsidR="00000000" w:rsidRPr="00022C57" w:rsidP="00022C57">
      <w:pPr>
        <w:pStyle w:val="Heading1"/>
      </w:pPr>
      <w:bookmarkStart w:id="9" w:name="O_406493"/>
      <w:bookmarkEnd w:id="9"/>
      <w:r w:rsidRPr="00022C57">
        <w:t>Required Skills and Knowledge</w:t>
      </w:r>
    </w:p>
    <w:tbl>
      <w:tblPr>
        <w:tblW w:w="0" w:type="auto"/>
        <w:tblLayout w:type="fixed"/>
        <w:tblCellMar>
          <w:left w:w="62" w:type="dxa"/>
          <w:right w:w="62" w:type="dxa"/>
        </w:tblCellMar>
        <w:tblLook w:val="0000"/>
      </w:tblPr>
      <w:tblGrid>
        <w:gridCol w:w="8997"/>
      </w:tblGrid>
      <w:tr w:rsidTr="00E800F6">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t>This describes the essential skills and knowledge and their level, required for this unit.</w:t>
            </w:r>
          </w:p>
        </w:tc>
      </w:tr>
      <w:tr w:rsidTr="00E800F6">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RPr="00022C57" w:rsidP="00022C57">
            <w:pPr>
              <w:pStyle w:val="BodyText"/>
            </w:pPr>
            <w:r w:rsidRPr="00022C57">
              <w:rPr>
                <w:rStyle w:val="SpecialBold"/>
              </w:rPr>
              <w:t>Required skills</w:t>
            </w:r>
            <w:r w:rsidRPr="00022C57">
              <w:t>:</w:t>
            </w:r>
          </w:p>
          <w:p w:rsidR="00000000" w:rsidRPr="00022C57" w:rsidP="00022C57">
            <w:pPr>
              <w:pStyle w:val="ListBullet"/>
            </w:pPr>
            <w:r w:rsidRPr="00022C57">
              <w:t>use appropriate wastewater sampling and preservation techniques for onsite and laboratory testing</w:t>
            </w:r>
          </w:p>
          <w:p w:rsidR="00000000" w:rsidRPr="00022C57" w:rsidP="00022C57">
            <w:pPr>
              <w:pStyle w:val="ListBullet"/>
            </w:pPr>
            <w:r w:rsidRPr="00022C57">
              <w:t>interpret and apply legislation and policies applicable to trade waste</w:t>
            </w:r>
          </w:p>
          <w:p w:rsidR="00000000" w:rsidRPr="00022C57" w:rsidP="00022C57">
            <w:pPr>
              <w:pStyle w:val="ListBullet"/>
            </w:pPr>
            <w:r w:rsidRPr="00022C57">
              <w:t>develop monitoring plans and coordinate measuring, testing and sampling activities</w:t>
            </w:r>
          </w:p>
          <w:p w:rsidR="00000000" w:rsidRPr="00022C57" w:rsidP="00022C57">
            <w:pPr>
              <w:pStyle w:val="ListBullet"/>
            </w:pPr>
            <w:r w:rsidRPr="00022C57">
              <w:t>inte</w:t>
            </w:r>
            <w:r w:rsidRPr="00022C57">
              <w:t>rpret and evaluate sample analysis data</w:t>
            </w:r>
          </w:p>
          <w:p w:rsidR="00000000" w:rsidRPr="00022C57" w:rsidP="00022C57">
            <w:pPr>
              <w:pStyle w:val="ListBullet"/>
            </w:pPr>
            <w:r w:rsidRPr="00022C57">
              <w:t>assess risks and hazards associated with sampling activities</w:t>
            </w:r>
          </w:p>
          <w:p w:rsidR="00000000" w:rsidRPr="00022C57" w:rsidP="00022C57">
            <w:pPr>
              <w:pStyle w:val="ListBullet"/>
            </w:pPr>
            <w:r w:rsidRPr="00022C57">
              <w:t>monitor process inputs and outputs</w:t>
            </w:r>
          </w:p>
          <w:p w:rsidR="00000000" w:rsidRPr="00022C57" w:rsidP="00022C57">
            <w:pPr>
              <w:pStyle w:val="ListBullet"/>
            </w:pPr>
            <w:r w:rsidRPr="00022C57">
              <w:t>plan and conduct investigations</w:t>
            </w:r>
          </w:p>
          <w:p w:rsidR="00000000" w:rsidRPr="00022C57" w:rsidP="00022C57">
            <w:pPr>
              <w:pStyle w:val="ListBullet"/>
            </w:pPr>
            <w:r w:rsidRPr="00022C57">
              <w:t>assess environmental impact using ISO 14001 where appropriate</w:t>
            </w:r>
          </w:p>
          <w:p w:rsidR="00000000" w:rsidRPr="00022C57" w:rsidP="00022C57">
            <w:pPr>
              <w:pStyle w:val="ListBullet"/>
            </w:pPr>
            <w:r w:rsidRPr="00022C57">
              <w:t>assess waste treatment met</w:t>
            </w:r>
            <w:r w:rsidRPr="00022C57">
              <w:t>hods, processes, plant and equipment</w:t>
            </w:r>
          </w:p>
          <w:p w:rsidR="00000000" w:rsidRPr="00022C57" w:rsidP="00022C57">
            <w:pPr>
              <w:pStyle w:val="ListBullet"/>
            </w:pPr>
            <w:r w:rsidRPr="00022C57">
              <w:t xml:space="preserve">negotiate and communicate </w:t>
            </w:r>
          </w:p>
          <w:p w:rsidR="00000000" w:rsidP="00022C57">
            <w:pPr>
              <w:pStyle w:val="ListBullet"/>
              <w:rPr>
                <w:lang w:val="en-NZ"/>
              </w:rPr>
            </w:pPr>
            <w:r w:rsidRPr="00022C57">
              <w:t>use appropriate personal protective equipment for protection against physical, chemical and biological hazards</w:t>
            </w:r>
          </w:p>
        </w:tc>
      </w:tr>
      <w:tr w:rsidTr="00E800F6">
        <w:tblPrEx>
          <w:tblW w:w="0" w:type="auto"/>
          <w:tblLayout w:type="fixed"/>
          <w:tblCellMar>
            <w:left w:w="62" w:type="dxa"/>
            <w:right w:w="62" w:type="dxa"/>
          </w:tblCellMar>
          <w:tblLook w:val="0000"/>
        </w:tblPrEx>
        <w:tc>
          <w:tcPr>
            <w:tcW w:w="8997" w:type="dxa"/>
            <w:tcBorders>
              <w:top w:val="nil"/>
              <w:left w:val="nil"/>
              <w:bottom w:val="nil"/>
              <w:right w:val="nil"/>
            </w:tcBorders>
            <w:tcMar>
              <w:top w:w="0" w:type="dxa"/>
              <w:left w:w="62" w:type="dxa"/>
              <w:bottom w:w="0" w:type="dxa"/>
              <w:right w:w="62" w:type="dxa"/>
            </w:tcMar>
          </w:tcPr>
          <w:p w:rsidR="00000000" w:rsidRPr="00022C57" w:rsidP="00022C57">
            <w:pPr>
              <w:pStyle w:val="BodyText"/>
            </w:pPr>
            <w:r w:rsidRPr="00022C57">
              <w:rPr>
                <w:rStyle w:val="SpecialBold"/>
              </w:rPr>
              <w:t>Required knowledge</w:t>
            </w:r>
            <w:r w:rsidRPr="00022C57">
              <w:t>:</w:t>
            </w:r>
          </w:p>
          <w:p w:rsidR="00000000" w:rsidRPr="00022C57" w:rsidP="00022C57">
            <w:pPr>
              <w:pStyle w:val="ListBullet"/>
            </w:pPr>
            <w:r w:rsidRPr="00022C57">
              <w:t>relevant legislation</w:t>
            </w:r>
          </w:p>
          <w:p w:rsidR="00000000" w:rsidRPr="00022C57" w:rsidP="00022C57">
            <w:pPr>
              <w:pStyle w:val="ListBullet"/>
            </w:pPr>
            <w:r w:rsidRPr="00022C57">
              <w:t>relevant enterprise policies for trade waste management</w:t>
            </w:r>
          </w:p>
          <w:p w:rsidR="00000000" w:rsidRPr="00022C57" w:rsidP="00022C57">
            <w:pPr>
              <w:pStyle w:val="ListBullet"/>
            </w:pPr>
            <w:r w:rsidRPr="00022C57">
              <w:t>water quality parameters of significance to the wastewater system</w:t>
            </w:r>
          </w:p>
          <w:p w:rsidR="00000000" w:rsidRPr="00022C57" w:rsidP="00022C57">
            <w:pPr>
              <w:pStyle w:val="ListBullet"/>
            </w:pPr>
            <w:r w:rsidRPr="00022C57">
              <w:t>personal protection and safety precautions for wastewater sampling, including the requirements for relevant inoculations such as:</w:t>
            </w:r>
          </w:p>
          <w:p w:rsidR="00000000" w:rsidRPr="00022C57" w:rsidP="00022C57">
            <w:pPr>
              <w:pStyle w:val="ListBullet2"/>
            </w:pPr>
            <w:r w:rsidRPr="00022C57">
              <w:t>Q F</w:t>
            </w:r>
            <w:r w:rsidRPr="00022C57">
              <w:t>ever</w:t>
            </w:r>
          </w:p>
          <w:p w:rsidR="00000000" w:rsidRPr="00022C57" w:rsidP="00022C57">
            <w:pPr>
              <w:pStyle w:val="ListBullet2"/>
            </w:pPr>
            <w:r w:rsidRPr="00022C57">
              <w:t>Hepatitis A and B</w:t>
            </w:r>
          </w:p>
          <w:p w:rsidR="00000000" w:rsidRPr="00022C57" w:rsidP="00022C57">
            <w:pPr>
              <w:pStyle w:val="ListBullet2"/>
            </w:pPr>
            <w:r w:rsidRPr="00022C57">
              <w:t>Polio</w:t>
            </w:r>
          </w:p>
          <w:p w:rsidR="00000000" w:rsidRPr="00022C57" w:rsidP="00022C57">
            <w:pPr>
              <w:pStyle w:val="ListBullet2"/>
            </w:pPr>
            <w:r w:rsidRPr="00022C57">
              <w:t>Tetanus</w:t>
            </w:r>
          </w:p>
          <w:p w:rsidR="00000000" w:rsidRPr="00022C57" w:rsidP="00022C57">
            <w:pPr>
              <w:pStyle w:val="ListBullet2"/>
            </w:pPr>
            <w:r w:rsidRPr="00022C57">
              <w:t>Diphtheria</w:t>
            </w:r>
          </w:p>
          <w:p w:rsidR="00000000" w:rsidRPr="00022C57" w:rsidP="00022C57">
            <w:pPr>
              <w:pStyle w:val="ListBullet"/>
            </w:pPr>
            <w:r w:rsidRPr="00022C57">
              <w:t>standard industrial waste treatment methods, processes and procedures for retail commercial and light industrial organisations</w:t>
            </w:r>
          </w:p>
          <w:p w:rsidR="00000000" w:rsidRPr="00022C57" w:rsidP="00022C57">
            <w:pPr>
              <w:pStyle w:val="ListBullet"/>
            </w:pPr>
            <w:r w:rsidRPr="00022C57">
              <w:t>basic hydraulics, chemistry and/or equivalent science</w:t>
            </w:r>
          </w:p>
          <w:p w:rsidR="00000000" w:rsidRPr="00022C57" w:rsidP="00022C57">
            <w:pPr>
              <w:pStyle w:val="ListBullet"/>
            </w:pPr>
            <w:r w:rsidRPr="00022C57">
              <w:t>investigation procedures</w:t>
            </w:r>
          </w:p>
          <w:p w:rsidR="00000000" w:rsidRPr="00022C57" w:rsidP="00022C57">
            <w:pPr>
              <w:pStyle w:val="ListBullet"/>
            </w:pPr>
            <w:r w:rsidRPr="00022C57">
              <w:t>ra</w:t>
            </w:r>
            <w:r w:rsidRPr="00022C57">
              <w:t>nge of appropriate measuring, testing and sampling procedures</w:t>
            </w:r>
          </w:p>
          <w:p w:rsidR="00000000" w:rsidRPr="00022C57" w:rsidP="00022C57">
            <w:pPr>
              <w:pStyle w:val="ListBullet"/>
            </w:pPr>
            <w:r w:rsidRPr="00022C57">
              <w:t>customer expectations and requirements</w:t>
            </w:r>
          </w:p>
          <w:p w:rsidR="00000000" w:rsidRPr="00022C57" w:rsidP="00022C57">
            <w:pPr>
              <w:pStyle w:val="ListBullet"/>
            </w:pPr>
            <w:r w:rsidRPr="00022C57">
              <w:t>occupational health and safety legislation</w:t>
            </w:r>
          </w:p>
        </w:tc>
      </w:tr>
    </w:tbl>
    <w:p w:rsidR="00000000" w:rsidRPr="00022C57" w:rsidP="00022C57">
      <w:pPr>
        <w:pStyle w:val="BodyText"/>
      </w:pPr>
    </w:p>
    <w:p w:rsidR="00000000" w:rsidRPr="00022C57" w:rsidP="00022C57">
      <w:pPr>
        <w:pStyle w:val="AllowPageBreak"/>
      </w:pPr>
    </w:p>
    <w:p w:rsidR="00000000" w:rsidRPr="00022C57" w:rsidP="00022C57">
      <w:pPr>
        <w:pStyle w:val="Heading1"/>
      </w:pPr>
      <w:bookmarkStart w:id="10" w:name="O_406499"/>
      <w:bookmarkEnd w:id="10"/>
      <w:r w:rsidRPr="00022C57">
        <w:t>Evidence Guide</w:t>
      </w:r>
    </w:p>
    <w:tbl>
      <w:tblPr>
        <w:tblW w:w="0" w:type="auto"/>
        <w:tblLayout w:type="fixed"/>
        <w:tblCellMar>
          <w:left w:w="62" w:type="dxa"/>
          <w:right w:w="62" w:type="dxa"/>
        </w:tblCellMar>
        <w:tblLook w:val="0000"/>
      </w:tblPr>
      <w:tblGrid>
        <w:gridCol w:w="2968"/>
        <w:gridCol w:w="6099"/>
      </w:tblGrid>
      <w:tr w:rsidTr="00E800F6">
        <w:tblPrEx>
          <w:tblW w:w="0" w:type="auto"/>
          <w:tblLayout w:type="fixed"/>
          <w:tblCellMar>
            <w:left w:w="62" w:type="dxa"/>
            <w:right w:w="62" w:type="dxa"/>
          </w:tblCellMar>
          <w:tblLook w:val="0000"/>
        </w:tblPrEx>
        <w:tc>
          <w:tcPr>
            <w:tcW w:w="9067" w:type="dxa"/>
            <w:gridSpan w:val="2"/>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t>The evidence guide provides advice on assessment and must be read in conjunction with the Performance Criteria, Required Skills and Knowledge, the Range Statement and the Assessment Guidelines for the Training Package.</w:t>
            </w:r>
          </w:p>
        </w:tc>
      </w:tr>
      <w:tr w:rsidTr="00E800F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rPr>
                <w:rStyle w:val="SpecialBold"/>
              </w:rPr>
              <w:t>Critical aspects for assessment and</w:t>
            </w:r>
            <w:r w:rsidRPr="00022C57">
              <w:rPr>
                <w:rStyle w:val="SpecialBold"/>
              </w:rPr>
              <w:t xml:space="preserve"> evidence required to demonstrate competency in this unit</w:t>
            </w:r>
          </w:p>
        </w:tc>
        <w:tc>
          <w:tcPr>
            <w:tcW w:w="6099" w:type="dxa"/>
            <w:tcBorders>
              <w:top w:val="nil"/>
              <w:left w:val="nil"/>
              <w:bottom w:val="nil"/>
              <w:right w:val="nil"/>
            </w:tcBorders>
            <w:tcMar>
              <w:top w:w="0" w:type="dxa"/>
              <w:left w:w="62" w:type="dxa"/>
              <w:bottom w:w="0" w:type="dxa"/>
              <w:right w:w="62" w:type="dxa"/>
            </w:tcMar>
          </w:tcPr>
          <w:p w:rsidR="00000000" w:rsidRPr="00022C57" w:rsidP="00022C57">
            <w:pPr>
              <w:pStyle w:val="BodyText"/>
            </w:pPr>
            <w:r w:rsidRPr="00022C57">
              <w:t>The candidate should demonstrate the ability to coordinate and implement trade waste monitoring plans, including:</w:t>
            </w:r>
          </w:p>
          <w:p w:rsidR="00000000" w:rsidRPr="00022C57" w:rsidP="00022C57">
            <w:pPr>
              <w:pStyle w:val="ListBullet"/>
            </w:pPr>
            <w:r w:rsidRPr="00022C57">
              <w:t>implementing monitoring and testing programs</w:t>
            </w:r>
          </w:p>
          <w:p w:rsidR="00000000" w:rsidRPr="00022C57" w:rsidP="00022C57">
            <w:pPr>
              <w:pStyle w:val="ListBullet"/>
            </w:pPr>
            <w:r w:rsidRPr="00022C57">
              <w:t>analysing test results</w:t>
            </w:r>
          </w:p>
          <w:p w:rsidR="00000000" w:rsidRPr="00022C57" w:rsidP="00022C57">
            <w:pPr>
              <w:pStyle w:val="ListBullet"/>
            </w:pPr>
            <w:r w:rsidRPr="00022C57">
              <w:t>investigating pr</w:t>
            </w:r>
            <w:r w:rsidRPr="00022C57">
              <w:t>oblems on-site</w:t>
            </w:r>
          </w:p>
          <w:p w:rsidR="00000000" w:rsidRPr="00022C57" w:rsidP="00022C57">
            <w:pPr>
              <w:pStyle w:val="ListBullet"/>
            </w:pPr>
            <w:r w:rsidRPr="00022C57">
              <w:t>monitoring treatment and disposal provisions on-site</w:t>
            </w:r>
          </w:p>
          <w:p w:rsidR="00000000" w:rsidP="00022C57">
            <w:pPr>
              <w:pStyle w:val="ListBullet"/>
              <w:rPr>
                <w:lang w:val="en-NZ"/>
              </w:rPr>
            </w:pPr>
            <w:r w:rsidRPr="00022C57">
              <w:t>recording and reporting data</w:t>
            </w:r>
          </w:p>
        </w:tc>
      </w:tr>
      <w:tr w:rsidTr="00E800F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rPr>
                <w:rStyle w:val="SpecialBold"/>
              </w:rPr>
              <w:t>Context of and specific resources for assessment</w:t>
            </w:r>
          </w:p>
        </w:tc>
        <w:tc>
          <w:tcPr>
            <w:tcW w:w="6099" w:type="dxa"/>
            <w:tcBorders>
              <w:top w:val="nil"/>
              <w:left w:val="nil"/>
              <w:bottom w:val="nil"/>
              <w:right w:val="nil"/>
            </w:tcBorders>
            <w:tcMar>
              <w:top w:w="0" w:type="dxa"/>
              <w:left w:w="62" w:type="dxa"/>
              <w:bottom w:w="0" w:type="dxa"/>
              <w:right w:w="62" w:type="dxa"/>
            </w:tcMar>
          </w:tcPr>
          <w:p w:rsidR="00000000" w:rsidRPr="00022C57" w:rsidP="00022C57">
            <w:pPr>
              <w:pStyle w:val="BodyText"/>
            </w:pPr>
            <w:r w:rsidRPr="00022C57">
              <w:t xml:space="preserve">Access to the workplace and resources including: </w:t>
            </w:r>
          </w:p>
          <w:p w:rsidR="00000000" w:rsidRPr="00022C57" w:rsidP="00022C57">
            <w:pPr>
              <w:pStyle w:val="ListBullet"/>
            </w:pPr>
            <w:r w:rsidRPr="00022C57">
              <w:t>documentation that should normally be available in a water industry organisation</w:t>
            </w:r>
          </w:p>
          <w:p w:rsidR="00000000" w:rsidRPr="00022C57" w:rsidP="00022C57">
            <w:pPr>
              <w:pStyle w:val="ListBullet"/>
            </w:pPr>
            <w:r w:rsidRPr="00022C57">
              <w:t>relevant codes, standards, and government regulations</w:t>
            </w:r>
          </w:p>
          <w:p w:rsidR="00000000" w:rsidRPr="00022C57" w:rsidP="00022C57">
            <w:pPr>
              <w:pStyle w:val="BodyText"/>
            </w:pPr>
            <w:r w:rsidRPr="00022C57">
              <w:t>Where applicable, physical resources should include equipment modified for people with disabilities.</w:t>
            </w:r>
          </w:p>
          <w:p w:rsidR="00000000" w:rsidRPr="00022C57" w:rsidP="00022C57">
            <w:pPr>
              <w:pStyle w:val="BodyText"/>
            </w:pPr>
            <w:r w:rsidRPr="00022C57">
              <w:t>Access must be provi</w:t>
            </w:r>
            <w:r w:rsidRPr="00022C57">
              <w:t>ded to appropriate learning and/or assessment support when required.</w:t>
            </w:r>
          </w:p>
          <w:p w:rsidR="00000000" w:rsidRPr="00022C57" w:rsidP="00022C57">
            <w:pPr>
              <w:pStyle w:val="BodyText"/>
            </w:pPr>
            <w:r w:rsidRPr="00022C57">
              <w:t xml:space="preserve">Assessment processes and techniques must be culturally appropriate, and appropriate to the language and literacy capacity of the candidate and the work being performed. </w:t>
            </w:r>
          </w:p>
          <w:p w:rsidR="00000000" w:rsidRPr="00022C57" w:rsidP="00022C57">
            <w:pPr>
              <w:pStyle w:val="BodyText"/>
            </w:pPr>
            <w:r w:rsidRPr="00022C57">
              <w:t>Validity and suff</w:t>
            </w:r>
            <w:r w:rsidRPr="00022C57">
              <w:t>iciency of evidence requires that:</w:t>
            </w:r>
          </w:p>
          <w:p w:rsidR="00000000" w:rsidRPr="00022C57" w:rsidP="00022C57">
            <w:pPr>
              <w:pStyle w:val="ListBullet"/>
            </w:pPr>
            <w:r w:rsidRPr="00022C57">
              <w:t>competency will need to be demonstrated over a period of time reflecting the scope of the role and the practical requirements of the workplace</w:t>
            </w:r>
          </w:p>
          <w:p w:rsidR="00000000" w:rsidRPr="00022C57" w:rsidP="00022C57">
            <w:pPr>
              <w:pStyle w:val="ListBullet"/>
            </w:pPr>
            <w:r w:rsidRPr="00022C57">
              <w:t xml:space="preserve">where the assessment is part of a structured learning experience the evidence </w:t>
            </w:r>
            <w:r w:rsidRPr="00022C57">
              <w:t>collected must relate to a number of performances assessed at different points in time and separated by further learning and practice</w:t>
            </w:r>
          </w:p>
          <w:p w:rsidR="00000000" w:rsidRPr="00022C57" w:rsidP="00022C57">
            <w:pPr>
              <w:pStyle w:val="ListBullet"/>
            </w:pPr>
            <w:r w:rsidRPr="00022C57">
              <w:t>a decision of competence should only be made when the assessor has complete confidence in the person's competence over tim</w:t>
            </w:r>
            <w:r w:rsidRPr="00022C57">
              <w:t>e and in various contexts</w:t>
            </w:r>
          </w:p>
          <w:p w:rsidR="00000000" w:rsidRPr="00022C57" w:rsidP="00022C57">
            <w:pPr>
              <w:pStyle w:val="ListBullet"/>
            </w:pPr>
            <w:r w:rsidRPr="00022C57">
              <w:t>all assessment that is part of a structured learning experience must include a combination of direct, indirect and supplementary evidence</w:t>
            </w:r>
          </w:p>
          <w:p w:rsidR="00000000" w:rsidRPr="00022C57" w:rsidP="00022C57">
            <w:pPr>
              <w:pStyle w:val="ListBullet"/>
            </w:pPr>
            <w:r w:rsidRPr="00022C57">
              <w:t>where assessment is for the purpose of recognition (RCC/RPL), the evidence provided will nee</w:t>
            </w:r>
            <w:r w:rsidRPr="00022C57">
              <w:t>d to be authenticated and show that it represents competency demonstrated over a period of time</w:t>
            </w:r>
          </w:p>
          <w:p w:rsidR="00000000" w:rsidRPr="00022C57" w:rsidP="00022C57">
            <w:pPr>
              <w:pStyle w:val="ListBullet"/>
            </w:pPr>
            <w:r w:rsidRPr="00022C57">
              <w:t>assessment can be through simulated project-based activity and must include evidence relating to each of the elements in this unit</w:t>
            </w:r>
          </w:p>
          <w:p w:rsidR="00000000" w:rsidRPr="00022C57" w:rsidP="00022C57">
            <w:pPr>
              <w:pStyle w:val="BodyText"/>
            </w:pPr>
            <w:r w:rsidRPr="00022C57">
              <w:t xml:space="preserve">In all cases where practical </w:t>
            </w:r>
            <w:r w:rsidRPr="00022C57">
              <w:t>assessment is used it will be combined with targeted questioning to assess the underpinning knowledge. Questioning will be undertaken in a manner appropriate to the skill levels of the operator, any cultural issues that may affect responses to the question</w:t>
            </w:r>
            <w:r w:rsidRPr="00022C57">
              <w:t>s, and reflecting the requirements of the competency and the work being performed.</w:t>
            </w:r>
          </w:p>
        </w:tc>
      </w:tr>
    </w:tbl>
    <w:p w:rsidR="00000000" w:rsidRPr="00022C57" w:rsidP="00022C57">
      <w:pPr>
        <w:pStyle w:val="BodyText"/>
      </w:pPr>
    </w:p>
    <w:p w:rsidR="00000000" w:rsidRPr="00022C57" w:rsidP="00022C57">
      <w:pPr>
        <w:pStyle w:val="AllowPageBreak"/>
      </w:pPr>
    </w:p>
    <w:p w:rsidR="00000000" w:rsidRPr="00022C57" w:rsidP="00022C57">
      <w:pPr>
        <w:pStyle w:val="Heading1"/>
      </w:pPr>
      <w:bookmarkStart w:id="11" w:name="O_406494"/>
      <w:bookmarkEnd w:id="11"/>
      <w:r w:rsidRPr="00022C57">
        <w:t>Range Statement</w:t>
      </w:r>
    </w:p>
    <w:tbl>
      <w:tblPr>
        <w:tblW w:w="0" w:type="auto"/>
        <w:tblLayout w:type="fixed"/>
        <w:tblCellMar>
          <w:left w:w="62" w:type="dxa"/>
          <w:right w:w="62" w:type="dxa"/>
        </w:tblCellMar>
        <w:tblLook w:val="0000"/>
      </w:tblPr>
      <w:tblGrid>
        <w:gridCol w:w="2968"/>
        <w:gridCol w:w="6015"/>
      </w:tblGrid>
      <w:tr w:rsidTr="00E800F6">
        <w:tblPrEx>
          <w:tblW w:w="0" w:type="auto"/>
          <w:tblLayout w:type="fixed"/>
          <w:tblCellMar>
            <w:left w:w="62" w:type="dxa"/>
            <w:right w:w="62" w:type="dxa"/>
          </w:tblCellMar>
          <w:tblLook w:val="0000"/>
        </w:tblPrEx>
        <w:tc>
          <w:tcPr>
            <w:tcW w:w="8983" w:type="dxa"/>
            <w:gridSpan w:val="2"/>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t xml:space="preserve">The range statement relates to the unit of competency as a whole. It allows for different work environments and situations that may affect performance. </w:t>
            </w:r>
            <w:r w:rsidRPr="00022C57">
              <w:rPr>
                <w:rStyle w:val="BoldandItalics"/>
              </w:rPr>
              <w:t>Bold italicised</w:t>
            </w:r>
            <w:r w:rsidRPr="00022C57">
              <w:t xml:space="preserve"> wording, if used in the Performance Criteria, is detailed below. Add any essential opera</w:t>
            </w:r>
            <w:r w:rsidRPr="00022C57">
              <w:t>ting conditions that may be present with training and assessment depending on the work situation, needs if the candidate, accessibility of the item, and local industry and regional contexts.</w:t>
            </w:r>
          </w:p>
        </w:tc>
      </w:tr>
      <w:tr w:rsidTr="00E800F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rPr>
                <w:rStyle w:val="BoldandItalics"/>
              </w:rPr>
              <w:t>Monitoring and testing programs</w:t>
            </w:r>
            <w:r w:rsidRPr="00022C57">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022C57" w:rsidP="00022C57">
            <w:pPr>
              <w:pStyle w:val="ListBullet"/>
            </w:pPr>
            <w:r w:rsidRPr="00022C57">
              <w:t>inspections of tra</w:t>
            </w:r>
            <w:r w:rsidRPr="00022C57">
              <w:t>de waste sites, processes, treatment methods and equipment</w:t>
            </w:r>
          </w:p>
          <w:p w:rsidR="00000000" w:rsidRPr="00022C57" w:rsidP="00022C57">
            <w:pPr>
              <w:pStyle w:val="ListBullet"/>
            </w:pPr>
            <w:r w:rsidRPr="00022C57">
              <w:t>maintenance schedules and reporting</w:t>
            </w:r>
          </w:p>
          <w:p w:rsidR="00000000" w:rsidP="00022C57">
            <w:pPr>
              <w:pStyle w:val="ListBullet"/>
              <w:rPr>
                <w:lang w:val="en-NZ"/>
              </w:rPr>
            </w:pPr>
            <w:r w:rsidRPr="00022C57">
              <w:t>sampling and testing locations, techniques and frequencies</w:t>
            </w:r>
          </w:p>
        </w:tc>
      </w:tr>
      <w:tr w:rsidTr="00E800F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rPr>
                <w:rStyle w:val="BoldandItalics"/>
              </w:rPr>
              <w:t>Trade waste</w:t>
            </w:r>
            <w:r w:rsidRPr="00022C57">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022C57" w:rsidP="00022C57">
            <w:pPr>
              <w:pStyle w:val="ListBullet"/>
            </w:pPr>
            <w:r w:rsidRPr="00022C57">
              <w:t>the liquid waste generated by any:</w:t>
            </w:r>
          </w:p>
          <w:p w:rsidR="00000000" w:rsidRPr="00022C57" w:rsidP="00022C57">
            <w:pPr>
              <w:pStyle w:val="ListBullet2"/>
            </w:pPr>
            <w:r w:rsidRPr="00022C57">
              <w:t>industry</w:t>
            </w:r>
          </w:p>
          <w:p w:rsidR="00000000" w:rsidRPr="00022C57" w:rsidP="00022C57">
            <w:pPr>
              <w:pStyle w:val="ListBullet2"/>
            </w:pPr>
            <w:r w:rsidRPr="00022C57">
              <w:t>business</w:t>
            </w:r>
          </w:p>
          <w:p w:rsidR="00000000" w:rsidRPr="00022C57" w:rsidP="00022C57">
            <w:pPr>
              <w:pStyle w:val="ListBullet2"/>
            </w:pPr>
            <w:r w:rsidRPr="00022C57">
              <w:t>manufacturing process</w:t>
            </w:r>
          </w:p>
          <w:p w:rsidR="00000000" w:rsidRPr="00022C57" w:rsidP="00022C57">
            <w:pPr>
              <w:pStyle w:val="ListBullet2"/>
            </w:pPr>
            <w:r w:rsidRPr="00022C57">
              <w:t>community/public facilities</w:t>
            </w:r>
          </w:p>
          <w:p w:rsidR="00000000" w:rsidRPr="00022C57" w:rsidP="00022C57">
            <w:pPr>
              <w:pStyle w:val="ListBullet2"/>
            </w:pPr>
            <w:r w:rsidRPr="00022C57">
              <w:t>commercial activities</w:t>
            </w:r>
          </w:p>
          <w:p w:rsidR="00000000" w:rsidP="00022C57">
            <w:pPr>
              <w:pStyle w:val="ListBullet"/>
              <w:rPr>
                <w:lang w:val="en-NZ"/>
              </w:rPr>
            </w:pPr>
            <w:r w:rsidRPr="00022C57">
              <w:t>trade waste does not include domestic wastewater</w:t>
            </w:r>
          </w:p>
        </w:tc>
      </w:tr>
      <w:tr w:rsidTr="00E800F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rPr>
                <w:rStyle w:val="BoldandItalics"/>
              </w:rPr>
              <w:t>Trade waste policies and management plans</w:t>
            </w:r>
            <w:r w:rsidRPr="00022C57">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022C57" w:rsidP="00022C57">
            <w:pPr>
              <w:pStyle w:val="ListBullet"/>
            </w:pPr>
            <w:r w:rsidRPr="00022C57">
              <w:t>industrial waste generation, handling, treatment and disposal guides</w:t>
            </w:r>
          </w:p>
          <w:p w:rsidR="00000000" w:rsidRPr="00022C57" w:rsidP="00022C57">
            <w:pPr>
              <w:pStyle w:val="ListBullet"/>
            </w:pPr>
            <w:r w:rsidRPr="00022C57">
              <w:t xml:space="preserve">enterprise policies, procedures </w:t>
            </w:r>
            <w:r w:rsidRPr="00022C57">
              <w:t>and administrative framework procedures</w:t>
            </w:r>
          </w:p>
          <w:p w:rsidR="00000000" w:rsidRPr="00022C57" w:rsidP="00022C57">
            <w:pPr>
              <w:pStyle w:val="ListBullet"/>
            </w:pPr>
            <w:r w:rsidRPr="00022C57">
              <w:t>information on applicable trade waste laws or other requirements</w:t>
            </w:r>
          </w:p>
          <w:p w:rsidR="00000000" w:rsidRPr="00022C57" w:rsidP="00022C57">
            <w:pPr>
              <w:pStyle w:val="ListBullet"/>
            </w:pPr>
            <w:r w:rsidRPr="00022C57">
              <w:t>complaint records</w:t>
            </w:r>
          </w:p>
          <w:p w:rsidR="00000000" w:rsidRPr="00022C57" w:rsidP="00022C57">
            <w:pPr>
              <w:pStyle w:val="ListBullet"/>
            </w:pPr>
            <w:r w:rsidRPr="00022C57">
              <w:t>training records</w:t>
            </w:r>
          </w:p>
          <w:p w:rsidR="00000000" w:rsidRPr="00022C57" w:rsidP="00022C57">
            <w:pPr>
              <w:pStyle w:val="ListBullet"/>
            </w:pPr>
            <w:r w:rsidRPr="00022C57">
              <w:t>process information</w:t>
            </w:r>
          </w:p>
          <w:p w:rsidR="00000000" w:rsidRPr="00022C57" w:rsidP="00022C57">
            <w:pPr>
              <w:pStyle w:val="ListBullet"/>
            </w:pPr>
            <w:r w:rsidRPr="00022C57">
              <w:t xml:space="preserve">process operational logbooks </w:t>
            </w:r>
          </w:p>
          <w:p w:rsidR="00000000" w:rsidRPr="00022C57" w:rsidP="00022C57">
            <w:pPr>
              <w:pStyle w:val="ListBullet"/>
            </w:pPr>
            <w:r w:rsidRPr="00022C57">
              <w:t>inspection, maintenance and calibration records</w:t>
            </w:r>
          </w:p>
          <w:p w:rsidR="00000000" w:rsidRPr="00022C57" w:rsidP="00022C57">
            <w:pPr>
              <w:pStyle w:val="ListBullet"/>
            </w:pPr>
            <w:r w:rsidRPr="00022C57">
              <w:t>relevant contractor and supplier information</w:t>
            </w:r>
          </w:p>
          <w:p w:rsidR="00000000" w:rsidRPr="00022C57" w:rsidP="00022C57">
            <w:pPr>
              <w:pStyle w:val="ListBullet"/>
            </w:pPr>
            <w:r w:rsidRPr="00022C57">
              <w:t>incident reports</w:t>
            </w:r>
          </w:p>
          <w:p w:rsidR="00000000" w:rsidRPr="00022C57" w:rsidP="00022C57">
            <w:pPr>
              <w:pStyle w:val="ListBullet"/>
            </w:pPr>
            <w:r w:rsidRPr="00022C57">
              <w:t>information on emergency preparedness and response</w:t>
            </w:r>
          </w:p>
          <w:p w:rsidR="00000000" w:rsidRPr="00022C57" w:rsidP="00022C57">
            <w:pPr>
              <w:pStyle w:val="ListBullet"/>
            </w:pPr>
            <w:r w:rsidRPr="00022C57">
              <w:t>records of significant trade waste impacts</w:t>
            </w:r>
          </w:p>
          <w:p w:rsidR="00000000" w:rsidRPr="00022C57" w:rsidP="00022C57">
            <w:pPr>
              <w:pStyle w:val="ListBullet"/>
            </w:pPr>
            <w:r w:rsidRPr="00022C57">
              <w:t>audit results</w:t>
            </w:r>
          </w:p>
          <w:p w:rsidR="00000000" w:rsidRPr="00022C57" w:rsidP="00022C57">
            <w:pPr>
              <w:pStyle w:val="ListBullet"/>
            </w:pPr>
            <w:r w:rsidRPr="00022C57">
              <w:t>management reviews</w:t>
            </w:r>
          </w:p>
          <w:p w:rsidR="00000000" w:rsidRPr="00022C57" w:rsidP="00022C57">
            <w:pPr>
              <w:pStyle w:val="ListBullet"/>
            </w:pPr>
            <w:r w:rsidRPr="00022C57">
              <w:t xml:space="preserve">trade waste charging policy </w:t>
            </w:r>
          </w:p>
          <w:p w:rsidR="00000000" w:rsidRPr="00022C57" w:rsidP="00022C57">
            <w:pPr>
              <w:pStyle w:val="ListBullet"/>
            </w:pPr>
            <w:r w:rsidRPr="00022C57">
              <w:t>industrial trade waste generators' reg</w:t>
            </w:r>
            <w:r w:rsidRPr="00022C57">
              <w:t>ister</w:t>
            </w:r>
          </w:p>
          <w:p w:rsidR="00000000" w:rsidRPr="00022C57" w:rsidP="00022C57">
            <w:pPr>
              <w:pStyle w:val="ListBullet"/>
            </w:pPr>
            <w:r w:rsidRPr="00022C57">
              <w:t>environmental factors, including:</w:t>
            </w:r>
          </w:p>
          <w:p w:rsidR="00000000" w:rsidRPr="00022C57" w:rsidP="00022C57">
            <w:pPr>
              <w:pStyle w:val="ListBullet2"/>
            </w:pPr>
            <w:r w:rsidRPr="00022C57">
              <w:t>disposal options</w:t>
            </w:r>
          </w:p>
          <w:p w:rsidR="00000000" w:rsidRPr="00022C57" w:rsidP="00022C57">
            <w:pPr>
              <w:pStyle w:val="ListBullet2"/>
            </w:pPr>
            <w:r w:rsidRPr="00022C57">
              <w:t>sensitivity of the receiving environment</w:t>
            </w:r>
          </w:p>
          <w:p w:rsidR="00000000" w:rsidRPr="00022C57" w:rsidP="00022C57">
            <w:pPr>
              <w:pStyle w:val="ListBullet2"/>
            </w:pPr>
            <w:r w:rsidRPr="00022C57">
              <w:t>persistency and toxicity of the substances</w:t>
            </w:r>
          </w:p>
          <w:p w:rsidR="00000000" w:rsidRPr="00022C57" w:rsidP="00022C57">
            <w:pPr>
              <w:pStyle w:val="ListBullet2"/>
            </w:pPr>
            <w:r w:rsidRPr="00022C57">
              <w:t>hydraulic loads</w:t>
            </w:r>
          </w:p>
          <w:p w:rsidR="00000000" w:rsidRPr="00022C57" w:rsidP="00022C57">
            <w:pPr>
              <w:pStyle w:val="ListBullet2"/>
            </w:pPr>
            <w:r w:rsidRPr="00022C57">
              <w:t>temperature</w:t>
            </w:r>
          </w:p>
          <w:p w:rsidR="00000000" w:rsidRPr="00022C57" w:rsidP="00022C57">
            <w:pPr>
              <w:pStyle w:val="ListBullet"/>
            </w:pPr>
            <w:r w:rsidRPr="00022C57">
              <w:t>environmental management plan</w:t>
            </w:r>
          </w:p>
          <w:p w:rsidR="00000000" w:rsidRPr="00022C57" w:rsidP="00022C57">
            <w:pPr>
              <w:pStyle w:val="ListBullet"/>
            </w:pPr>
            <w:r w:rsidRPr="00022C57">
              <w:t>effluent improvement plan</w:t>
            </w:r>
          </w:p>
          <w:p w:rsidR="00000000" w:rsidP="00022C57">
            <w:pPr>
              <w:pStyle w:val="ListBullet"/>
              <w:rPr>
                <w:lang w:val="en-NZ"/>
              </w:rPr>
            </w:pPr>
            <w:r w:rsidRPr="00022C57">
              <w:t>receiving treatment plant type and capacity</w:t>
            </w:r>
          </w:p>
        </w:tc>
      </w:tr>
      <w:tr w:rsidTr="00E800F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rPr>
                <w:rStyle w:val="BoldandItalics"/>
              </w:rPr>
              <w:t>Stakeholders</w:t>
            </w:r>
            <w:r w:rsidRPr="00022C57">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022C57" w:rsidP="00022C57">
            <w:pPr>
              <w:pStyle w:val="ListBullet"/>
            </w:pPr>
            <w:r w:rsidRPr="00022C57">
              <w:t>the enterprise</w:t>
            </w:r>
          </w:p>
          <w:p w:rsidR="00000000" w:rsidRPr="00022C57" w:rsidP="00022C57">
            <w:pPr>
              <w:pStyle w:val="ListBullet"/>
            </w:pPr>
            <w:r w:rsidRPr="00022C57">
              <w:t>all levels of government</w:t>
            </w:r>
          </w:p>
          <w:p w:rsidR="00000000" w:rsidRPr="00022C57" w:rsidP="00022C57">
            <w:pPr>
              <w:pStyle w:val="ListBullet"/>
            </w:pPr>
            <w:r w:rsidRPr="00022C57">
              <w:t>industry (e.g. extractive, manufacturing)</w:t>
            </w:r>
          </w:p>
          <w:p w:rsidR="00000000" w:rsidRPr="00022C57" w:rsidP="00022C57">
            <w:pPr>
              <w:pStyle w:val="ListBullet"/>
            </w:pPr>
            <w:r w:rsidRPr="00022C57">
              <w:t>community action groups</w:t>
            </w:r>
          </w:p>
          <w:p w:rsidR="00000000" w:rsidRPr="00022C57" w:rsidP="00022C57">
            <w:pPr>
              <w:pStyle w:val="ListBullet"/>
            </w:pPr>
            <w:r w:rsidRPr="00022C57">
              <w:t>conservation groups</w:t>
            </w:r>
          </w:p>
          <w:p w:rsidR="00000000" w:rsidRPr="00022C57" w:rsidP="00022C57">
            <w:pPr>
              <w:pStyle w:val="ListBullet"/>
            </w:pPr>
            <w:r w:rsidRPr="00022C57">
              <w:t>lobby groups</w:t>
            </w:r>
          </w:p>
          <w:p w:rsidR="00000000" w:rsidP="00022C57">
            <w:pPr>
              <w:pStyle w:val="ListBullet"/>
              <w:rPr>
                <w:lang w:val="en-NZ"/>
              </w:rPr>
            </w:pPr>
            <w:r w:rsidRPr="00022C57">
              <w:t>land care groups</w:t>
            </w:r>
          </w:p>
        </w:tc>
      </w:tr>
      <w:tr w:rsidTr="00E800F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rPr>
                <w:rStyle w:val="BoldandItalics"/>
              </w:rPr>
              <w:t>Treatment and disposal</w:t>
            </w:r>
            <w:r w:rsidRPr="00022C57">
              <w:t xml:space="preserve"> may include:</w:t>
            </w:r>
          </w:p>
        </w:tc>
        <w:tc>
          <w:tcPr>
            <w:tcW w:w="6015" w:type="dxa"/>
            <w:tcBorders>
              <w:top w:val="nil"/>
              <w:left w:val="nil"/>
              <w:bottom w:val="nil"/>
              <w:right w:val="nil"/>
            </w:tcBorders>
            <w:tcMar>
              <w:top w:w="0" w:type="dxa"/>
              <w:left w:w="62" w:type="dxa"/>
              <w:bottom w:w="0" w:type="dxa"/>
              <w:right w:w="62" w:type="dxa"/>
            </w:tcMar>
          </w:tcPr>
          <w:p w:rsidR="00000000" w:rsidRPr="00022C57" w:rsidP="00022C57">
            <w:pPr>
              <w:pStyle w:val="ListBullet"/>
            </w:pPr>
            <w:r w:rsidRPr="00022C57">
              <w:t>on-site storage and disposal and/or treatment</w:t>
            </w:r>
          </w:p>
          <w:p w:rsidR="00000000" w:rsidRPr="00022C57" w:rsidP="00022C57">
            <w:pPr>
              <w:pStyle w:val="ListBullet"/>
            </w:pPr>
            <w:r w:rsidRPr="00022C57">
              <w:t>off-site disposal</w:t>
            </w:r>
          </w:p>
          <w:p w:rsidR="00000000" w:rsidRPr="00022C57" w:rsidP="00022C57">
            <w:pPr>
              <w:pStyle w:val="ListBullet"/>
            </w:pPr>
            <w:r w:rsidRPr="00022C57">
              <w:t>discharge to the local authority sewerage system</w:t>
            </w:r>
          </w:p>
          <w:p w:rsidR="00000000" w:rsidRPr="00022C57" w:rsidP="00022C57">
            <w:pPr>
              <w:pStyle w:val="ListBullet"/>
            </w:pPr>
            <w:r w:rsidRPr="00022C57">
              <w:t>specifying and controlling discharge rates</w:t>
            </w:r>
          </w:p>
          <w:p w:rsidR="00000000" w:rsidRPr="00022C57" w:rsidP="00022C57">
            <w:pPr>
              <w:pStyle w:val="ListBullet"/>
            </w:pPr>
            <w:r w:rsidRPr="00022C57">
              <w:t>recycle and reuse options</w:t>
            </w:r>
          </w:p>
          <w:p w:rsidR="00000000" w:rsidP="00022C57">
            <w:pPr>
              <w:pStyle w:val="ListBullet"/>
              <w:rPr>
                <w:lang w:val="en-NZ"/>
              </w:rPr>
            </w:pPr>
            <w:r w:rsidRPr="00022C57">
              <w:t>on-site pre-treatment</w:t>
            </w:r>
          </w:p>
        </w:tc>
      </w:tr>
      <w:tr w:rsidTr="00E800F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022C57">
            <w:pPr>
              <w:pStyle w:val="BodyText"/>
              <w:rPr>
                <w:lang w:val="en-NZ"/>
              </w:rPr>
            </w:pPr>
            <w:r w:rsidRPr="00022C57">
              <w:rPr>
                <w:rStyle w:val="BoldandItalics"/>
              </w:rPr>
              <w:t>Organisational requirements</w:t>
            </w:r>
            <w:r w:rsidRPr="00022C57">
              <w:t xml:space="preserve"> may inclu</w:t>
            </w:r>
            <w:r w:rsidRPr="00022C57">
              <w:t xml:space="preserve">de: </w:t>
            </w:r>
          </w:p>
        </w:tc>
        <w:tc>
          <w:tcPr>
            <w:tcW w:w="6015" w:type="dxa"/>
            <w:tcBorders>
              <w:top w:val="nil"/>
              <w:left w:val="nil"/>
              <w:bottom w:val="nil"/>
              <w:right w:val="nil"/>
            </w:tcBorders>
            <w:tcMar>
              <w:top w:w="0" w:type="dxa"/>
              <w:left w:w="62" w:type="dxa"/>
              <w:bottom w:w="0" w:type="dxa"/>
              <w:right w:w="62" w:type="dxa"/>
            </w:tcMar>
          </w:tcPr>
          <w:p w:rsidR="00000000" w:rsidRPr="00022C57" w:rsidP="00022C57">
            <w:pPr>
              <w:pStyle w:val="ListBullet"/>
            </w:pPr>
            <w:r w:rsidRPr="00022C57">
              <w:t>compliance with relevant legislation, for example:</w:t>
            </w:r>
          </w:p>
          <w:p w:rsidR="00000000" w:rsidRPr="00022C57" w:rsidP="00022C57">
            <w:pPr>
              <w:pStyle w:val="ListBullet2"/>
            </w:pPr>
            <w:r w:rsidRPr="00022C57">
              <w:t>the Environmental Protection Act 1994</w:t>
            </w:r>
          </w:p>
          <w:p w:rsidR="00000000" w:rsidRPr="00022C57" w:rsidP="00022C57">
            <w:pPr>
              <w:pStyle w:val="ListBullet2"/>
            </w:pPr>
            <w:r w:rsidRPr="00022C57">
              <w:t>Environment Protection and Biodiversity Conservation Act 1999</w:t>
            </w:r>
          </w:p>
          <w:p w:rsidR="00000000" w:rsidRPr="00022C57" w:rsidP="00022C57">
            <w:pPr>
              <w:pStyle w:val="ListBullet2"/>
            </w:pPr>
            <w:r w:rsidRPr="00022C57">
              <w:t>Waste Minimisation and Management Act 1995</w:t>
            </w:r>
          </w:p>
          <w:p w:rsidR="00000000" w:rsidRPr="00022C57" w:rsidP="00022C57">
            <w:pPr>
              <w:pStyle w:val="ListBullet2"/>
            </w:pPr>
            <w:r w:rsidRPr="00022C57">
              <w:t>state water management act</w:t>
            </w:r>
          </w:p>
          <w:p w:rsidR="00000000" w:rsidRPr="00022C57" w:rsidP="00022C57">
            <w:pPr>
              <w:pStyle w:val="ListBullet2"/>
            </w:pPr>
            <w:r w:rsidRPr="00022C57">
              <w:t>state or territory environmental and other legislation</w:t>
            </w:r>
          </w:p>
          <w:p w:rsidR="00000000" w:rsidRPr="00022C57" w:rsidP="00022C57">
            <w:pPr>
              <w:pStyle w:val="ListBullet2"/>
            </w:pPr>
            <w:r w:rsidRPr="00022C57">
              <w:t>local by-laws</w:t>
            </w:r>
          </w:p>
          <w:p w:rsidR="00000000" w:rsidRPr="00022C57" w:rsidP="00022C57">
            <w:pPr>
              <w:pStyle w:val="ListBullet"/>
            </w:pPr>
            <w:r w:rsidRPr="00022C57">
              <w:t>compliance with International Standards, for example:</w:t>
            </w:r>
          </w:p>
          <w:p w:rsidR="00000000" w:rsidRPr="00022C57" w:rsidP="00022C57">
            <w:pPr>
              <w:pStyle w:val="ListBullet2"/>
            </w:pPr>
            <w:r w:rsidRPr="00022C57">
              <w:t>ISO 14000 standards</w:t>
            </w:r>
          </w:p>
          <w:p w:rsidR="00000000" w:rsidRPr="00022C57" w:rsidP="00022C57">
            <w:pPr>
              <w:pStyle w:val="ListBullet2"/>
            </w:pPr>
            <w:r w:rsidRPr="00022C57">
              <w:t>Australia/New Zealand Standards, for example:</w:t>
            </w:r>
          </w:p>
          <w:p w:rsidR="00000000" w:rsidRPr="00022C57" w:rsidP="00022C57">
            <w:pPr>
              <w:pStyle w:val="ListBullet2"/>
            </w:pPr>
            <w:r w:rsidRPr="00022C57">
              <w:t>National Plumbing and Drainage Code AS/NZS 3500</w:t>
            </w:r>
          </w:p>
          <w:p w:rsidR="00000000" w:rsidRPr="00022C57" w:rsidP="00022C57">
            <w:pPr>
              <w:pStyle w:val="ListBullet"/>
            </w:pPr>
            <w:r w:rsidRPr="00022C57">
              <w:t xml:space="preserve">relevant industry </w:t>
            </w:r>
            <w:r w:rsidRPr="00022C57">
              <w:t>codes of practice for the management of trade waste, for example:</w:t>
            </w:r>
          </w:p>
          <w:p w:rsidR="00000000" w:rsidRPr="00022C57" w:rsidP="00022C57">
            <w:pPr>
              <w:pStyle w:val="ListBullet2"/>
            </w:pPr>
            <w:r w:rsidRPr="00022C57">
              <w:t>industry Code of Practice for the Photographic Industry (PURE)</w:t>
            </w:r>
          </w:p>
          <w:p w:rsidR="00000000" w:rsidRPr="00022C57" w:rsidP="00022C57">
            <w:pPr>
              <w:pStyle w:val="ListBullet2"/>
            </w:pPr>
            <w:r w:rsidRPr="00022C57">
              <w:t>National Health and Medical Research Council's (NHMRC) National guidelines for waste management in the health care industry, 1</w:t>
            </w:r>
            <w:r w:rsidRPr="00022C57">
              <w:t>999</w:t>
            </w:r>
          </w:p>
          <w:p w:rsidR="00000000" w:rsidRPr="00022C57" w:rsidP="00022C57">
            <w:pPr>
              <w:pStyle w:val="ListBullet2"/>
            </w:pPr>
            <w:r w:rsidRPr="00022C57">
              <w:t>state plumbing and drainage code of practice</w:t>
            </w:r>
          </w:p>
          <w:p w:rsidR="00000000" w:rsidRPr="00022C57" w:rsidP="00022C57">
            <w:pPr>
              <w:pStyle w:val="ListBullet"/>
            </w:pPr>
            <w:r w:rsidRPr="00022C57">
              <w:t>requirements of regulatory authorities, such as:</w:t>
            </w:r>
          </w:p>
          <w:p w:rsidR="00000000" w:rsidRPr="00022C57" w:rsidP="00022C57">
            <w:pPr>
              <w:pStyle w:val="ListBullet2"/>
            </w:pPr>
            <w:r w:rsidRPr="00022C57">
              <w:t>Water Authorities</w:t>
            </w:r>
          </w:p>
          <w:p w:rsidR="00000000" w:rsidRPr="00022C57" w:rsidP="00022C57">
            <w:pPr>
              <w:pStyle w:val="ListBullet2"/>
            </w:pPr>
            <w:r w:rsidRPr="00022C57">
              <w:t>WorkCover</w:t>
            </w:r>
          </w:p>
          <w:p w:rsidR="00000000" w:rsidRPr="00022C57" w:rsidP="00022C57">
            <w:pPr>
              <w:pStyle w:val="ListBullet2"/>
            </w:pPr>
            <w:r w:rsidRPr="00022C57">
              <w:t>EPA</w:t>
            </w:r>
          </w:p>
          <w:p w:rsidR="00000000" w:rsidRPr="00022C57" w:rsidP="00022C57">
            <w:pPr>
              <w:pStyle w:val="ListBullet2"/>
            </w:pPr>
            <w:r w:rsidRPr="00022C57">
              <w:t>Health Department</w:t>
            </w:r>
          </w:p>
          <w:p w:rsidR="00000000" w:rsidRPr="00022C57" w:rsidP="00022C57">
            <w:pPr>
              <w:pStyle w:val="ListBullet2"/>
            </w:pPr>
            <w:r w:rsidRPr="00022C57">
              <w:t>local councils</w:t>
            </w:r>
          </w:p>
        </w:tc>
      </w:tr>
    </w:tbl>
    <w:p w:rsidR="00E800F6" w:rsidP="00022C57">
      <w:pPr>
        <w:pStyle w:val="BodyText"/>
      </w:pPr>
    </w:p>
    <w:p w:rsidR="00E800F6" w:rsidP="00022C57">
      <w:pPr>
        <w:pStyle w:val="BodyText"/>
      </w:pPr>
    </w:p>
    <w:p w:rsidR="00000000" w:rsidRPr="00022C57" w:rsidP="00022C57">
      <w:pPr>
        <w:pStyle w:val="Heading1"/>
      </w:pPr>
      <w:bookmarkStart w:id="12" w:name="O_406491"/>
      <w:bookmarkEnd w:id="12"/>
      <w:r w:rsidRPr="00022C57">
        <w:t>Unit Sector(s)</w:t>
      </w:r>
    </w:p>
    <w:p w:rsidR="00000000" w:rsidRPr="00022C57" w:rsidP="00022C57">
      <w:pPr>
        <w:pStyle w:val="BodyText"/>
      </w:pPr>
      <w:r w:rsidRPr="00022C57">
        <w:t>Not applicable.</w:t>
      </w:r>
    </w:p>
    <w:p w:rsidR="00000000" w:rsidRPr="00022C57" w:rsidP="00022C57">
      <w:pPr>
        <w:pStyle w:val="AllowPageBreak"/>
      </w:pPr>
    </w:p>
    <w:p w:rsidR="00000000" w:rsidRPr="00022C57" w:rsidP="00022C57">
      <w:pPr>
        <w:pStyle w:val="Heading1"/>
      </w:pPr>
      <w:bookmarkStart w:id="13" w:name="O_406503"/>
      <w:bookmarkEnd w:id="13"/>
      <w:r w:rsidRPr="00022C57">
        <w:t>Competency field</w:t>
      </w:r>
    </w:p>
    <w:p w:rsidR="00000000" w:rsidRPr="00022C57" w:rsidP="00022C57">
      <w:pPr>
        <w:pStyle w:val="BodyText"/>
      </w:pPr>
      <w:r w:rsidRPr="00022C57">
        <w:t>Trade waste.</w:t>
      </w:r>
    </w:p>
    <w:p w:rsidR="00000000" w:rsidRPr="00022C57" w:rsidP="00022C57"/>
    <w:sectPr w:rsidSect="00022C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0F6" w:rsidP="00E800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0F6" w:rsidP="00022C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00F6" w:rsidP="00022C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800F6" w:rsidP="00022C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57" w:rsidRPr="00E800F6" w:rsidP="00E800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0F6" w:rsidRPr="002D2AF8" w:rsidP="00022C57">
    <w:pPr>
      <w:pStyle w:val="Header"/>
      <w:framePr w:wrap="around"/>
    </w:pPr>
    <w:r>
      <w:fldChar w:fldCharType="begin"/>
    </w:r>
    <w:r>
      <w:instrText xml:space="preserve"> TITLE   \* MERGEFORMAT </w:instrText>
    </w:r>
    <w:r>
      <w:fldChar w:fldCharType="separate"/>
    </w:r>
    <w:r>
      <w:t>NWP429B Coordinate, implement and report on trade waste monitoring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800F6" w:rsidP="00022C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6E1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222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48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C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C57"/>
    <w:pPr>
      <w:spacing w:before="360" w:after="60"/>
      <w:outlineLvl w:val="0"/>
    </w:pPr>
    <w:rPr>
      <w:sz w:val="32"/>
    </w:rPr>
  </w:style>
  <w:style w:type="paragraph" w:styleId="Heading2">
    <w:name w:val="heading 2"/>
    <w:basedOn w:val="HeadingBase"/>
    <w:next w:val="BodyText"/>
    <w:link w:val="Heading2Char"/>
    <w:qFormat/>
    <w:rsid w:val="00022C57"/>
    <w:pPr>
      <w:keepLines/>
      <w:spacing w:before="240" w:after="120"/>
      <w:outlineLvl w:val="1"/>
    </w:pPr>
    <w:rPr>
      <w:sz w:val="28"/>
      <w:szCs w:val="40"/>
    </w:rPr>
  </w:style>
  <w:style w:type="paragraph" w:styleId="Heading3">
    <w:name w:val="heading 3"/>
    <w:basedOn w:val="HeadingBase"/>
    <w:next w:val="BodyText"/>
    <w:link w:val="Heading3Char"/>
    <w:qFormat/>
    <w:rsid w:val="00022C57"/>
    <w:pPr>
      <w:spacing w:before="180" w:after="120"/>
      <w:outlineLvl w:val="2"/>
    </w:pPr>
    <w:rPr>
      <w:spacing w:val="-10"/>
      <w:kern w:val="32"/>
    </w:rPr>
  </w:style>
  <w:style w:type="paragraph" w:styleId="Heading4">
    <w:name w:val="heading 4"/>
    <w:basedOn w:val="HeadingBase"/>
    <w:next w:val="BodyText"/>
    <w:link w:val="Heading4Char"/>
    <w:qFormat/>
    <w:rsid w:val="00022C57"/>
    <w:pPr>
      <w:spacing w:before="160" w:after="120"/>
      <w:outlineLvl w:val="3"/>
    </w:pPr>
    <w:rPr>
      <w:sz w:val="22"/>
    </w:rPr>
  </w:style>
  <w:style w:type="paragraph" w:styleId="Heading5">
    <w:name w:val="heading 5"/>
    <w:basedOn w:val="HeadingBase"/>
    <w:next w:val="Normal"/>
    <w:link w:val="Heading5Char"/>
    <w:qFormat/>
    <w:rsid w:val="00022C57"/>
    <w:pPr>
      <w:spacing w:before="80"/>
      <w:outlineLvl w:val="4"/>
    </w:pPr>
    <w:rPr>
      <w:color w:val="918585"/>
      <w:sz w:val="20"/>
    </w:rPr>
  </w:style>
  <w:style w:type="paragraph" w:styleId="Heading6">
    <w:name w:val="heading 6"/>
    <w:basedOn w:val="HeadingBase"/>
    <w:next w:val="Normal"/>
    <w:link w:val="Heading6Char"/>
    <w:qFormat/>
    <w:rsid w:val="00022C57"/>
    <w:pPr>
      <w:spacing w:before="60"/>
      <w:outlineLvl w:val="5"/>
    </w:pPr>
    <w:rPr>
      <w:color w:val="918585"/>
      <w:sz w:val="20"/>
    </w:rPr>
  </w:style>
  <w:style w:type="paragraph" w:styleId="Heading7">
    <w:name w:val="heading 7"/>
    <w:basedOn w:val="Normal"/>
    <w:next w:val="Normal"/>
    <w:link w:val="Heading7Char"/>
    <w:qFormat/>
    <w:rsid w:val="00022C57"/>
    <w:pPr>
      <w:ind w:left="720"/>
      <w:outlineLvl w:val="6"/>
    </w:pPr>
    <w:rPr>
      <w:i/>
    </w:rPr>
  </w:style>
  <w:style w:type="paragraph" w:styleId="Heading8">
    <w:name w:val="heading 8"/>
    <w:basedOn w:val="Normal"/>
    <w:next w:val="Normal"/>
    <w:link w:val="Heading8Char"/>
    <w:qFormat/>
    <w:rsid w:val="00022C57"/>
    <w:pPr>
      <w:ind w:left="720"/>
      <w:outlineLvl w:val="7"/>
    </w:pPr>
    <w:rPr>
      <w:i/>
    </w:rPr>
  </w:style>
  <w:style w:type="paragraph" w:styleId="Heading9">
    <w:name w:val="heading 9"/>
    <w:basedOn w:val="Normal"/>
    <w:next w:val="Normal"/>
    <w:link w:val="Heading9Char"/>
    <w:qFormat/>
    <w:rsid w:val="00022C57"/>
    <w:pPr>
      <w:ind w:left="720"/>
      <w:outlineLvl w:val="8"/>
    </w:pPr>
    <w:rPr>
      <w:i/>
    </w:rPr>
  </w:style>
  <w:style w:type="character" w:default="1" w:styleId="DefaultParagraphFont">
    <w:name w:val="Default Paragraph Font"/>
    <w:uiPriority w:val="1"/>
    <w:unhideWhenUsed/>
    <w:rsid w:val="00022C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C57"/>
  </w:style>
  <w:style w:type="character" w:customStyle="1" w:styleId="Heading1Char">
    <w:name w:val="Heading 1 Char"/>
    <w:basedOn w:val="DefaultParagraphFont"/>
    <w:link w:val="Heading1"/>
    <w:rsid w:val="00022C57"/>
    <w:rPr>
      <w:rFonts w:ascii="Times New Roman" w:eastAsia="Times New Roman" w:hAnsi="Times New Roman" w:cs="Times New Roman"/>
      <w:b/>
      <w:sz w:val="32"/>
      <w:szCs w:val="20"/>
      <w:lang w:eastAsia="en-US"/>
    </w:rPr>
  </w:style>
  <w:style w:type="paragraph" w:styleId="BodyText">
    <w:name w:val="Body Text"/>
    <w:basedOn w:val="Normal"/>
    <w:link w:val="BodyTextChar"/>
    <w:rsid w:val="00022C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2C57"/>
    <w:rPr>
      <w:rFonts w:ascii="Times New Roman" w:eastAsia="Times New Roman" w:hAnsi="Times New Roman" w:cs="Times New Roman"/>
      <w:sz w:val="24"/>
      <w:lang w:eastAsia="en-US"/>
    </w:rPr>
  </w:style>
  <w:style w:type="paragraph" w:styleId="Footer">
    <w:name w:val="footer"/>
    <w:basedOn w:val="Normal"/>
    <w:link w:val="FooterChar"/>
    <w:rsid w:val="00022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C57"/>
    <w:rPr>
      <w:rFonts w:ascii="Times New Roman" w:eastAsia="Times New Roman" w:hAnsi="Times New Roman" w:cs="Times New Roman"/>
      <w:sz w:val="16"/>
      <w:lang w:eastAsia="en-US"/>
    </w:rPr>
  </w:style>
  <w:style w:type="paragraph" w:styleId="List">
    <w:name w:val="List"/>
    <w:basedOn w:val="BodyText"/>
    <w:next w:val="BodyText"/>
    <w:rsid w:val="00022C57"/>
    <w:pPr>
      <w:tabs>
        <w:tab w:val="left" w:pos="340"/>
      </w:tabs>
      <w:spacing w:before="60" w:after="60"/>
      <w:ind w:left="340" w:hanging="340"/>
    </w:pPr>
  </w:style>
  <w:style w:type="paragraph" w:styleId="ListBullet">
    <w:name w:val="List Bullet"/>
    <w:basedOn w:val="List"/>
    <w:rsid w:val="00022C57"/>
    <w:pPr>
      <w:numPr>
        <w:numId w:val="13"/>
      </w:numPr>
      <w:tabs>
        <w:tab w:val="clear" w:pos="340"/>
      </w:tabs>
      <w:spacing w:before="40" w:after="40"/>
    </w:pPr>
  </w:style>
  <w:style w:type="character" w:customStyle="1" w:styleId="SpecialBold">
    <w:name w:val="Special Bold"/>
    <w:basedOn w:val="DefaultParagraphFont"/>
    <w:rsid w:val="00022C57"/>
    <w:rPr>
      <w:b/>
      <w:spacing w:val="0"/>
    </w:rPr>
  </w:style>
  <w:style w:type="paragraph" w:styleId="ListBullet2">
    <w:name w:val="List Bullet 2"/>
    <w:basedOn w:val="List2"/>
    <w:rsid w:val="00022C57"/>
    <w:pPr>
      <w:numPr>
        <w:numId w:val="14"/>
      </w:numPr>
      <w:tabs>
        <w:tab w:val="clear" w:pos="680"/>
      </w:tabs>
    </w:pPr>
  </w:style>
  <w:style w:type="paragraph" w:customStyle="1" w:styleId="SuperHeading">
    <w:name w:val="SuperHeading"/>
    <w:basedOn w:val="Normal"/>
    <w:rsid w:val="00022C57"/>
    <w:pPr>
      <w:spacing w:before="240" w:after="120"/>
      <w:outlineLvl w:val="0"/>
    </w:pPr>
    <w:rPr>
      <w:rFonts w:ascii="Times New Roman" w:hAnsi="Times New Roman"/>
      <w:b/>
      <w:sz w:val="28"/>
    </w:rPr>
  </w:style>
  <w:style w:type="paragraph" w:customStyle="1" w:styleId="AllowPageBreak">
    <w:name w:val="AllowPageBreak"/>
    <w:rsid w:val="00022C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2C57"/>
    <w:rPr>
      <w:b/>
      <w:i/>
      <w:u w:val="none"/>
    </w:rPr>
  </w:style>
  <w:style w:type="character" w:customStyle="1" w:styleId="Heading2Char">
    <w:name w:val="Heading 2 Char"/>
    <w:basedOn w:val="DefaultParagraphFont"/>
    <w:link w:val="Heading2"/>
    <w:rsid w:val="00022C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C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C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C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C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C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C57"/>
    <w:rPr>
      <w:rFonts w:ascii="Courier New" w:eastAsia="Times New Roman" w:hAnsi="Courier New" w:cs="Times New Roman"/>
      <w:i/>
      <w:szCs w:val="20"/>
      <w:lang w:eastAsia="en-US"/>
    </w:rPr>
  </w:style>
  <w:style w:type="paragraph" w:customStyle="1" w:styleId="HeadingBase">
    <w:name w:val="Heading Base"/>
    <w:rsid w:val="00022C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C57"/>
    <w:pPr>
      <w:tabs>
        <w:tab w:val="right" w:leader="dot" w:pos="9072"/>
      </w:tabs>
      <w:ind w:left="567"/>
    </w:pPr>
    <w:rPr>
      <w:szCs w:val="22"/>
    </w:rPr>
  </w:style>
  <w:style w:type="paragraph" w:customStyle="1" w:styleId="TOCBase">
    <w:name w:val="TOC Base"/>
    <w:rsid w:val="00022C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C57"/>
    <w:pPr>
      <w:tabs>
        <w:tab w:val="right" w:leader="dot" w:pos="9072"/>
      </w:tabs>
      <w:spacing w:before="40" w:after="40"/>
      <w:ind w:left="284"/>
    </w:pPr>
    <w:rPr>
      <w:rFonts w:ascii="Times New Roman" w:hAnsi="Times New Roman"/>
    </w:rPr>
  </w:style>
  <w:style w:type="paragraph" w:styleId="TOC1">
    <w:name w:val="toc 1"/>
    <w:basedOn w:val="TOCBase"/>
    <w:next w:val="Normal"/>
    <w:rsid w:val="00022C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2C57"/>
    <w:pPr>
      <w:spacing w:before="5040"/>
      <w:jc w:val="center"/>
    </w:pPr>
    <w:rPr>
      <w:sz w:val="48"/>
      <w:szCs w:val="72"/>
      <w:lang w:val="en-US"/>
    </w:rPr>
  </w:style>
  <w:style w:type="character" w:customStyle="1" w:styleId="TitleChar">
    <w:name w:val="Title Char"/>
    <w:basedOn w:val="DefaultParagraphFont"/>
    <w:link w:val="Title"/>
    <w:rsid w:val="00022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C57"/>
    <w:pPr>
      <w:tabs>
        <w:tab w:val="left" w:pos="3600"/>
        <w:tab w:val="left" w:pos="3958"/>
      </w:tabs>
    </w:pPr>
  </w:style>
  <w:style w:type="paragraph" w:customStyle="1" w:styleId="Note">
    <w:name w:val="Note"/>
    <w:basedOn w:val="BodyText"/>
    <w:rsid w:val="00022C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C57"/>
    <w:pPr>
      <w:framePr w:wrap="auto" w:hAnchor="text" w:y="6049"/>
    </w:pPr>
    <w:rPr>
      <w:color w:val="000000"/>
      <w:sz w:val="40"/>
    </w:rPr>
  </w:style>
  <w:style w:type="paragraph" w:customStyle="1" w:styleId="TOCTitle">
    <w:name w:val="TOCTitle"/>
    <w:basedOn w:val="Heading1"/>
    <w:rsid w:val="00022C57"/>
    <w:pPr>
      <w:spacing w:after="240"/>
      <w:jc w:val="center"/>
      <w:outlineLvl w:val="9"/>
    </w:pPr>
    <w:rPr>
      <w:caps/>
    </w:rPr>
  </w:style>
  <w:style w:type="paragraph" w:customStyle="1" w:styleId="Version">
    <w:name w:val="Version"/>
    <w:rsid w:val="00022C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2C57"/>
    <w:pPr>
      <w:keepNext w:val="0"/>
      <w:tabs>
        <w:tab w:val="right" w:pos="4176"/>
      </w:tabs>
      <w:ind w:left="198" w:hanging="198"/>
    </w:pPr>
    <w:rPr>
      <w:rFonts w:ascii="Garamond" w:hAnsi="Garamond"/>
    </w:rPr>
  </w:style>
  <w:style w:type="paragraph" w:styleId="IndexHeading">
    <w:name w:val="index heading"/>
    <w:basedOn w:val="Normal"/>
    <w:next w:val="Index1"/>
    <w:semiHidden/>
    <w:rsid w:val="00022C57"/>
    <w:pPr>
      <w:spacing w:before="120" w:after="120"/>
    </w:pPr>
    <w:rPr>
      <w:rFonts w:ascii="Arial" w:hAnsi="Arial"/>
      <w:b/>
      <w:color w:val="918585"/>
      <w:sz w:val="24"/>
    </w:rPr>
  </w:style>
  <w:style w:type="paragraph" w:styleId="Header">
    <w:name w:val="header"/>
    <w:basedOn w:val="Normal"/>
    <w:link w:val="HeaderChar"/>
    <w:rsid w:val="00022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C57"/>
    <w:rPr>
      <w:rFonts w:ascii="Times New Roman" w:eastAsia="Times New Roman" w:hAnsi="Times New Roman" w:cs="Times New Roman"/>
      <w:sz w:val="16"/>
      <w:szCs w:val="20"/>
      <w:lang w:val="en-GB" w:eastAsia="en-US"/>
    </w:rPr>
  </w:style>
  <w:style w:type="paragraph" w:customStyle="1" w:styleId="Chapter">
    <w:name w:val="Chapter"/>
    <w:basedOn w:val="Normal"/>
    <w:rsid w:val="00022C57"/>
    <w:pPr>
      <w:spacing w:before="240"/>
    </w:pPr>
    <w:rPr>
      <w:rFonts w:ascii="Times New Roman" w:hAnsi="Times New Roman"/>
      <w:smallCaps/>
      <w:spacing w:val="80"/>
      <w:sz w:val="28"/>
    </w:rPr>
  </w:style>
  <w:style w:type="paragraph" w:customStyle="1" w:styleId="InChapter">
    <w:name w:val="InChapter"/>
    <w:basedOn w:val="Heading3"/>
    <w:rsid w:val="00022C57"/>
    <w:pPr>
      <w:spacing w:after="240"/>
      <w:outlineLvl w:val="9"/>
    </w:pPr>
    <w:rPr>
      <w:noProof/>
    </w:rPr>
  </w:style>
  <w:style w:type="paragraph" w:styleId="Index2">
    <w:name w:val="index 2"/>
    <w:basedOn w:val="Normal"/>
    <w:next w:val="Normal"/>
    <w:semiHidden/>
    <w:rsid w:val="00022C57"/>
    <w:pPr>
      <w:tabs>
        <w:tab w:val="right" w:pos="4176"/>
      </w:tabs>
      <w:ind w:left="568" w:hanging="284"/>
    </w:pPr>
    <w:rPr>
      <w:rFonts w:ascii="Garamond" w:hAnsi="Garamond"/>
    </w:rPr>
  </w:style>
  <w:style w:type="paragraph" w:customStyle="1" w:styleId="Byline">
    <w:name w:val="Byline"/>
    <w:rsid w:val="00022C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C57"/>
    <w:pPr>
      <w:tabs>
        <w:tab w:val="clear" w:pos="3600"/>
        <w:tab w:val="clear" w:pos="3958"/>
      </w:tabs>
      <w:jc w:val="right"/>
    </w:pPr>
  </w:style>
  <w:style w:type="character" w:styleId="Emphasis">
    <w:name w:val="Emphasis"/>
    <w:basedOn w:val="DefaultParagraphFont"/>
    <w:qFormat/>
    <w:rsid w:val="00022C57"/>
    <w:rPr>
      <w:i/>
    </w:rPr>
  </w:style>
  <w:style w:type="paragraph" w:styleId="Caption">
    <w:name w:val="caption"/>
    <w:basedOn w:val="BodyText"/>
    <w:next w:val="Normal"/>
    <w:qFormat/>
    <w:rsid w:val="00022C57"/>
    <w:pPr>
      <w:framePr w:w="2268" w:hSpace="181" w:vSpace="181" w:wrap="around" w:vAnchor="text" w:hAnchor="page" w:x="1135" w:y="285" w:anchorLock="1"/>
    </w:pPr>
    <w:rPr>
      <w:i/>
    </w:rPr>
  </w:style>
  <w:style w:type="paragraph" w:customStyle="1" w:styleId="MiniTOCTitle">
    <w:name w:val="MiniTOCTitle"/>
    <w:basedOn w:val="Heading4"/>
    <w:rsid w:val="00022C57"/>
    <w:pPr>
      <w:spacing w:before="240"/>
      <w:outlineLvl w:val="9"/>
    </w:pPr>
    <w:rPr>
      <w:noProof/>
      <w:sz w:val="24"/>
    </w:rPr>
  </w:style>
  <w:style w:type="paragraph" w:customStyle="1" w:styleId="MiniTOCItem">
    <w:name w:val="MiniTOCItem"/>
    <w:basedOn w:val="ListBullet"/>
    <w:rsid w:val="00022C57"/>
    <w:pPr>
      <w:numPr>
        <w:numId w:val="0"/>
      </w:numPr>
      <w:tabs>
        <w:tab w:val="right" w:leader="dot" w:pos="6521"/>
      </w:tabs>
      <w:spacing w:before="0" w:after="0"/>
    </w:pPr>
  </w:style>
  <w:style w:type="paragraph" w:customStyle="1" w:styleId="TOFTitle">
    <w:name w:val="TOFTitle"/>
    <w:basedOn w:val="TOCTitle"/>
    <w:rsid w:val="00022C57"/>
  </w:style>
  <w:style w:type="paragraph" w:styleId="TableofFigures">
    <w:name w:val="table of figures"/>
    <w:basedOn w:val="Normal"/>
    <w:next w:val="Normal"/>
    <w:semiHidden/>
    <w:rsid w:val="00022C57"/>
    <w:pPr>
      <w:tabs>
        <w:tab w:val="right" w:leader="dot" w:pos="9072"/>
      </w:tabs>
      <w:ind w:left="970" w:hanging="403"/>
    </w:pPr>
    <w:rPr>
      <w:rFonts w:ascii="Times New Roman" w:hAnsi="Times New Roman"/>
      <w:b/>
    </w:rPr>
  </w:style>
  <w:style w:type="paragraph" w:styleId="ListNumber">
    <w:name w:val="List Number"/>
    <w:basedOn w:val="List"/>
    <w:rsid w:val="00022C57"/>
    <w:pPr>
      <w:numPr>
        <w:numId w:val="11"/>
      </w:numPr>
    </w:pPr>
  </w:style>
  <w:style w:type="character" w:customStyle="1" w:styleId="WingdingSymbols">
    <w:name w:val="Wingding Symbols"/>
    <w:rsid w:val="00022C57"/>
    <w:rPr>
      <w:rFonts w:ascii="Wingdings" w:hAnsi="Wingdings"/>
    </w:rPr>
  </w:style>
  <w:style w:type="paragraph" w:customStyle="1" w:styleId="TableHeading">
    <w:name w:val="Table Heading"/>
    <w:basedOn w:val="HeadingBase"/>
    <w:rsid w:val="00022C57"/>
    <w:pPr>
      <w:keepLines/>
      <w:pBdr>
        <w:bottom w:val="single" w:sz="6" w:space="1" w:color="918585"/>
      </w:pBdr>
      <w:spacing w:before="240"/>
    </w:pPr>
  </w:style>
  <w:style w:type="character" w:customStyle="1" w:styleId="HotSpot">
    <w:name w:val="HotSpot"/>
    <w:rsid w:val="00022C57"/>
    <w:rPr>
      <w:color w:val="0033CC"/>
      <w:u w:val="none"/>
    </w:rPr>
  </w:style>
  <w:style w:type="paragraph" w:customStyle="1" w:styleId="BodyTextRight">
    <w:name w:val="Body Text Right"/>
    <w:basedOn w:val="BodyText"/>
    <w:rsid w:val="00022C57"/>
    <w:pPr>
      <w:spacing w:before="0" w:after="0"/>
      <w:jc w:val="right"/>
    </w:pPr>
  </w:style>
  <w:style w:type="paragraph" w:styleId="Index3">
    <w:name w:val="index 3"/>
    <w:basedOn w:val="ListNumber2"/>
    <w:next w:val="Normal"/>
    <w:semiHidden/>
    <w:rsid w:val="00022C57"/>
    <w:pPr>
      <w:numPr>
        <w:numId w:val="0"/>
      </w:numPr>
      <w:tabs>
        <w:tab w:val="right" w:leader="dot" w:pos="4176"/>
      </w:tabs>
    </w:pPr>
  </w:style>
  <w:style w:type="paragraph" w:styleId="ListNumber2">
    <w:name w:val="List Number 2"/>
    <w:basedOn w:val="List2"/>
    <w:rsid w:val="00022C57"/>
    <w:pPr>
      <w:numPr>
        <w:numId w:val="10"/>
      </w:numPr>
      <w:tabs>
        <w:tab w:val="clear" w:pos="1060"/>
      </w:tabs>
    </w:pPr>
  </w:style>
  <w:style w:type="paragraph" w:customStyle="1" w:styleId="MarginNote">
    <w:name w:val="Margin Note"/>
    <w:basedOn w:val="BodyText"/>
    <w:rsid w:val="00022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C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C57"/>
    <w:rPr>
      <w:sz w:val="32"/>
    </w:rPr>
  </w:style>
  <w:style w:type="paragraph" w:customStyle="1" w:styleId="HeadingProcedure">
    <w:name w:val="Heading Procedure"/>
    <w:basedOn w:val="HeadingBase"/>
    <w:next w:val="Normal"/>
    <w:rsid w:val="00022C57"/>
    <w:pPr>
      <w:tabs>
        <w:tab w:val="left" w:pos="0"/>
      </w:tabs>
      <w:spacing w:before="120" w:after="60"/>
    </w:pPr>
    <w:rPr>
      <w:i/>
      <w:color w:val="918585"/>
      <w:sz w:val="22"/>
    </w:rPr>
  </w:style>
  <w:style w:type="paragraph" w:customStyle="1" w:styleId="TableBodyText">
    <w:name w:val="Table Body Text"/>
    <w:basedOn w:val="BodyText"/>
    <w:rsid w:val="00022C57"/>
    <w:pPr>
      <w:spacing w:before="60" w:after="60"/>
    </w:pPr>
  </w:style>
  <w:style w:type="paragraph" w:styleId="ListContinue">
    <w:name w:val="List Continue"/>
    <w:basedOn w:val="List"/>
    <w:rsid w:val="00022C57"/>
    <w:pPr>
      <w:ind w:firstLine="0"/>
    </w:pPr>
  </w:style>
  <w:style w:type="paragraph" w:customStyle="1" w:styleId="ListNote">
    <w:name w:val="List Note"/>
    <w:basedOn w:val="List"/>
    <w:rsid w:val="00022C57"/>
    <w:pPr>
      <w:pBdr>
        <w:top w:val="single" w:sz="6" w:space="2" w:color="918585"/>
        <w:bottom w:val="single" w:sz="6" w:space="2" w:color="918585"/>
      </w:pBdr>
      <w:tabs>
        <w:tab w:val="left" w:pos="1021"/>
      </w:tabs>
      <w:ind w:firstLine="0"/>
    </w:pPr>
  </w:style>
  <w:style w:type="paragraph" w:customStyle="1" w:styleId="Warning">
    <w:name w:val="Warning"/>
    <w:basedOn w:val="BodyText"/>
    <w:rsid w:val="00022C57"/>
    <w:pPr>
      <w:shd w:val="clear" w:color="auto" w:fill="D9D9D9"/>
      <w:tabs>
        <w:tab w:val="left" w:pos="992"/>
      </w:tabs>
      <w:ind w:left="119" w:right="119"/>
    </w:pPr>
    <w:rPr>
      <w:sz w:val="20"/>
    </w:rPr>
  </w:style>
  <w:style w:type="paragraph" w:customStyle="1" w:styleId="MarginIcons">
    <w:name w:val="Margin Icons"/>
    <w:basedOn w:val="BodyText"/>
    <w:rsid w:val="00022C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C57"/>
    <w:rPr>
      <w:rFonts w:ascii="Courier New" w:hAnsi="Courier New"/>
    </w:rPr>
  </w:style>
  <w:style w:type="paragraph" w:customStyle="1" w:styleId="NoteBullet">
    <w:name w:val="Note Bullet"/>
    <w:basedOn w:val="Note"/>
    <w:rsid w:val="00022C57"/>
    <w:pPr>
      <w:tabs>
        <w:tab w:val="clear" w:pos="680"/>
      </w:tabs>
      <w:spacing w:before="60" w:after="60"/>
    </w:pPr>
  </w:style>
  <w:style w:type="paragraph" w:customStyle="1" w:styleId="SubHeading2">
    <w:name w:val="SubHeading2"/>
    <w:basedOn w:val="HeadingBase"/>
    <w:rsid w:val="00022C57"/>
    <w:pPr>
      <w:spacing w:before="240" w:after="60"/>
    </w:pPr>
    <w:rPr>
      <w:sz w:val="20"/>
    </w:rPr>
  </w:style>
  <w:style w:type="paragraph" w:customStyle="1" w:styleId="SubHeading1">
    <w:name w:val="SubHeading1"/>
    <w:basedOn w:val="HeadingBase"/>
    <w:rsid w:val="00022C57"/>
    <w:pPr>
      <w:spacing w:before="240" w:after="60"/>
    </w:pPr>
    <w:rPr>
      <w:color w:val="918585"/>
      <w:sz w:val="22"/>
    </w:rPr>
  </w:style>
  <w:style w:type="paragraph" w:customStyle="1" w:styleId="SideHeading">
    <w:name w:val="Side Heading"/>
    <w:basedOn w:val="HeadingBase"/>
    <w:rsid w:val="00022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C57"/>
    <w:pPr>
      <w:numPr>
        <w:numId w:val="12"/>
      </w:numPr>
    </w:pPr>
  </w:style>
  <w:style w:type="paragraph" w:styleId="PlainText">
    <w:name w:val="Plain Text"/>
    <w:basedOn w:val="Normal"/>
    <w:link w:val="PlainTextChar"/>
    <w:rsid w:val="00022C57"/>
    <w:rPr>
      <w:sz w:val="20"/>
    </w:rPr>
  </w:style>
  <w:style w:type="character" w:customStyle="1" w:styleId="PlainTextChar">
    <w:name w:val="Plain Text Char"/>
    <w:basedOn w:val="DefaultParagraphFont"/>
    <w:link w:val="PlainText"/>
    <w:rsid w:val="00022C57"/>
    <w:rPr>
      <w:rFonts w:ascii="Courier New" w:eastAsia="Times New Roman" w:hAnsi="Courier New" w:cs="Times New Roman"/>
      <w:sz w:val="20"/>
      <w:szCs w:val="20"/>
      <w:lang w:eastAsia="en-US"/>
    </w:rPr>
  </w:style>
  <w:style w:type="character" w:customStyle="1" w:styleId="MenuOption">
    <w:name w:val="Menu Option"/>
    <w:basedOn w:val="DefaultParagraphFont"/>
    <w:rsid w:val="00022C57"/>
    <w:rPr>
      <w:b/>
      <w:smallCaps/>
    </w:rPr>
  </w:style>
  <w:style w:type="paragraph" w:customStyle="1" w:styleId="TableListNumber">
    <w:name w:val="Table List Number"/>
    <w:basedOn w:val="ListNumber"/>
    <w:rsid w:val="00022C57"/>
    <w:pPr>
      <w:numPr>
        <w:numId w:val="0"/>
      </w:numPr>
    </w:pPr>
  </w:style>
  <w:style w:type="paragraph" w:styleId="TOC4">
    <w:name w:val="toc 4"/>
    <w:basedOn w:val="TOCBase"/>
    <w:next w:val="Normal"/>
    <w:semiHidden/>
    <w:rsid w:val="00022C57"/>
    <w:pPr>
      <w:tabs>
        <w:tab w:val="right" w:leader="dot" w:pos="9071"/>
      </w:tabs>
      <w:ind w:left="1701"/>
    </w:pPr>
  </w:style>
  <w:style w:type="paragraph" w:customStyle="1" w:styleId="ListAlpha">
    <w:name w:val="List Alpha"/>
    <w:basedOn w:val="List"/>
    <w:rsid w:val="00022C57"/>
    <w:pPr>
      <w:numPr>
        <w:numId w:val="9"/>
      </w:numPr>
    </w:pPr>
  </w:style>
  <w:style w:type="paragraph" w:customStyle="1" w:styleId="ListAlpha2">
    <w:name w:val="List Alpha 2"/>
    <w:basedOn w:val="List2"/>
    <w:rsid w:val="00022C57"/>
    <w:pPr>
      <w:numPr>
        <w:numId w:val="8"/>
      </w:numPr>
    </w:pPr>
  </w:style>
  <w:style w:type="paragraph" w:styleId="List2">
    <w:name w:val="List 2"/>
    <w:basedOn w:val="BodyText"/>
    <w:rsid w:val="00022C57"/>
    <w:pPr>
      <w:tabs>
        <w:tab w:val="left" w:pos="680"/>
      </w:tabs>
      <w:spacing w:before="60" w:after="60"/>
      <w:ind w:left="680" w:hanging="340"/>
    </w:pPr>
  </w:style>
  <w:style w:type="paragraph" w:styleId="List3">
    <w:name w:val="List 3"/>
    <w:basedOn w:val="BodyText"/>
    <w:rsid w:val="00022C57"/>
    <w:pPr>
      <w:tabs>
        <w:tab w:val="left" w:pos="1021"/>
      </w:tabs>
      <w:spacing w:before="60" w:after="60"/>
      <w:ind w:left="1020" w:hanging="340"/>
    </w:pPr>
  </w:style>
  <w:style w:type="paragraph" w:styleId="List4">
    <w:name w:val="List 4"/>
    <w:basedOn w:val="BodyText"/>
    <w:rsid w:val="00022C57"/>
    <w:pPr>
      <w:tabs>
        <w:tab w:val="left" w:pos="1361"/>
      </w:tabs>
      <w:spacing w:before="60" w:after="60"/>
      <w:ind w:left="1361" w:hanging="340"/>
    </w:pPr>
  </w:style>
  <w:style w:type="paragraph" w:styleId="List5">
    <w:name w:val="List 5"/>
    <w:basedOn w:val="BodyText"/>
    <w:rsid w:val="00022C57"/>
    <w:pPr>
      <w:tabs>
        <w:tab w:val="left" w:pos="1701"/>
      </w:tabs>
      <w:spacing w:before="60" w:after="60"/>
      <w:ind w:left="1701" w:hanging="340"/>
    </w:pPr>
  </w:style>
  <w:style w:type="paragraph" w:styleId="ListBullet3">
    <w:name w:val="List Bullet 3"/>
    <w:basedOn w:val="List3"/>
    <w:rsid w:val="00022C57"/>
    <w:pPr>
      <w:numPr>
        <w:numId w:val="15"/>
      </w:numPr>
      <w:tabs>
        <w:tab w:val="clear" w:pos="1021"/>
      </w:tabs>
      <w:ind w:left="1037" w:hanging="357"/>
    </w:pPr>
  </w:style>
  <w:style w:type="paragraph" w:styleId="ListBullet4">
    <w:name w:val="List Bullet 4"/>
    <w:basedOn w:val="List4"/>
    <w:rsid w:val="00022C57"/>
    <w:pPr>
      <w:numPr>
        <w:numId w:val="3"/>
      </w:numPr>
    </w:pPr>
  </w:style>
  <w:style w:type="paragraph" w:styleId="ListBullet5">
    <w:name w:val="List Bullet 5"/>
    <w:basedOn w:val="List5"/>
    <w:rsid w:val="00022C57"/>
    <w:pPr>
      <w:numPr>
        <w:numId w:val="4"/>
      </w:numPr>
    </w:pPr>
  </w:style>
  <w:style w:type="paragraph" w:styleId="ListContinue2">
    <w:name w:val="List Continue 2"/>
    <w:basedOn w:val="List2"/>
    <w:rsid w:val="00022C57"/>
    <w:pPr>
      <w:ind w:firstLine="0"/>
    </w:pPr>
  </w:style>
  <w:style w:type="paragraph" w:styleId="ListContinue3">
    <w:name w:val="List Continue 3"/>
    <w:basedOn w:val="List3"/>
    <w:rsid w:val="00022C57"/>
    <w:pPr>
      <w:ind w:left="1021" w:firstLine="0"/>
    </w:pPr>
  </w:style>
  <w:style w:type="paragraph" w:styleId="ListContinue4">
    <w:name w:val="List Continue 4"/>
    <w:basedOn w:val="List4"/>
    <w:rsid w:val="00022C57"/>
    <w:pPr>
      <w:ind w:firstLine="0"/>
    </w:pPr>
  </w:style>
  <w:style w:type="paragraph" w:styleId="ListContinue5">
    <w:name w:val="List Continue 5"/>
    <w:basedOn w:val="List5"/>
    <w:rsid w:val="00022C57"/>
    <w:pPr>
      <w:ind w:firstLine="0"/>
    </w:pPr>
  </w:style>
  <w:style w:type="paragraph" w:styleId="ListNumber3">
    <w:name w:val="List Number 3"/>
    <w:basedOn w:val="List3"/>
    <w:rsid w:val="00022C57"/>
    <w:pPr>
      <w:numPr>
        <w:numId w:val="5"/>
      </w:numPr>
    </w:pPr>
  </w:style>
  <w:style w:type="paragraph" w:styleId="ListNumber4">
    <w:name w:val="List Number 4"/>
    <w:basedOn w:val="List4"/>
    <w:rsid w:val="00022C57"/>
    <w:pPr>
      <w:numPr>
        <w:numId w:val="6"/>
      </w:numPr>
    </w:pPr>
  </w:style>
  <w:style w:type="paragraph" w:styleId="ListNumber5">
    <w:name w:val="List Number 5"/>
    <w:basedOn w:val="List5"/>
    <w:rsid w:val="00022C57"/>
    <w:pPr>
      <w:numPr>
        <w:numId w:val="7"/>
      </w:numPr>
    </w:pPr>
  </w:style>
  <w:style w:type="paragraph" w:styleId="BlockText">
    <w:name w:val="Block Text"/>
    <w:basedOn w:val="Normal"/>
    <w:rsid w:val="00022C57"/>
    <w:pPr>
      <w:spacing w:after="120"/>
      <w:ind w:left="1440" w:right="1440"/>
    </w:pPr>
  </w:style>
  <w:style w:type="character" w:customStyle="1" w:styleId="Subscript">
    <w:name w:val="Subscript"/>
    <w:basedOn w:val="DefaultParagraphFont"/>
    <w:rsid w:val="00022C57"/>
    <w:rPr>
      <w:sz w:val="16"/>
      <w:vertAlign w:val="subscript"/>
    </w:rPr>
  </w:style>
  <w:style w:type="character" w:customStyle="1" w:styleId="Superscript">
    <w:name w:val="Superscript"/>
    <w:basedOn w:val="DefaultParagraphFont"/>
    <w:rsid w:val="00022C57"/>
    <w:rPr>
      <w:sz w:val="16"/>
      <w:vertAlign w:val="superscript"/>
    </w:rPr>
  </w:style>
  <w:style w:type="character" w:customStyle="1" w:styleId="Symbols">
    <w:name w:val="Symbols"/>
    <w:basedOn w:val="DefaultParagraphFont"/>
    <w:rsid w:val="00022C57"/>
    <w:rPr>
      <w:rFonts w:ascii="Symbol" w:hAnsi="Symbol"/>
    </w:rPr>
  </w:style>
  <w:style w:type="character" w:customStyle="1" w:styleId="MenuOptions">
    <w:name w:val="Menu Options"/>
    <w:basedOn w:val="DefaultParagraphFont"/>
    <w:rsid w:val="00022C57"/>
    <w:rPr>
      <w:rFonts w:ascii="Arial Narrow" w:hAnsi="Arial Narrow"/>
      <w:smallCaps/>
    </w:rPr>
  </w:style>
  <w:style w:type="character" w:customStyle="1" w:styleId="Buttons">
    <w:name w:val="Buttons"/>
    <w:basedOn w:val="DefaultParagraphFont"/>
    <w:rsid w:val="00022C57"/>
    <w:rPr>
      <w:b/>
    </w:rPr>
  </w:style>
  <w:style w:type="character" w:customStyle="1" w:styleId="Underlined">
    <w:name w:val="Underlined"/>
    <w:basedOn w:val="DefaultParagraphFont"/>
    <w:rsid w:val="00022C57"/>
    <w:rPr>
      <w:u w:val="single"/>
    </w:rPr>
  </w:style>
  <w:style w:type="paragraph" w:customStyle="1" w:styleId="TableBodyTextRight">
    <w:name w:val="Table Body Text Right"/>
    <w:basedOn w:val="TableBodyText"/>
    <w:rsid w:val="00022C57"/>
    <w:pPr>
      <w:widowControl w:val="0"/>
      <w:autoSpaceDE w:val="0"/>
      <w:autoSpaceDN w:val="0"/>
      <w:adjustRightInd w:val="0"/>
      <w:jc w:val="right"/>
    </w:pPr>
    <w:rPr>
      <w:rFonts w:cs="Arial"/>
      <w:szCs w:val="18"/>
    </w:rPr>
  </w:style>
  <w:style w:type="paragraph" w:customStyle="1" w:styleId="CopyrightText">
    <w:name w:val="Copyright Text"/>
    <w:basedOn w:val="BodyText"/>
    <w:rsid w:val="00022C57"/>
    <w:rPr>
      <w:sz w:val="18"/>
    </w:rPr>
  </w:style>
  <w:style w:type="paragraph" w:customStyle="1" w:styleId="BodySmallRight">
    <w:name w:val="Body Small Right"/>
    <w:basedOn w:val="BodyTextRight"/>
    <w:rsid w:val="00022C57"/>
    <w:rPr>
      <w:sz w:val="18"/>
      <w:szCs w:val="18"/>
    </w:rPr>
  </w:style>
  <w:style w:type="paragraph" w:customStyle="1" w:styleId="MarginEdition">
    <w:name w:val="Margin Edition"/>
    <w:basedOn w:val="MarginNote"/>
    <w:rsid w:val="00022C57"/>
    <w:pPr>
      <w:spacing w:before="0" w:after="0"/>
    </w:pPr>
    <w:rPr>
      <w:rFonts w:ascii="Times New Roman" w:hAnsi="Times New Roman"/>
      <w:color w:val="999999"/>
    </w:rPr>
  </w:style>
  <w:style w:type="paragraph" w:customStyle="1" w:styleId="Spacer">
    <w:name w:val="Spacer"/>
    <w:basedOn w:val="Normal"/>
    <w:rsid w:val="00022C57"/>
    <w:rPr>
      <w:sz w:val="2"/>
      <w:szCs w:val="2"/>
    </w:rPr>
  </w:style>
  <w:style w:type="character" w:customStyle="1" w:styleId="Small">
    <w:name w:val="Small"/>
    <w:basedOn w:val="DefaultParagraphFont"/>
    <w:rsid w:val="00022C57"/>
    <w:rPr>
      <w:sz w:val="16"/>
    </w:rPr>
  </w:style>
  <w:style w:type="paragraph" w:customStyle="1" w:styleId="WideTable">
    <w:name w:val="Wide Table"/>
    <w:basedOn w:val="Normal"/>
    <w:rsid w:val="00022C57"/>
    <w:pPr>
      <w:ind w:left="-1418"/>
    </w:pPr>
    <w:rPr>
      <w:sz w:val="2"/>
      <w:szCs w:val="2"/>
    </w:rPr>
  </w:style>
  <w:style w:type="character" w:styleId="PageNumber">
    <w:name w:val="page number"/>
    <w:basedOn w:val="DefaultParagraphFont"/>
    <w:rsid w:val="00022C57"/>
  </w:style>
  <w:style w:type="paragraph" w:styleId="Quote">
    <w:name w:val="Quote"/>
    <w:basedOn w:val="Heading1"/>
    <w:link w:val="QuoteChar"/>
    <w:qFormat/>
    <w:rsid w:val="00022C57"/>
    <w:rPr>
      <w:b w:val="0"/>
      <w:sz w:val="72"/>
      <w:szCs w:val="72"/>
      <w:lang w:val="en-NZ"/>
    </w:rPr>
  </w:style>
  <w:style w:type="character" w:customStyle="1" w:styleId="QuoteChar">
    <w:name w:val="Quote Char"/>
    <w:basedOn w:val="DefaultParagraphFont"/>
    <w:link w:val="Quote"/>
    <w:rsid w:val="00022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C57"/>
    <w:pPr>
      <w:pageBreakBefore/>
    </w:pPr>
  </w:style>
  <w:style w:type="paragraph" w:customStyle="1" w:styleId="Border">
    <w:name w:val="Border"/>
    <w:basedOn w:val="Normal"/>
    <w:qFormat/>
    <w:rsid w:val="00022C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C57"/>
    <w:rPr>
      <w:b/>
      <w:bCs/>
      <w:i/>
      <w:iCs/>
      <w:color w:val="auto"/>
    </w:rPr>
  </w:style>
  <w:style w:type="paragraph" w:styleId="IntenseQuote">
    <w:name w:val="Intense Quote"/>
    <w:basedOn w:val="Normal"/>
    <w:next w:val="Normal"/>
    <w:link w:val="IntenseQuoteChar"/>
    <w:uiPriority w:val="30"/>
    <w:qFormat/>
    <w:rsid w:val="00022C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C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C57"/>
    <w:rPr>
      <w:smallCaps/>
      <w:color w:val="auto"/>
      <w:u w:val="single"/>
    </w:rPr>
  </w:style>
  <w:style w:type="character" w:styleId="IntenseReference">
    <w:name w:val="Intense Reference"/>
    <w:basedOn w:val="DefaultParagraphFont"/>
    <w:uiPriority w:val="32"/>
    <w:qFormat/>
    <w:rsid w:val="00022C57"/>
    <w:rPr>
      <w:b/>
      <w:bCs/>
      <w:smallCaps/>
      <w:color w:val="auto"/>
      <w:spacing w:val="5"/>
      <w:u w:val="single"/>
    </w:rPr>
  </w:style>
  <w:style w:type="paragraph" w:customStyle="1" w:styleId="2ColumnHeading">
    <w:name w:val="2Column Heading"/>
    <w:basedOn w:val="BodyText"/>
    <w:qFormat/>
    <w:rsid w:val="00022C57"/>
    <w:pPr>
      <w:spacing w:after="60"/>
      <w:ind w:left="-2268"/>
    </w:pPr>
    <w:rPr>
      <w:b/>
    </w:rPr>
  </w:style>
  <w:style w:type="paragraph" w:customStyle="1" w:styleId="Heading1TOC">
    <w:name w:val="Heading1 TOC"/>
    <w:basedOn w:val="Normal"/>
    <w:qFormat/>
    <w:rsid w:val="00022C57"/>
    <w:pPr>
      <w:spacing w:before="240" w:after="120"/>
    </w:pPr>
    <w:rPr>
      <w:rFonts w:ascii="Times New Roman" w:hAnsi="Times New Roman"/>
      <w:b/>
      <w:sz w:val="32"/>
    </w:rPr>
  </w:style>
  <w:style w:type="paragraph" w:customStyle="1" w:styleId="Heading2TOC">
    <w:name w:val="Heading2 TOC"/>
    <w:basedOn w:val="Normal"/>
    <w:qFormat/>
    <w:rsid w:val="00022C57"/>
    <w:pPr>
      <w:spacing w:before="240" w:after="60"/>
    </w:pPr>
    <w:rPr>
      <w:rFonts w:ascii="Times New Roman" w:hAnsi="Times New Roman"/>
      <w:b/>
      <w:sz w:val="28"/>
    </w:rPr>
  </w:style>
  <w:style w:type="character" w:customStyle="1" w:styleId="Underline">
    <w:name w:val="Underline"/>
    <w:basedOn w:val="DefaultParagraphFont"/>
    <w:qFormat/>
    <w:rsid w:val="00022C57"/>
    <w:rPr>
      <w:u w:val="single"/>
    </w:rPr>
  </w:style>
  <w:style w:type="paragraph" w:styleId="BalloonText">
    <w:name w:val="Balloon Text"/>
    <w:basedOn w:val="Normal"/>
    <w:link w:val="BalloonTextChar"/>
    <w:rsid w:val="00022C57"/>
    <w:rPr>
      <w:rFonts w:ascii="Tahoma" w:hAnsi="Tahoma" w:cs="Tahoma"/>
      <w:sz w:val="16"/>
      <w:szCs w:val="16"/>
    </w:rPr>
  </w:style>
  <w:style w:type="character" w:customStyle="1" w:styleId="BalloonTextChar">
    <w:name w:val="Balloon Text Char"/>
    <w:basedOn w:val="DefaultParagraphFont"/>
    <w:link w:val="BalloonText"/>
    <w:rsid w:val="00022C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C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2C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C57"/>
    <w:rPr>
      <w:b/>
      <w:color w:val="660033"/>
      <w:spacing w:val="0"/>
    </w:rPr>
  </w:style>
  <w:style w:type="paragraph" w:customStyle="1" w:styleId="Nameditemlist">
    <w:name w:val="Named item list"/>
    <w:basedOn w:val="BodyText"/>
    <w:qFormat/>
    <w:rsid w:val="00022C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1347</Words>
  <Characters>8803</Characters>
  <Application>Microsoft Office Word</Application>
  <DocSecurity>0</DocSecurity>
  <Lines>275</Lines>
  <Paragraphs>168</Paragraphs>
  <ScaleCrop>false</ScaleCrop>
  <Company>Author-it Software Corporation Ltd.</Company>
  <LinksUpToDate>false</LinksUpToDate>
  <CharactersWithSpaces>10097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NWP429B Coordinate, implement and report on trade waste monitoring procedures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2012-10-10T09:28:00Z</dcterms:created>
  <dcterms:modified xsi:type="dcterms:W3CDTF">2012-10-10T09:28:00Z</dcterms:modified>
</cp:coreProperties>
</file>