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A8A" w:rsidP="00340A8A">
      <w:pPr>
        <w:pStyle w:val="Title"/>
      </w:pPr>
      <w:bookmarkStart w:id="0" w:name="_GoBack"/>
      <w:bookmarkEnd w:id="0"/>
      <w:r>
        <w:fldChar w:fldCharType="begin"/>
      </w:r>
      <w:r>
        <w:instrText xml:space="preserve"> TITLE   \* MERGEFORMAT </w:instrText>
      </w:r>
      <w:r>
        <w:fldChar w:fldCharType="separate"/>
      </w:r>
      <w:r>
        <w:t>NWP421A Collect, measure and process hydrometric stream discharge gauging</w:t>
      </w:r>
      <w:r>
        <w:fldChar w:fldCharType="end"/>
      </w:r>
    </w:p>
    <w:p w:rsidR="00340A8A" w:rsidP="00340A8A">
      <w:pPr>
        <w:pStyle w:val="Version"/>
        <w:sectPr w:rsidSect="00714A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14A88" w:rsidP="00714A88">
      <w:pPr>
        <w:pStyle w:val="SuperHeading"/>
      </w:pPr>
      <w:r w:rsidRPr="00714A88">
        <w:t>NWP421A Collect, measure and process hydrometric stream discharge gauging</w:t>
      </w:r>
    </w:p>
    <w:p w:rsidR="00000000" w:rsidRPr="00714A88" w:rsidP="00714A88">
      <w:pPr>
        <w:pStyle w:val="SuperHeading"/>
      </w:pPr>
    </w:p>
    <w:p w:rsidR="00000000" w:rsidRPr="00714A88" w:rsidP="00714A88">
      <w:pPr>
        <w:pStyle w:val="Heading1"/>
      </w:pPr>
      <w:bookmarkStart w:id="1" w:name="O_406436"/>
      <w:bookmarkEnd w:id="1"/>
      <w:r w:rsidRPr="00714A88">
        <w:t>Modification History</w:t>
      </w:r>
    </w:p>
    <w:p w:rsidR="00000000" w:rsidRPr="00714A88" w:rsidP="00714A88">
      <w:pPr>
        <w:pStyle w:val="BodyText"/>
      </w:pPr>
      <w:r w:rsidRPr="00714A88">
        <w:t>NWP421A Release 2:</w:t>
      </w:r>
      <w:r w:rsidRPr="00714A88">
        <w:tab/>
        <w:t>Layout adjusted. No changes to cont</w:t>
      </w:r>
      <w:r w:rsidRPr="00714A88">
        <w:t>ent.</w:t>
      </w:r>
    </w:p>
    <w:p w:rsidR="00000000" w:rsidRPr="00714A88" w:rsidP="00714A88">
      <w:pPr>
        <w:pStyle w:val="BodyText"/>
      </w:pPr>
      <w:r w:rsidRPr="00714A88">
        <w:t>NWP421A Release 1:</w:t>
      </w:r>
      <w:r w:rsidRPr="00714A88">
        <w:tab/>
        <w:t>Primary release.</w:t>
      </w:r>
    </w:p>
    <w:p w:rsidR="00000000" w:rsidRPr="00714A88" w:rsidP="00714A88">
      <w:pPr>
        <w:pStyle w:val="AllowPageBreak"/>
      </w:pPr>
    </w:p>
    <w:p w:rsidR="00000000" w:rsidRPr="00714A88" w:rsidP="00714A88">
      <w:pPr>
        <w:pStyle w:val="Heading1"/>
      </w:pPr>
      <w:bookmarkStart w:id="2" w:name="O_406432"/>
      <w:bookmarkEnd w:id="2"/>
      <w:r w:rsidRPr="00714A88">
        <w:t>Unit Descriptor</w:t>
      </w:r>
    </w:p>
    <w:p w:rsidR="00000000" w:rsidRPr="00714A88" w:rsidP="00714A88">
      <w:pPr>
        <w:pStyle w:val="BodyText"/>
      </w:pPr>
      <w:r w:rsidRPr="00714A88">
        <w:t>This unit describes the competencies required to collect data using a range of discharge measuring methods and equipment, measure and calculate readings and interpret and report data</w:t>
      </w:r>
      <w:r w:rsidRPr="00714A88">
        <w:t xml:space="preserve"> for a range of clients and stakeholders.</w:t>
      </w:r>
    </w:p>
    <w:p w:rsidR="00000000" w:rsidRPr="00714A88" w:rsidP="00714A88">
      <w:pPr>
        <w:pStyle w:val="AllowPageBreak"/>
      </w:pPr>
    </w:p>
    <w:p w:rsidR="00000000" w:rsidRPr="00714A88" w:rsidP="00714A88">
      <w:pPr>
        <w:pStyle w:val="Heading1"/>
      </w:pPr>
      <w:bookmarkStart w:id="3" w:name="O_406444"/>
      <w:bookmarkEnd w:id="3"/>
      <w:r w:rsidRPr="00714A88">
        <w:t>Application of the Unit</w:t>
      </w:r>
    </w:p>
    <w:p w:rsidR="00000000" w:rsidRPr="00714A88" w:rsidP="00714A88">
      <w:pPr>
        <w:pStyle w:val="BodyText"/>
      </w:pPr>
      <w:r w:rsidRPr="00714A88">
        <w:t>This unit supports the attainment of skills and knowledge required for assistant hydrographers, field hydrologists and water operators responsible for reporting water qualit</w:t>
      </w:r>
      <w:r w:rsidRPr="00714A88">
        <w:t>y, volume and flow in water systems. This unit is part of the skills set for hydrography and is suitable for entry level and working under the supervision of a senior hydrographer.</w:t>
      </w:r>
    </w:p>
    <w:p w:rsidR="00000000" w:rsidRPr="00714A88" w:rsidP="00714A88">
      <w:pPr>
        <w:pStyle w:val="AllowPageBreak"/>
      </w:pPr>
    </w:p>
    <w:p w:rsidR="00000000" w:rsidRPr="00714A88" w:rsidP="00714A88">
      <w:pPr>
        <w:pStyle w:val="Heading1"/>
      </w:pPr>
      <w:bookmarkStart w:id="4" w:name="O_406437"/>
      <w:bookmarkEnd w:id="4"/>
      <w:r w:rsidRPr="00714A88">
        <w:t>Licensing/Regulatory Information</w:t>
      </w:r>
    </w:p>
    <w:p w:rsidR="00000000" w:rsidRPr="00714A88" w:rsidP="00714A88">
      <w:pPr>
        <w:pStyle w:val="BodyText"/>
      </w:pPr>
      <w:r w:rsidRPr="00714A88">
        <w:t>Not applicable.</w:t>
      </w:r>
    </w:p>
    <w:p w:rsidR="00000000" w:rsidRPr="00714A88" w:rsidP="00714A88">
      <w:pPr>
        <w:pStyle w:val="AllowPageBreak"/>
      </w:pPr>
    </w:p>
    <w:p w:rsidR="00000000" w:rsidRPr="00714A88" w:rsidP="00714A88">
      <w:pPr>
        <w:pStyle w:val="Heading1"/>
      </w:pPr>
      <w:bookmarkStart w:id="5" w:name="O_406435"/>
      <w:bookmarkEnd w:id="5"/>
      <w:r w:rsidRPr="00714A88">
        <w:t>Pre-Requisites</w:t>
      </w:r>
    </w:p>
    <w:p w:rsidR="00000000" w:rsidRPr="00714A88" w:rsidP="00714A88">
      <w:pPr>
        <w:pStyle w:val="BodyText"/>
      </w:pPr>
      <w:r w:rsidRPr="00714A88">
        <w:t>Not applicable.</w:t>
      </w:r>
    </w:p>
    <w:p w:rsidR="00000000" w:rsidRPr="00714A88" w:rsidP="00714A88">
      <w:pPr>
        <w:pStyle w:val="AllowPageBreak"/>
      </w:pPr>
    </w:p>
    <w:p w:rsidR="00000000" w:rsidRPr="00714A88" w:rsidP="00714A88">
      <w:pPr>
        <w:pStyle w:val="Heading1"/>
      </w:pPr>
      <w:bookmarkStart w:id="6" w:name="O_406440"/>
      <w:bookmarkEnd w:id="6"/>
      <w:r w:rsidRPr="00714A88">
        <w:t>Employability Skills Information</w:t>
      </w:r>
    </w:p>
    <w:p w:rsidR="00000000" w:rsidRPr="00714A88" w:rsidP="00714A88">
      <w:pPr>
        <w:pStyle w:val="BodyText"/>
      </w:pPr>
      <w:r w:rsidRPr="00714A88">
        <w:t>This unit contains employability skills.</w:t>
      </w:r>
    </w:p>
    <w:p w:rsidR="00000000" w:rsidRPr="00714A88" w:rsidP="00714A88">
      <w:pPr>
        <w:pStyle w:val="AllowPageBreak"/>
      </w:pPr>
    </w:p>
    <w:p w:rsidR="00000000" w:rsidRPr="00714A88" w:rsidP="00714A88">
      <w:pPr>
        <w:pStyle w:val="Heading1"/>
      </w:pPr>
      <w:bookmarkStart w:id="7" w:name="O_406441"/>
      <w:bookmarkEnd w:id="7"/>
      <w:r w:rsidRPr="00714A88">
        <w:t>Elements and Performance Criteria Pre-Content</w:t>
      </w:r>
    </w:p>
    <w:tbl>
      <w:tblPr>
        <w:tblW w:w="0" w:type="auto"/>
        <w:tblLayout w:type="fixed"/>
        <w:tblCellMar>
          <w:left w:w="62" w:type="dxa"/>
          <w:right w:w="62" w:type="dxa"/>
        </w:tblCellMar>
        <w:tblLook w:val="0000"/>
      </w:tblPr>
      <w:tblGrid>
        <w:gridCol w:w="2250"/>
        <w:gridCol w:w="6761"/>
      </w:tblGrid>
      <w:tr w:rsidTr="00340A8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t>Elements describe the essential outcomes of a unit of competenc</w:t>
            </w:r>
            <w:r w:rsidRPr="00714A88">
              <w:t>y.</w:t>
            </w:r>
          </w:p>
        </w:tc>
        <w:tc>
          <w:tcPr>
            <w:tcW w:w="6761" w:type="dxa"/>
            <w:tcBorders>
              <w:top w:val="nil"/>
              <w:left w:val="nil"/>
              <w:bottom w:val="nil"/>
              <w:right w:val="nil"/>
            </w:tcBorders>
            <w:tcMar>
              <w:top w:w="0" w:type="dxa"/>
              <w:left w:w="62" w:type="dxa"/>
              <w:bottom w:w="0" w:type="dxa"/>
              <w:right w:w="62" w:type="dxa"/>
            </w:tcMar>
          </w:tcPr>
          <w:p w:rsidR="00000000" w:rsidRPr="00714A88" w:rsidP="00714A88">
            <w:pPr>
              <w:pStyle w:val="BodyText"/>
            </w:pPr>
            <w:r w:rsidRPr="00714A88">
              <w:t xml:space="preserve">Performance criteria describe the performance needed to demonstrate achievement of the element. Where </w:t>
            </w:r>
            <w:r w:rsidRPr="00714A88">
              <w:rPr>
                <w:rStyle w:val="BoldandItalics"/>
              </w:rPr>
              <w:t>bold italicised</w:t>
            </w:r>
            <w:r w:rsidRPr="00714A88">
              <w:t xml:space="preserve"> text is used, further information is detailed in the range statement. Assessment of performance is to be consistent with the evidence g</w:t>
            </w:r>
            <w:r w:rsidRPr="00714A88">
              <w:t>uide.</w:t>
            </w:r>
          </w:p>
        </w:tc>
      </w:tr>
    </w:tbl>
    <w:p w:rsidR="00000000" w:rsidRPr="00714A88" w:rsidP="00714A88">
      <w:pPr>
        <w:pStyle w:val="BodyText"/>
      </w:pPr>
    </w:p>
    <w:p w:rsidR="00000000" w:rsidRPr="00714A88" w:rsidP="00714A88">
      <w:pPr>
        <w:pStyle w:val="AllowPageBreak"/>
      </w:pPr>
    </w:p>
    <w:p w:rsidR="00000000" w:rsidRPr="00714A88" w:rsidP="00714A88">
      <w:pPr>
        <w:pStyle w:val="Heading1"/>
      </w:pPr>
      <w:bookmarkStart w:id="8" w:name="O_406442"/>
      <w:bookmarkEnd w:id="8"/>
      <w:r w:rsidRPr="00714A88">
        <w:t>Elements and Performance Criteria</w:t>
      </w:r>
    </w:p>
    <w:tbl>
      <w:tblPr>
        <w:tblW w:w="0" w:type="auto"/>
        <w:tblLayout w:type="fixed"/>
        <w:tblCellMar>
          <w:left w:w="62" w:type="dxa"/>
          <w:right w:w="62" w:type="dxa"/>
        </w:tblCellMar>
        <w:tblLook w:val="0000"/>
      </w:tblPr>
      <w:tblGrid>
        <w:gridCol w:w="2250"/>
        <w:gridCol w:w="6761"/>
      </w:tblGrid>
      <w:tr w:rsidTr="00340A8A">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714A88" w:rsidP="00714A88">
            <w:pPr>
              <w:pStyle w:val="BodyText"/>
            </w:pPr>
            <w:r w:rsidRPr="00714A88">
              <w:rPr>
                <w:rStyle w:val="SpecialBold"/>
              </w:rPr>
              <w:t>ELEMENT</w:t>
            </w:r>
          </w:p>
        </w:tc>
        <w:tc>
          <w:tcPr>
            <w:tcW w:w="6761"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SpecialBold"/>
              </w:rPr>
              <w:t>PERFORMANCE CRITERIA</w:t>
            </w:r>
          </w:p>
        </w:tc>
      </w:tr>
      <w:tr w:rsidTr="00340A8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14A88">
            <w:pPr>
              <w:pStyle w:val="List"/>
              <w:rPr>
                <w:lang w:val="en-NZ"/>
              </w:rPr>
            </w:pPr>
            <w:r w:rsidRPr="00714A88">
              <w:rPr>
                <w:rStyle w:val="SpecialBold"/>
              </w:rPr>
              <w:t>1</w:t>
            </w:r>
            <w:r w:rsidRPr="00714A88">
              <w:tab/>
            </w:r>
            <w:r w:rsidRPr="00714A88">
              <w:rPr>
                <w:rStyle w:val="SpecialBold"/>
              </w:rPr>
              <w:t>Identify flow gauging</w:t>
            </w:r>
            <w:r w:rsidRPr="00714A88">
              <w:t>.</w:t>
            </w:r>
          </w:p>
        </w:tc>
        <w:tc>
          <w:tcPr>
            <w:tcW w:w="6761" w:type="dxa"/>
            <w:tcBorders>
              <w:top w:val="nil"/>
              <w:left w:val="nil"/>
              <w:bottom w:val="nil"/>
              <w:right w:val="nil"/>
            </w:tcBorders>
            <w:tcMar>
              <w:top w:w="0" w:type="dxa"/>
              <w:left w:w="62" w:type="dxa"/>
              <w:bottom w:w="0" w:type="dxa"/>
              <w:right w:w="62" w:type="dxa"/>
            </w:tcMar>
          </w:tcPr>
          <w:p w:rsidR="00000000" w:rsidRPr="00714A88" w:rsidP="00714A88">
            <w:pPr>
              <w:pStyle w:val="List"/>
            </w:pPr>
            <w:r w:rsidRPr="00714A88">
              <w:t>1.1</w:t>
            </w:r>
            <w:r w:rsidRPr="00714A88">
              <w:tab/>
              <w:t xml:space="preserve">Identify stream discharge and </w:t>
            </w:r>
            <w:r w:rsidRPr="00714A88">
              <w:rPr>
                <w:rStyle w:val="BoldandItalics"/>
              </w:rPr>
              <w:t>factors affecting accuracy</w:t>
            </w:r>
            <w:r w:rsidRPr="00714A88">
              <w:t>.</w:t>
            </w:r>
          </w:p>
          <w:p w:rsidR="00000000" w:rsidRPr="00714A88" w:rsidP="00714A88">
            <w:pPr>
              <w:pStyle w:val="List"/>
            </w:pPr>
            <w:r w:rsidRPr="00714A88">
              <w:t>1.2</w:t>
            </w:r>
            <w:r w:rsidRPr="00714A88">
              <w:tab/>
              <w:t xml:space="preserve">Identify the purposes of gauging and </w:t>
            </w:r>
            <w:r w:rsidRPr="00714A88">
              <w:rPr>
                <w:rStyle w:val="BoldandItalics"/>
              </w:rPr>
              <w:t>gauging</w:t>
            </w:r>
            <w:r w:rsidRPr="00714A88">
              <w:t xml:space="preserve"> </w:t>
            </w:r>
            <w:r w:rsidRPr="00714A88">
              <w:rPr>
                <w:rStyle w:val="BoldandItalics"/>
              </w:rPr>
              <w:t>methodologies</w:t>
            </w:r>
            <w:r w:rsidRPr="00714A88">
              <w:t>.</w:t>
            </w:r>
          </w:p>
          <w:p w:rsidR="00000000" w:rsidRPr="00714A88" w:rsidP="00714A88">
            <w:pPr>
              <w:pStyle w:val="List"/>
            </w:pPr>
            <w:r w:rsidRPr="00714A88">
              <w:t>1.3</w:t>
            </w:r>
            <w:r w:rsidRPr="00714A88">
              <w:tab/>
            </w:r>
            <w:r w:rsidRPr="00714A88">
              <w:t xml:space="preserve">Identify the </w:t>
            </w:r>
            <w:r w:rsidRPr="00714A88">
              <w:rPr>
                <w:rStyle w:val="BoldandItalics"/>
              </w:rPr>
              <w:t>area velocity</w:t>
            </w:r>
            <w:r w:rsidRPr="00714A88">
              <w:t xml:space="preserve"> </w:t>
            </w:r>
            <w:r w:rsidRPr="00714A88">
              <w:rPr>
                <w:rStyle w:val="BoldandItalics"/>
              </w:rPr>
              <w:t>methods</w:t>
            </w:r>
            <w:r w:rsidRPr="00714A88">
              <w:t xml:space="preserve"> for calculating discharge.</w:t>
            </w:r>
          </w:p>
          <w:p w:rsidR="00000000" w:rsidP="00714A88">
            <w:pPr>
              <w:pStyle w:val="List"/>
              <w:rPr>
                <w:lang w:val="en-NZ"/>
              </w:rPr>
            </w:pPr>
            <w:r w:rsidRPr="00714A88">
              <w:t>1.4</w:t>
            </w:r>
            <w:r w:rsidRPr="00714A88">
              <w:tab/>
              <w:t xml:space="preserve">Identify </w:t>
            </w:r>
            <w:r w:rsidRPr="00714A88">
              <w:rPr>
                <w:rStyle w:val="BoldandItalics"/>
              </w:rPr>
              <w:t>hazards</w:t>
            </w:r>
            <w:r w:rsidRPr="00714A88">
              <w:t xml:space="preserve"> and hazard management principles according to </w:t>
            </w:r>
            <w:r w:rsidRPr="00714A88">
              <w:rPr>
                <w:rStyle w:val="BoldandItalics"/>
              </w:rPr>
              <w:t>occupational health and safety requirements</w:t>
            </w:r>
            <w:r w:rsidRPr="00714A88">
              <w:t>.</w:t>
            </w:r>
          </w:p>
        </w:tc>
      </w:tr>
      <w:tr w:rsidTr="00340A8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14A88">
            <w:pPr>
              <w:pStyle w:val="List"/>
              <w:rPr>
                <w:lang w:val="en-NZ"/>
              </w:rPr>
            </w:pPr>
            <w:r w:rsidRPr="00714A88">
              <w:rPr>
                <w:rStyle w:val="SpecialBold"/>
              </w:rPr>
              <w:t>2</w:t>
            </w:r>
            <w:r w:rsidRPr="00714A88">
              <w:tab/>
            </w:r>
            <w:r w:rsidRPr="00714A88">
              <w:rPr>
                <w:rStyle w:val="SpecialBold"/>
              </w:rPr>
              <w:t>Collect depth and velocity data</w:t>
            </w:r>
            <w:r w:rsidRPr="00714A88">
              <w:t>.</w:t>
            </w:r>
          </w:p>
        </w:tc>
        <w:tc>
          <w:tcPr>
            <w:tcW w:w="6761" w:type="dxa"/>
            <w:tcBorders>
              <w:top w:val="nil"/>
              <w:left w:val="nil"/>
              <w:bottom w:val="nil"/>
              <w:right w:val="nil"/>
            </w:tcBorders>
            <w:tcMar>
              <w:top w:w="0" w:type="dxa"/>
              <w:left w:w="62" w:type="dxa"/>
              <w:bottom w:w="0" w:type="dxa"/>
              <w:right w:w="62" w:type="dxa"/>
            </w:tcMar>
          </w:tcPr>
          <w:p w:rsidR="00000000" w:rsidRPr="00714A88" w:rsidP="00714A88">
            <w:pPr>
              <w:pStyle w:val="List"/>
            </w:pPr>
            <w:r w:rsidRPr="00714A88">
              <w:t>2.1</w:t>
            </w:r>
            <w:r w:rsidRPr="00714A88">
              <w:tab/>
              <w:t>Take measurements during gauging following</w:t>
            </w:r>
            <w:r w:rsidRPr="00714A88">
              <w:t xml:space="preserve"> occupational health and safety procedures.</w:t>
            </w:r>
          </w:p>
          <w:p w:rsidR="00000000" w:rsidRPr="00714A88" w:rsidP="00714A88">
            <w:pPr>
              <w:pStyle w:val="List"/>
            </w:pPr>
            <w:r w:rsidRPr="00714A88">
              <w:t>2.2</w:t>
            </w:r>
            <w:r w:rsidRPr="00714A88">
              <w:tab/>
              <w:t>Select verticals for measurement of velocity.</w:t>
            </w:r>
          </w:p>
          <w:p w:rsidR="00000000" w:rsidRPr="00714A88" w:rsidP="00714A88">
            <w:pPr>
              <w:pStyle w:val="List"/>
            </w:pPr>
            <w:r w:rsidRPr="00714A88">
              <w:t>2.3</w:t>
            </w:r>
            <w:r w:rsidRPr="00714A88">
              <w:tab/>
              <w:t xml:space="preserve">Select suitable </w:t>
            </w:r>
            <w:r w:rsidRPr="00714A88">
              <w:rPr>
                <w:rStyle w:val="BoldandItalics"/>
              </w:rPr>
              <w:t>gauging equipment</w:t>
            </w:r>
            <w:r w:rsidRPr="00714A88">
              <w:t xml:space="preserve"> according to the conditions of the location, assignment and client requirements and </w:t>
            </w:r>
            <w:r w:rsidRPr="00714A88">
              <w:rPr>
                <w:rStyle w:val="BoldandItalics"/>
              </w:rPr>
              <w:t>gauging site conditions</w:t>
            </w:r>
            <w:r w:rsidRPr="00714A88">
              <w:t>.</w:t>
            </w:r>
          </w:p>
          <w:p w:rsidR="00000000" w:rsidRPr="00714A88" w:rsidP="00714A88">
            <w:pPr>
              <w:pStyle w:val="List"/>
            </w:pPr>
            <w:r w:rsidRPr="00714A88">
              <w:t>2.4</w:t>
            </w:r>
            <w:r w:rsidRPr="00714A88">
              <w:tab/>
              <w:t>Prepare the</w:t>
            </w:r>
            <w:r w:rsidRPr="00714A88">
              <w:t xml:space="preserve"> equipment and gauging site.</w:t>
            </w:r>
          </w:p>
          <w:p w:rsidR="00000000" w:rsidRPr="00714A88" w:rsidP="00714A88">
            <w:pPr>
              <w:pStyle w:val="List"/>
            </w:pPr>
            <w:r w:rsidRPr="00714A88">
              <w:t>2.5</w:t>
            </w:r>
            <w:r w:rsidRPr="00714A88">
              <w:tab/>
              <w:t xml:space="preserve">Apply a range of suitable and </w:t>
            </w:r>
            <w:r w:rsidRPr="00714A88">
              <w:rPr>
                <w:rStyle w:val="BoldandItalics"/>
              </w:rPr>
              <w:t>alternative methods</w:t>
            </w:r>
            <w:r w:rsidRPr="00714A88">
              <w:t xml:space="preserve"> for obtaining the mean velocity in a vertical.</w:t>
            </w:r>
          </w:p>
          <w:p w:rsidR="00000000" w:rsidRPr="00714A88" w:rsidP="00714A88">
            <w:pPr>
              <w:pStyle w:val="List"/>
            </w:pPr>
            <w:r w:rsidRPr="00714A88">
              <w:t>2.6</w:t>
            </w:r>
            <w:r w:rsidRPr="00714A88">
              <w:tab/>
              <w:t>Apply the mid section and mean section methods.</w:t>
            </w:r>
          </w:p>
          <w:p w:rsidR="00000000" w:rsidRPr="00714A88" w:rsidP="00714A88">
            <w:pPr>
              <w:pStyle w:val="List"/>
            </w:pPr>
            <w:r w:rsidRPr="00714A88">
              <w:t>2.7</w:t>
            </w:r>
            <w:r w:rsidRPr="00714A88">
              <w:tab/>
              <w:t>Position the current meter according to guidelines.</w:t>
            </w:r>
          </w:p>
          <w:p w:rsidR="00000000" w:rsidRPr="00714A88" w:rsidP="00714A88">
            <w:pPr>
              <w:pStyle w:val="List"/>
            </w:pPr>
            <w:r w:rsidRPr="00714A88">
              <w:t>2.8</w:t>
            </w:r>
            <w:r w:rsidRPr="00714A88">
              <w:tab/>
              <w:t>Select the app</w:t>
            </w:r>
            <w:r w:rsidRPr="00714A88">
              <w:t>ropriate discharge measurement method.</w:t>
            </w:r>
          </w:p>
          <w:p w:rsidR="00000000" w:rsidP="00714A88">
            <w:pPr>
              <w:pStyle w:val="List"/>
              <w:rPr>
                <w:lang w:val="en-NZ"/>
              </w:rPr>
            </w:pPr>
            <w:r w:rsidRPr="00714A88">
              <w:t>2.9</w:t>
            </w:r>
            <w:r w:rsidRPr="00714A88">
              <w:tab/>
              <w:t xml:space="preserve">Calculate the depth settings and point velocity using </w:t>
            </w:r>
            <w:r w:rsidRPr="00714A88">
              <w:rPr>
                <w:rStyle w:val="BoldandItalics"/>
              </w:rPr>
              <w:t>required mathematical techniques</w:t>
            </w:r>
            <w:r w:rsidRPr="00714A88">
              <w:t>.</w:t>
            </w:r>
          </w:p>
        </w:tc>
      </w:tr>
      <w:tr w:rsidTr="00340A8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14A88">
            <w:pPr>
              <w:pStyle w:val="List"/>
              <w:rPr>
                <w:lang w:val="en-NZ"/>
              </w:rPr>
            </w:pPr>
            <w:r w:rsidRPr="00714A88">
              <w:rPr>
                <w:rStyle w:val="SpecialBold"/>
              </w:rPr>
              <w:t>3</w:t>
            </w:r>
            <w:r w:rsidRPr="00714A88">
              <w:tab/>
            </w:r>
            <w:r w:rsidRPr="00714A88">
              <w:rPr>
                <w:rStyle w:val="SpecialBold"/>
              </w:rPr>
              <w:t>Calculate discharge</w:t>
            </w:r>
            <w:r w:rsidRPr="00714A88">
              <w:t>.</w:t>
            </w:r>
          </w:p>
        </w:tc>
        <w:tc>
          <w:tcPr>
            <w:tcW w:w="6761" w:type="dxa"/>
            <w:tcBorders>
              <w:top w:val="nil"/>
              <w:left w:val="nil"/>
              <w:bottom w:val="nil"/>
              <w:right w:val="nil"/>
            </w:tcBorders>
            <w:tcMar>
              <w:top w:w="0" w:type="dxa"/>
              <w:left w:w="62" w:type="dxa"/>
              <w:bottom w:w="0" w:type="dxa"/>
              <w:right w:w="62" w:type="dxa"/>
            </w:tcMar>
          </w:tcPr>
          <w:p w:rsidR="00000000" w:rsidRPr="00714A88" w:rsidP="00714A88">
            <w:pPr>
              <w:pStyle w:val="List"/>
            </w:pPr>
            <w:r w:rsidRPr="00714A88">
              <w:t>3.1</w:t>
            </w:r>
            <w:r w:rsidRPr="00714A88">
              <w:tab/>
              <w:t>Apply corrections for oblique flows and drift angles.</w:t>
            </w:r>
          </w:p>
          <w:p w:rsidR="00000000" w:rsidRPr="00714A88" w:rsidP="00714A88">
            <w:pPr>
              <w:pStyle w:val="List"/>
            </w:pPr>
            <w:r w:rsidRPr="00714A88">
              <w:t>3.2</w:t>
            </w:r>
            <w:r w:rsidRPr="00714A88">
              <w:tab/>
            </w:r>
            <w:r w:rsidRPr="00714A88">
              <w:t>Calculate the mean velocity for each vertical.</w:t>
            </w:r>
          </w:p>
          <w:p w:rsidR="00000000" w:rsidRPr="00714A88" w:rsidP="00714A88">
            <w:pPr>
              <w:pStyle w:val="List"/>
            </w:pPr>
            <w:r w:rsidRPr="00714A88">
              <w:t>3.3</w:t>
            </w:r>
            <w:r w:rsidRPr="00714A88">
              <w:tab/>
              <w:t>Calculate the area and discharge corresponding to each sub-section.</w:t>
            </w:r>
          </w:p>
          <w:p w:rsidR="00000000" w:rsidRPr="00714A88" w:rsidP="00714A88">
            <w:pPr>
              <w:pStyle w:val="List"/>
            </w:pPr>
            <w:r w:rsidRPr="00714A88">
              <w:t>3.4</w:t>
            </w:r>
            <w:r w:rsidRPr="00714A88">
              <w:tab/>
              <w:t>Calculate the discharge using the mid section and mean section method.</w:t>
            </w:r>
          </w:p>
          <w:p w:rsidR="00000000" w:rsidRPr="00714A88" w:rsidP="00714A88">
            <w:pPr>
              <w:pStyle w:val="List"/>
            </w:pPr>
            <w:r w:rsidRPr="00714A88">
              <w:t>3.5</w:t>
            </w:r>
            <w:r w:rsidRPr="00714A88">
              <w:tab/>
              <w:t>Calculate and record the mean stage and rate of change.</w:t>
            </w:r>
          </w:p>
          <w:p w:rsidR="00000000" w:rsidP="00714A88">
            <w:pPr>
              <w:pStyle w:val="List"/>
              <w:rPr>
                <w:lang w:val="en-NZ"/>
              </w:rPr>
            </w:pPr>
            <w:r w:rsidRPr="00714A88">
              <w:t>3.</w:t>
            </w:r>
            <w:r w:rsidRPr="00714A88">
              <w:t>6</w:t>
            </w:r>
            <w:r w:rsidRPr="00714A88">
              <w:tab/>
              <w:t>Calculate the channel storage and time of travel effects.</w:t>
            </w:r>
          </w:p>
        </w:tc>
      </w:tr>
      <w:tr w:rsidTr="00340A8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14A88">
            <w:pPr>
              <w:pStyle w:val="List"/>
              <w:rPr>
                <w:lang w:val="en-NZ"/>
              </w:rPr>
            </w:pPr>
            <w:r w:rsidRPr="00714A88">
              <w:rPr>
                <w:rStyle w:val="SpecialBold"/>
              </w:rPr>
              <w:t>4</w:t>
            </w:r>
            <w:r w:rsidRPr="00714A88">
              <w:tab/>
            </w:r>
            <w:r w:rsidRPr="00714A88">
              <w:rPr>
                <w:rStyle w:val="SpecialBold"/>
              </w:rPr>
              <w:t>Report discharge readings</w:t>
            </w:r>
            <w:r w:rsidRPr="00714A88">
              <w:t>.</w:t>
            </w:r>
          </w:p>
        </w:tc>
        <w:tc>
          <w:tcPr>
            <w:tcW w:w="6761" w:type="dxa"/>
            <w:tcBorders>
              <w:top w:val="nil"/>
              <w:left w:val="nil"/>
              <w:bottom w:val="nil"/>
              <w:right w:val="nil"/>
            </w:tcBorders>
            <w:tcMar>
              <w:top w:w="0" w:type="dxa"/>
              <w:left w:w="62" w:type="dxa"/>
              <w:bottom w:w="0" w:type="dxa"/>
              <w:right w:w="62" w:type="dxa"/>
            </w:tcMar>
          </w:tcPr>
          <w:p w:rsidR="00000000" w:rsidRPr="00714A88" w:rsidP="00714A88">
            <w:pPr>
              <w:pStyle w:val="List"/>
            </w:pPr>
            <w:r w:rsidRPr="00714A88">
              <w:t>4.1</w:t>
            </w:r>
            <w:r w:rsidRPr="00714A88">
              <w:tab/>
              <w:t xml:space="preserve">Compare the discharge measurements with the current rating. </w:t>
            </w:r>
          </w:p>
          <w:p w:rsidR="00000000" w:rsidRPr="00714A88" w:rsidP="00714A88">
            <w:pPr>
              <w:pStyle w:val="List"/>
            </w:pPr>
            <w:r w:rsidRPr="00714A88">
              <w:t>4.2</w:t>
            </w:r>
            <w:r w:rsidRPr="00714A88">
              <w:tab/>
              <w:t xml:space="preserve">Record the </w:t>
            </w:r>
            <w:r w:rsidRPr="00714A88">
              <w:rPr>
                <w:rStyle w:val="BoldandItalics"/>
              </w:rPr>
              <w:t>percentage deviation</w:t>
            </w:r>
            <w:r w:rsidRPr="00714A88">
              <w:t xml:space="preserve"> from the rating.</w:t>
            </w:r>
          </w:p>
          <w:p w:rsidR="00000000" w:rsidRPr="00714A88" w:rsidP="00714A88">
            <w:pPr>
              <w:pStyle w:val="List"/>
            </w:pPr>
            <w:r w:rsidRPr="00714A88">
              <w:t>4.3</w:t>
            </w:r>
            <w:r w:rsidRPr="00714A88">
              <w:tab/>
              <w:t>Grade and record the gauging quality with in</w:t>
            </w:r>
            <w:r w:rsidRPr="00714A88">
              <w:t>terpretation comments.</w:t>
            </w:r>
          </w:p>
          <w:p w:rsidR="00000000" w:rsidRPr="00714A88" w:rsidP="00714A88">
            <w:pPr>
              <w:pStyle w:val="List"/>
            </w:pPr>
            <w:r w:rsidRPr="00714A88">
              <w:t>4.4</w:t>
            </w:r>
            <w:r w:rsidRPr="00714A88">
              <w:tab/>
              <w:t xml:space="preserve">Gather </w:t>
            </w:r>
            <w:r w:rsidRPr="00714A88">
              <w:rPr>
                <w:rStyle w:val="BoldandItalics"/>
              </w:rPr>
              <w:t>supporting information</w:t>
            </w:r>
            <w:r w:rsidRPr="00714A88">
              <w:t xml:space="preserve"> from the site and document accurately according to </w:t>
            </w:r>
            <w:r w:rsidRPr="00714A88">
              <w:rPr>
                <w:rStyle w:val="BoldandItalics"/>
              </w:rPr>
              <w:t>organisation requirements</w:t>
            </w:r>
            <w:r w:rsidRPr="00714A88">
              <w:t>.</w:t>
            </w:r>
          </w:p>
          <w:p w:rsidR="00000000" w:rsidRPr="00714A88" w:rsidP="00714A88">
            <w:pPr>
              <w:pStyle w:val="List"/>
            </w:pPr>
            <w:r w:rsidRPr="00714A88">
              <w:t>4.5</w:t>
            </w:r>
            <w:r w:rsidRPr="00714A88">
              <w:tab/>
              <w:t>Enter gauging into ratings database according to organisation requirements.</w:t>
            </w:r>
          </w:p>
        </w:tc>
      </w:tr>
    </w:tbl>
    <w:p w:rsidR="00000000" w:rsidRPr="00714A88" w:rsidP="00714A88">
      <w:pPr>
        <w:pStyle w:val="BodyText"/>
      </w:pPr>
    </w:p>
    <w:p w:rsidR="00000000" w:rsidRPr="00714A88" w:rsidP="00714A88">
      <w:pPr>
        <w:pStyle w:val="AllowPageBreak"/>
      </w:pPr>
    </w:p>
    <w:p w:rsidR="00000000" w:rsidRPr="00714A88" w:rsidP="00714A88">
      <w:pPr>
        <w:pStyle w:val="Heading1"/>
      </w:pPr>
      <w:bookmarkStart w:id="9" w:name="O_406433"/>
      <w:bookmarkEnd w:id="9"/>
      <w:r w:rsidRPr="00714A88">
        <w:t>Required Skills and Kn</w:t>
      </w:r>
      <w:r w:rsidRPr="00714A88">
        <w:t>owledge</w:t>
      </w:r>
    </w:p>
    <w:tbl>
      <w:tblPr>
        <w:tblW w:w="0" w:type="auto"/>
        <w:tblLayout w:type="fixed"/>
        <w:tblCellMar>
          <w:left w:w="62" w:type="dxa"/>
          <w:right w:w="62" w:type="dxa"/>
        </w:tblCellMar>
        <w:tblLook w:val="0000"/>
      </w:tblPr>
      <w:tblGrid>
        <w:gridCol w:w="8997"/>
      </w:tblGrid>
      <w:tr w:rsidTr="00340A8A">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t>This section describes the skills and knowledge required for this unit.</w:t>
            </w:r>
          </w:p>
        </w:tc>
      </w:tr>
      <w:tr w:rsidTr="00340A8A">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714A88" w:rsidP="00714A88">
            <w:pPr>
              <w:pStyle w:val="BodyText"/>
            </w:pPr>
            <w:r w:rsidRPr="00714A88">
              <w:rPr>
                <w:rStyle w:val="SpecialBold"/>
              </w:rPr>
              <w:t>Required skills</w:t>
            </w:r>
            <w:r w:rsidRPr="00714A88">
              <w:t>:</w:t>
            </w:r>
          </w:p>
          <w:p w:rsidR="00000000" w:rsidRPr="00714A88" w:rsidP="00714A88">
            <w:pPr>
              <w:pStyle w:val="ListBullet"/>
            </w:pPr>
            <w:r w:rsidRPr="00714A88">
              <w:t>use area velocity method</w:t>
            </w:r>
          </w:p>
          <w:p w:rsidR="00000000" w:rsidRPr="00714A88" w:rsidP="00714A88">
            <w:pPr>
              <w:pStyle w:val="ListBullet"/>
            </w:pPr>
            <w:r w:rsidRPr="00714A88">
              <w:t>assess hazards and apply relevant precautions and action</w:t>
            </w:r>
          </w:p>
          <w:p w:rsidR="00000000" w:rsidRPr="00714A88" w:rsidP="00714A88">
            <w:pPr>
              <w:pStyle w:val="ListBullet"/>
            </w:pPr>
            <w:r w:rsidRPr="00714A88">
              <w:t>estimate and explain the anticipated vertical distribution</w:t>
            </w:r>
          </w:p>
          <w:p w:rsidR="00000000" w:rsidRPr="00714A88" w:rsidP="00714A88">
            <w:pPr>
              <w:pStyle w:val="ListBullet"/>
            </w:pPr>
            <w:r w:rsidRPr="00714A88">
              <w:t>make calculations on depth and velocity</w:t>
            </w:r>
          </w:p>
          <w:p w:rsidR="00000000" w:rsidRPr="00714A88" w:rsidP="00714A88">
            <w:pPr>
              <w:pStyle w:val="ListBullet"/>
            </w:pPr>
            <w:r w:rsidRPr="00714A88">
              <w:t>maintain the integrity of measurements</w:t>
            </w:r>
          </w:p>
          <w:p w:rsidR="00000000" w:rsidRPr="00714A88" w:rsidP="00714A88">
            <w:pPr>
              <w:pStyle w:val="ListBullet"/>
            </w:pPr>
            <w:r w:rsidRPr="00714A88">
              <w:t>use a range of suitable techniques to accurately determine mean stage in rapidly changing situations</w:t>
            </w:r>
          </w:p>
          <w:p w:rsidR="00000000" w:rsidRPr="00714A88" w:rsidP="00714A88">
            <w:pPr>
              <w:pStyle w:val="ListBullet"/>
            </w:pPr>
            <w:r w:rsidRPr="00714A88">
              <w:t>adjust measurements correctly</w:t>
            </w:r>
          </w:p>
          <w:p w:rsidR="00000000" w:rsidRPr="00714A88" w:rsidP="00714A88">
            <w:pPr>
              <w:pStyle w:val="ListBullet"/>
            </w:pPr>
            <w:r w:rsidRPr="00714A88">
              <w:t xml:space="preserve">plot discharge measurements on organisation's </w:t>
            </w:r>
            <w:r w:rsidRPr="00714A88">
              <w:t>preferred scale</w:t>
            </w:r>
          </w:p>
          <w:p w:rsidR="00000000" w:rsidRPr="00714A88" w:rsidP="00714A88">
            <w:pPr>
              <w:pStyle w:val="ListBullet"/>
            </w:pPr>
            <w:r w:rsidRPr="00714A88">
              <w:t>use formulae for determining the percentage deviation</w:t>
            </w:r>
          </w:p>
          <w:p w:rsidR="00000000" w:rsidRPr="00714A88" w:rsidP="00714A88">
            <w:pPr>
              <w:pStyle w:val="ListBullet"/>
            </w:pPr>
            <w:r w:rsidRPr="00714A88">
              <w:t>use computing system and software to transfer calculated flows to office database</w:t>
            </w:r>
          </w:p>
          <w:p w:rsidR="00000000" w:rsidRPr="00714A88" w:rsidP="00714A88">
            <w:pPr>
              <w:pStyle w:val="ListBullet"/>
            </w:pPr>
            <w:r w:rsidRPr="00714A88">
              <w:t>assemble and test metering equipment</w:t>
            </w:r>
          </w:p>
          <w:p w:rsidR="00000000" w:rsidRPr="00714A88" w:rsidP="00714A88">
            <w:pPr>
              <w:pStyle w:val="ListBullet"/>
            </w:pPr>
            <w:r w:rsidRPr="00714A88">
              <w:t>check operation of equipment</w:t>
            </w:r>
          </w:p>
          <w:p w:rsidR="00000000" w:rsidRPr="00714A88" w:rsidP="00714A88">
            <w:pPr>
              <w:pStyle w:val="ListBullet"/>
            </w:pPr>
            <w:r w:rsidRPr="00714A88">
              <w:t>check gauging section</w:t>
            </w:r>
          </w:p>
          <w:p w:rsidR="00000000" w:rsidRPr="00714A88" w:rsidP="00714A88">
            <w:pPr>
              <w:pStyle w:val="ListBullet"/>
            </w:pPr>
            <w:r w:rsidRPr="00714A88">
              <w:t>set tag lines</w:t>
            </w:r>
          </w:p>
          <w:p w:rsidR="00000000" w:rsidP="00714A88">
            <w:pPr>
              <w:pStyle w:val="ListBullet"/>
              <w:rPr>
                <w:lang w:val="en-NZ"/>
              </w:rPr>
            </w:pPr>
            <w:r w:rsidRPr="00714A88">
              <w:t>pr</w:t>
            </w:r>
            <w:r w:rsidRPr="00714A88">
              <w:t>epare gauging section</w:t>
            </w:r>
          </w:p>
        </w:tc>
      </w:tr>
      <w:tr w:rsidTr="00340A8A">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714A88" w:rsidP="00714A88">
            <w:pPr>
              <w:pStyle w:val="BodyText"/>
            </w:pPr>
            <w:r w:rsidRPr="00714A88">
              <w:rPr>
                <w:rStyle w:val="SpecialBold"/>
              </w:rPr>
              <w:t>Required knowledge</w:t>
            </w:r>
            <w:r w:rsidRPr="00714A88">
              <w:t>:</w:t>
            </w:r>
          </w:p>
          <w:p w:rsidR="00000000" w:rsidRPr="00714A88" w:rsidP="00714A88">
            <w:pPr>
              <w:pStyle w:val="ListBullet"/>
            </w:pPr>
            <w:r w:rsidRPr="00714A88">
              <w:t>principles of discharge measurement</w:t>
            </w:r>
          </w:p>
          <w:p w:rsidR="00000000" w:rsidRPr="00714A88" w:rsidP="00714A88">
            <w:pPr>
              <w:pStyle w:val="ListBullet"/>
            </w:pPr>
            <w:r w:rsidRPr="00714A88">
              <w:t>methods for calculating mean velocity in a vertical</w:t>
            </w:r>
          </w:p>
          <w:p w:rsidR="00000000" w:rsidRPr="00714A88" w:rsidP="00714A88">
            <w:pPr>
              <w:pStyle w:val="ListBullet"/>
            </w:pPr>
            <w:r w:rsidRPr="00714A88">
              <w:t>methods for determining the cross sectional area at a site</w:t>
            </w:r>
          </w:p>
          <w:p w:rsidR="00000000" w:rsidRPr="00714A88" w:rsidP="00714A88">
            <w:pPr>
              <w:pStyle w:val="ListBullet"/>
            </w:pPr>
            <w:r w:rsidRPr="00714A88">
              <w:t>alternative methods of discharge measurement</w:t>
            </w:r>
          </w:p>
          <w:p w:rsidR="00000000" w:rsidRPr="00714A88" w:rsidP="00714A88">
            <w:pPr>
              <w:pStyle w:val="ListBullet"/>
            </w:pPr>
            <w:r w:rsidRPr="00714A88">
              <w:t>the organisation's operating procedures for hydrometric stream discharge measurement</w:t>
            </w:r>
          </w:p>
          <w:p w:rsidR="00000000" w:rsidRPr="00714A88" w:rsidP="00714A88">
            <w:pPr>
              <w:pStyle w:val="ListBullet"/>
            </w:pPr>
            <w:r w:rsidRPr="00714A88">
              <w:t>the timing, location and number of verticals for stage readings</w:t>
            </w:r>
          </w:p>
          <w:p w:rsidR="00000000" w:rsidRPr="00714A88" w:rsidP="00714A88">
            <w:pPr>
              <w:pStyle w:val="ListBullet"/>
            </w:pPr>
            <w:r w:rsidRPr="00714A88">
              <w:t>the characteristics of a suitable section for wading and boat gauging and how to make modifications</w:t>
            </w:r>
          </w:p>
          <w:p w:rsidR="00000000" w:rsidRPr="00714A88" w:rsidP="00714A88">
            <w:pPr>
              <w:pStyle w:val="ListBullet"/>
            </w:pPr>
            <w:r w:rsidRPr="00714A88">
              <w:t>require</w:t>
            </w:r>
            <w:r w:rsidRPr="00714A88">
              <w:t>ments for surface, single and multipoint floats</w:t>
            </w:r>
          </w:p>
          <w:p w:rsidR="00000000" w:rsidRPr="00714A88" w:rsidP="00714A88">
            <w:pPr>
              <w:pStyle w:val="ListBullet"/>
            </w:pPr>
            <w:r w:rsidRPr="00714A88">
              <w:t>basic mathematical principles for area and velocity measurements</w:t>
            </w:r>
          </w:p>
          <w:p w:rsidR="00000000" w:rsidRPr="00714A88" w:rsidP="00714A88">
            <w:pPr>
              <w:pStyle w:val="ListBullet"/>
            </w:pPr>
            <w:r w:rsidRPr="00714A88">
              <w:t>correction procedures for horizontal angles</w:t>
            </w:r>
          </w:p>
          <w:p w:rsidR="00000000" w:rsidRPr="00714A88" w:rsidP="00714A88">
            <w:pPr>
              <w:pStyle w:val="ListBullet"/>
            </w:pPr>
            <w:r w:rsidRPr="00714A88">
              <w:t>correction procedures for suspension measurements</w:t>
            </w:r>
          </w:p>
          <w:p w:rsidR="00000000" w:rsidRPr="00714A88" w:rsidP="00714A88">
            <w:pPr>
              <w:pStyle w:val="ListBullet"/>
            </w:pPr>
            <w:r w:rsidRPr="00714A88">
              <w:t>techniques for monitoring stage changes during di</w:t>
            </w:r>
            <w:r w:rsidRPr="00714A88">
              <w:t>scharge measurement</w:t>
            </w:r>
          </w:p>
          <w:p w:rsidR="00000000" w:rsidRPr="00714A88" w:rsidP="00714A88">
            <w:pPr>
              <w:pStyle w:val="ListBullet"/>
            </w:pPr>
            <w:r w:rsidRPr="00714A88">
              <w:t>weighted mean stage calculations</w:t>
            </w:r>
          </w:p>
          <w:p w:rsidR="00000000" w:rsidRPr="00714A88" w:rsidP="00714A88">
            <w:pPr>
              <w:pStyle w:val="ListBullet"/>
            </w:pPr>
            <w:r w:rsidRPr="00714A88">
              <w:t>discharge and mean stage adjustment</w:t>
            </w:r>
          </w:p>
          <w:p w:rsidR="00000000" w:rsidRPr="00714A88" w:rsidP="00714A88">
            <w:pPr>
              <w:pStyle w:val="ListBullet"/>
            </w:pPr>
            <w:r w:rsidRPr="00714A88">
              <w:t>technical components in calculating discharge</w:t>
            </w:r>
          </w:p>
          <w:p w:rsidR="00000000" w:rsidRPr="00714A88" w:rsidP="00714A88">
            <w:pPr>
              <w:pStyle w:val="ListBullet"/>
            </w:pPr>
            <w:r w:rsidRPr="00714A88">
              <w:t>factors impacting on discharge measurements and the quality of the discharge</w:t>
            </w:r>
          </w:p>
          <w:p w:rsidR="00000000" w:rsidRPr="00714A88" w:rsidP="00714A88">
            <w:pPr>
              <w:pStyle w:val="ListBullet"/>
            </w:pPr>
            <w:r w:rsidRPr="00714A88">
              <w:t>formulae to adjust gaugings</w:t>
            </w:r>
          </w:p>
          <w:p w:rsidR="00000000" w:rsidRPr="00714A88" w:rsidP="00714A88">
            <w:pPr>
              <w:pStyle w:val="ListBullet"/>
            </w:pPr>
            <w:r w:rsidRPr="00714A88">
              <w:t>potential impact</w:t>
            </w:r>
            <w:r w:rsidRPr="00714A88">
              <w:t>s of modifications of site, method or equipment on discharge accuracy</w:t>
            </w:r>
          </w:p>
          <w:p w:rsidR="00000000" w:rsidRPr="00714A88" w:rsidP="00714A88">
            <w:pPr>
              <w:pStyle w:val="ListBullet"/>
            </w:pPr>
            <w:r w:rsidRPr="00714A88">
              <w:t>confidence limits</w:t>
            </w:r>
          </w:p>
          <w:p w:rsidR="00000000" w:rsidRPr="00714A88" w:rsidP="00714A88">
            <w:pPr>
              <w:pStyle w:val="ListBullet"/>
            </w:pPr>
            <w:r w:rsidRPr="00714A88">
              <w:t>function of each field on the measurement forms</w:t>
            </w:r>
          </w:p>
          <w:p w:rsidR="00000000" w:rsidRPr="00714A88" w:rsidP="00714A88">
            <w:pPr>
              <w:pStyle w:val="ListBullet"/>
            </w:pPr>
            <w:r w:rsidRPr="00714A88">
              <w:t>the organisation's registration procedures</w:t>
            </w:r>
          </w:p>
          <w:p w:rsidR="00000000" w:rsidRPr="00714A88" w:rsidP="00714A88">
            <w:pPr>
              <w:pStyle w:val="ListBullet"/>
            </w:pPr>
            <w:r w:rsidRPr="00714A88">
              <w:t>calibration procedures</w:t>
            </w:r>
          </w:p>
          <w:p w:rsidR="00000000" w:rsidRPr="00714A88" w:rsidP="00714A88">
            <w:pPr>
              <w:pStyle w:val="ListBullet"/>
            </w:pPr>
            <w:r w:rsidRPr="00714A88">
              <w:t>OHS procedures, safe operation of equipment and identi</w:t>
            </w:r>
            <w:r w:rsidRPr="00714A88">
              <w:t>fication of potential hazards</w:t>
            </w:r>
          </w:p>
        </w:tc>
      </w:tr>
    </w:tbl>
    <w:p w:rsidR="00000000" w:rsidRPr="00714A88" w:rsidP="00714A88">
      <w:pPr>
        <w:pStyle w:val="BodyText"/>
      </w:pPr>
    </w:p>
    <w:p w:rsidR="00000000" w:rsidRPr="00714A88" w:rsidP="00714A88">
      <w:pPr>
        <w:pStyle w:val="AllowPageBreak"/>
      </w:pPr>
    </w:p>
    <w:p w:rsidR="00000000" w:rsidRPr="00714A88" w:rsidP="00714A88">
      <w:pPr>
        <w:pStyle w:val="Heading1"/>
      </w:pPr>
      <w:bookmarkStart w:id="10" w:name="O_406439"/>
      <w:bookmarkEnd w:id="10"/>
      <w:r w:rsidRPr="00714A88">
        <w:t>Evidence Guide</w:t>
      </w:r>
    </w:p>
    <w:tbl>
      <w:tblPr>
        <w:tblW w:w="0" w:type="auto"/>
        <w:tblLayout w:type="fixed"/>
        <w:tblCellMar>
          <w:left w:w="62" w:type="dxa"/>
          <w:right w:w="62" w:type="dxa"/>
        </w:tblCellMar>
        <w:tblLook w:val="0000"/>
      </w:tblPr>
      <w:tblGrid>
        <w:gridCol w:w="2838"/>
        <w:gridCol w:w="6131"/>
      </w:tblGrid>
      <w:tr w:rsidTr="00340A8A">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t xml:space="preserve">The evidence guide provides advice on assessment and must be read in conjunction with the performance criteria, required skills and knowledge, </w:t>
            </w:r>
            <w:r w:rsidRPr="00714A88">
              <w:t>range statement and the Assessment Guidelines for the Training Package.</w:t>
            </w:r>
          </w:p>
        </w:tc>
      </w:tr>
      <w:tr w:rsidTr="00340A8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SpecialBold"/>
              </w:rPr>
              <w:t>Critical aspects for assessment and evidence required to demonstrate competency in this unit</w:t>
            </w:r>
          </w:p>
        </w:tc>
        <w:tc>
          <w:tcPr>
            <w:tcW w:w="6131" w:type="dxa"/>
            <w:tcBorders>
              <w:top w:val="nil"/>
              <w:left w:val="nil"/>
              <w:bottom w:val="nil"/>
              <w:right w:val="nil"/>
            </w:tcBorders>
            <w:tcMar>
              <w:top w:w="0" w:type="dxa"/>
              <w:left w:w="62" w:type="dxa"/>
              <w:bottom w:w="0" w:type="dxa"/>
              <w:right w:w="62" w:type="dxa"/>
            </w:tcMar>
          </w:tcPr>
          <w:p w:rsidR="00000000" w:rsidRPr="00714A88" w:rsidP="00714A88">
            <w:pPr>
              <w:pStyle w:val="BodyText"/>
            </w:pPr>
            <w:r w:rsidRPr="00714A88">
              <w:t>The candidate should demonstrate the ability to collect data using a range of discharge m</w:t>
            </w:r>
            <w:r w:rsidRPr="00714A88">
              <w:t xml:space="preserve">easuring methods and equipment including: </w:t>
            </w:r>
          </w:p>
          <w:p w:rsidR="00000000" w:rsidRPr="00714A88" w:rsidP="00714A88">
            <w:pPr>
              <w:pStyle w:val="ListBullet"/>
            </w:pPr>
            <w:r w:rsidRPr="00714A88">
              <w:t>measuring and calculating readings</w:t>
            </w:r>
          </w:p>
          <w:p w:rsidR="00000000" w:rsidRPr="00714A88" w:rsidP="00714A88">
            <w:pPr>
              <w:pStyle w:val="ListBullet"/>
            </w:pPr>
            <w:r w:rsidRPr="00714A88">
              <w:t>interpreting and reporting data for a range of clients and stakeholders</w:t>
            </w:r>
          </w:p>
          <w:p w:rsidR="00000000" w:rsidRPr="00714A88" w:rsidP="00714A88">
            <w:pPr>
              <w:pStyle w:val="ListBullet"/>
            </w:pPr>
            <w:r w:rsidRPr="00714A88">
              <w:t>gathering data related to client requirements</w:t>
            </w:r>
          </w:p>
          <w:p w:rsidR="00000000" w:rsidRPr="00714A88" w:rsidP="00714A88">
            <w:pPr>
              <w:pStyle w:val="ListBullet"/>
            </w:pPr>
            <w:r w:rsidRPr="00714A88">
              <w:t>interpreting complex documentation and applying it to the sp</w:t>
            </w:r>
            <w:r w:rsidRPr="00714A88">
              <w:t>ecification of hydrometric data collection and reporting procedures</w:t>
            </w:r>
          </w:p>
          <w:p w:rsidR="00000000" w:rsidRPr="00714A88" w:rsidP="00714A88">
            <w:pPr>
              <w:pStyle w:val="ListBullet"/>
            </w:pPr>
            <w:r w:rsidRPr="00714A88">
              <w:t>sampling accurately and consistently with client requirements</w:t>
            </w:r>
          </w:p>
          <w:p w:rsidR="00000000" w:rsidRPr="00714A88" w:rsidP="00714A88">
            <w:pPr>
              <w:pStyle w:val="ListBullet"/>
            </w:pPr>
            <w:r w:rsidRPr="00714A88">
              <w:t xml:space="preserve">analysing and verifying data using standard procedures, software and databases </w:t>
            </w:r>
          </w:p>
          <w:p w:rsidR="00000000" w:rsidRPr="00714A88" w:rsidP="00714A88">
            <w:pPr>
              <w:pStyle w:val="ListBullet"/>
            </w:pPr>
            <w:r w:rsidRPr="00714A88">
              <w:t>preparing clear and accurate reports</w:t>
            </w:r>
          </w:p>
          <w:p w:rsidR="00000000" w:rsidRPr="00714A88" w:rsidP="00714A88">
            <w:pPr>
              <w:pStyle w:val="ListBullet"/>
            </w:pPr>
            <w:r w:rsidRPr="00714A88">
              <w:t>storing and archiving data</w:t>
            </w:r>
          </w:p>
          <w:p w:rsidR="00000000" w:rsidP="00714A88">
            <w:pPr>
              <w:pStyle w:val="ListBullet"/>
              <w:rPr>
                <w:lang w:val="en-NZ"/>
              </w:rPr>
            </w:pPr>
            <w:r w:rsidRPr="00714A88">
              <w:t>identifying, reporting and (within scope of job function) solving potential or current problems</w:t>
            </w:r>
          </w:p>
        </w:tc>
      </w:tr>
      <w:tr w:rsidTr="00340A8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SpecialBold"/>
              </w:rPr>
              <w:t>Context of and specific resources for assessment</w:t>
            </w:r>
          </w:p>
        </w:tc>
        <w:tc>
          <w:tcPr>
            <w:tcW w:w="6131" w:type="dxa"/>
            <w:tcBorders>
              <w:top w:val="nil"/>
              <w:left w:val="nil"/>
              <w:bottom w:val="nil"/>
              <w:right w:val="nil"/>
            </w:tcBorders>
            <w:tcMar>
              <w:top w:w="0" w:type="dxa"/>
              <w:left w:w="62" w:type="dxa"/>
              <w:bottom w:w="0" w:type="dxa"/>
              <w:right w:w="62" w:type="dxa"/>
            </w:tcMar>
          </w:tcPr>
          <w:p w:rsidR="00000000" w:rsidRPr="00714A88" w:rsidP="00714A88">
            <w:pPr>
              <w:pStyle w:val="BodyText"/>
            </w:pPr>
            <w:r w:rsidRPr="00714A88">
              <w:t xml:space="preserve">Access to the workplace and resources including: </w:t>
            </w:r>
          </w:p>
          <w:p w:rsidR="00000000" w:rsidRPr="00714A88" w:rsidP="00714A88">
            <w:pPr>
              <w:pStyle w:val="ListBullet"/>
            </w:pPr>
            <w:r w:rsidRPr="00714A88">
              <w:t>documentation that should normall</w:t>
            </w:r>
            <w:r w:rsidRPr="00714A88">
              <w:t>y be available in the workplace</w:t>
            </w:r>
          </w:p>
          <w:p w:rsidR="00000000" w:rsidRPr="00714A88" w:rsidP="00714A88">
            <w:pPr>
              <w:pStyle w:val="ListBullet"/>
            </w:pPr>
            <w:r w:rsidRPr="00714A88">
              <w:t>workplace specific equipment and technology</w:t>
            </w:r>
          </w:p>
          <w:p w:rsidR="00000000" w:rsidRPr="00714A88" w:rsidP="00714A88">
            <w:pPr>
              <w:pStyle w:val="ListBullet"/>
            </w:pPr>
            <w:r w:rsidRPr="00714A88">
              <w:t>supervision and experienced team members to provide observations, feedback and third party reports</w:t>
            </w:r>
          </w:p>
          <w:p w:rsidR="00000000" w:rsidRPr="00714A88" w:rsidP="00714A88">
            <w:pPr>
              <w:pStyle w:val="ListBullet"/>
            </w:pPr>
            <w:r w:rsidRPr="00714A88">
              <w:t>enterprise operating procedures and work allocation</w:t>
            </w:r>
          </w:p>
          <w:p w:rsidR="00000000" w:rsidRPr="00714A88" w:rsidP="00714A88">
            <w:pPr>
              <w:pStyle w:val="ListBullet"/>
            </w:pPr>
            <w:r w:rsidRPr="00714A88">
              <w:t>relevant codes, standards, an</w:t>
            </w:r>
            <w:r w:rsidRPr="00714A88">
              <w:t>d government regulations</w:t>
            </w:r>
          </w:p>
          <w:p w:rsidR="00000000" w:rsidRPr="00714A88" w:rsidP="00714A88">
            <w:pPr>
              <w:pStyle w:val="BodyText"/>
            </w:pPr>
            <w:r w:rsidRPr="00714A88">
              <w:t>Where applicable, physical resources should include equipment modified for people with disabilities.</w:t>
            </w:r>
          </w:p>
          <w:p w:rsidR="00000000" w:rsidRPr="00714A88" w:rsidP="00714A88">
            <w:pPr>
              <w:pStyle w:val="BodyText"/>
            </w:pPr>
            <w:r w:rsidRPr="00714A88">
              <w:t>Access must be provided to appropriate learning and/or assessment support when indicated by gaps in competency.</w:t>
            </w:r>
          </w:p>
          <w:p w:rsidR="00000000" w:rsidRPr="00714A88" w:rsidP="00714A88">
            <w:pPr>
              <w:pStyle w:val="BodyText"/>
            </w:pPr>
            <w:r w:rsidRPr="00714A88">
              <w:t>Assessment process</w:t>
            </w:r>
            <w:r w:rsidRPr="00714A88">
              <w:t xml:space="preserve">es and techniques must be culturally appropriate, and appropriate to the language and literacy capacity of the candidate and the work being performed. </w:t>
            </w:r>
          </w:p>
          <w:p w:rsidR="00000000" w:rsidRPr="00714A88" w:rsidP="00714A88">
            <w:pPr>
              <w:pStyle w:val="BodyText"/>
            </w:pPr>
            <w:r w:rsidRPr="00714A88">
              <w:t>Validity and sufficiency of evidence require that:</w:t>
            </w:r>
          </w:p>
          <w:p w:rsidR="00000000" w:rsidRPr="00714A88" w:rsidP="00714A88">
            <w:pPr>
              <w:pStyle w:val="ListBullet"/>
            </w:pPr>
            <w:r w:rsidRPr="00714A88">
              <w:t>competency will need to be demonstrated over a period</w:t>
            </w:r>
            <w:r w:rsidRPr="00714A88">
              <w:t xml:space="preserve"> of time reflecting the scope of the role and the practical requirements of the workplace</w:t>
            </w:r>
          </w:p>
          <w:p w:rsidR="00000000" w:rsidRPr="00714A88" w:rsidP="00714A88">
            <w:pPr>
              <w:pStyle w:val="ListBullet"/>
            </w:pPr>
            <w:r w:rsidRPr="00714A88">
              <w:t>where the assessment is part of a structured learning experience the evidence collected must relate to a number of performances assessed at different points in time a</w:t>
            </w:r>
            <w:r w:rsidRPr="00714A88">
              <w:t>nd separated by further learning and practice</w:t>
            </w:r>
          </w:p>
          <w:p w:rsidR="00000000" w:rsidRPr="00714A88" w:rsidP="00714A88">
            <w:pPr>
              <w:pStyle w:val="ListBullet"/>
            </w:pPr>
            <w:r w:rsidRPr="00714A88">
              <w:t>a decision of competence should only be made when the assessor has complete confidence in the person's competence over time and in various contexts</w:t>
            </w:r>
          </w:p>
          <w:p w:rsidR="00000000" w:rsidRPr="00714A88" w:rsidP="00714A88">
            <w:pPr>
              <w:pStyle w:val="ListBullet"/>
            </w:pPr>
            <w:r w:rsidRPr="00714A88">
              <w:t>all assessment that is part of a structured learning experience must include a combination of direct, indirect and supplementary evidence</w:t>
            </w:r>
          </w:p>
          <w:p w:rsidR="00000000" w:rsidRPr="00714A88" w:rsidP="00714A88">
            <w:pPr>
              <w:pStyle w:val="ListBullet"/>
            </w:pPr>
            <w:r w:rsidRPr="00714A88">
              <w:t xml:space="preserve">where assessment is for the purpose of recognition (RCC/RPL), the evidence provided will need to be authenticated and </w:t>
            </w:r>
            <w:r w:rsidRPr="00714A88">
              <w:t>show that it represents competency demonstrated over a period of time</w:t>
            </w:r>
          </w:p>
          <w:p w:rsidR="00000000" w:rsidRPr="00714A88" w:rsidP="00714A88">
            <w:pPr>
              <w:pStyle w:val="ListBullet"/>
            </w:pPr>
            <w:r w:rsidRPr="00714A88">
              <w:t>assessment can be through simulated project-based activity and must include evidence relating to each of the elements in this unit</w:t>
            </w:r>
          </w:p>
          <w:p w:rsidR="00000000" w:rsidRPr="00714A88" w:rsidP="00714A88">
            <w:pPr>
              <w:pStyle w:val="BodyText"/>
            </w:pPr>
            <w:r w:rsidRPr="00714A88">
              <w:t>In all cases where practical assessment is used it will</w:t>
            </w:r>
            <w:r w:rsidRPr="00714A88">
              <w:t xml:space="preserve"> be combined with targeted questioning to assess the underpinning knowledge. Questioning will be undertaken in a manner appropriate to the skill levels of the operator, any cultural issues that may affect responses to the questions, and reflecting the requ</w:t>
            </w:r>
            <w:r w:rsidRPr="00714A88">
              <w:t>irements of the competency and the work being performed.</w:t>
            </w:r>
          </w:p>
        </w:tc>
      </w:tr>
    </w:tbl>
    <w:p w:rsidR="00000000" w:rsidRPr="00714A88" w:rsidP="00714A88">
      <w:pPr>
        <w:pStyle w:val="BodyText"/>
      </w:pPr>
    </w:p>
    <w:p w:rsidR="00000000" w:rsidRPr="00714A88" w:rsidP="00714A88">
      <w:pPr>
        <w:pStyle w:val="AllowPageBreak"/>
      </w:pPr>
    </w:p>
    <w:p w:rsidR="00000000" w:rsidRPr="00714A88" w:rsidP="00714A88">
      <w:pPr>
        <w:pStyle w:val="Heading1"/>
      </w:pPr>
      <w:bookmarkStart w:id="11" w:name="O_406434"/>
      <w:bookmarkEnd w:id="11"/>
      <w:r w:rsidRPr="00714A88">
        <w:t>Range Statement</w:t>
      </w:r>
    </w:p>
    <w:tbl>
      <w:tblPr>
        <w:tblW w:w="0" w:type="auto"/>
        <w:tblLayout w:type="fixed"/>
        <w:tblCellMar>
          <w:left w:w="62" w:type="dxa"/>
          <w:right w:w="62" w:type="dxa"/>
        </w:tblCellMar>
        <w:tblLook w:val="0000"/>
      </w:tblPr>
      <w:tblGrid>
        <w:gridCol w:w="2857"/>
        <w:gridCol w:w="6126"/>
      </w:tblGrid>
      <w:tr w:rsidTr="00340A8A">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t xml:space="preserve">The range statement relates to the unit of competency as a whole. It allows for different work environments and situations that may affect performance. </w:t>
            </w:r>
            <w:r w:rsidRPr="00714A88">
              <w:rPr>
                <w:rStyle w:val="BoldandItalics"/>
              </w:rPr>
              <w:t>Bold italicised</w:t>
            </w:r>
            <w:r w:rsidRPr="00714A88">
              <w:t xml:space="preserve"> wording, if used in the performance criteria, is detailed below. Essential operating conditions that may be present with training and assessment (depending on the work situation, needs of the candidate, accessibility of the item, and local </w:t>
            </w:r>
            <w:r w:rsidRPr="00714A88">
              <w:t>industry and regional contexts) may also be included.</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Factors affecting accuracy</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laminar flow</w:t>
            </w:r>
          </w:p>
          <w:p w:rsidR="00000000" w:rsidRPr="00714A88" w:rsidP="00714A88">
            <w:pPr>
              <w:pStyle w:val="ListBullet"/>
            </w:pPr>
            <w:r w:rsidRPr="00714A88">
              <w:t>turbulent flow</w:t>
            </w:r>
          </w:p>
          <w:p w:rsidR="00000000" w:rsidRPr="00714A88" w:rsidP="00714A88">
            <w:pPr>
              <w:pStyle w:val="ListBullet"/>
            </w:pPr>
            <w:r w:rsidRPr="00714A88">
              <w:t>critical states</w:t>
            </w:r>
          </w:p>
          <w:p w:rsidR="00000000" w:rsidRPr="00714A88" w:rsidP="00714A88">
            <w:pPr>
              <w:pStyle w:val="ListBullet"/>
            </w:pPr>
            <w:r w:rsidRPr="00714A88">
              <w:t>sensitivity</w:t>
            </w:r>
          </w:p>
          <w:p w:rsidR="00000000" w:rsidRPr="00714A88" w:rsidP="00714A88">
            <w:pPr>
              <w:pStyle w:val="ListBullet"/>
            </w:pPr>
            <w:r w:rsidRPr="00714A88">
              <w:t>pulsing</w:t>
            </w:r>
          </w:p>
          <w:p w:rsidR="00000000" w:rsidP="00714A88">
            <w:pPr>
              <w:pStyle w:val="ListBullet"/>
              <w:rPr>
                <w:lang w:val="en-NZ"/>
              </w:rPr>
            </w:pPr>
            <w:r w:rsidRPr="00714A88">
              <w:t>backwater</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Gauging methodologies</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wading</w:t>
            </w:r>
          </w:p>
          <w:p w:rsidR="00000000" w:rsidRPr="00714A88" w:rsidP="00714A88">
            <w:pPr>
              <w:pStyle w:val="ListBullet"/>
            </w:pPr>
            <w:r w:rsidRPr="00714A88">
              <w:t>travellerway</w:t>
            </w:r>
          </w:p>
          <w:p w:rsidR="00000000" w:rsidRPr="00714A88" w:rsidP="00714A88">
            <w:pPr>
              <w:pStyle w:val="ListBullet"/>
            </w:pPr>
            <w:r w:rsidRPr="00714A88">
              <w:t>cableway</w:t>
            </w:r>
          </w:p>
          <w:p w:rsidR="00000000" w:rsidRPr="00714A88" w:rsidP="00714A88">
            <w:pPr>
              <w:pStyle w:val="ListBullet"/>
            </w:pPr>
            <w:r w:rsidRPr="00714A88">
              <w:t>boat</w:t>
            </w:r>
          </w:p>
          <w:p w:rsidR="00000000" w:rsidRPr="00714A88" w:rsidP="00714A88">
            <w:pPr>
              <w:pStyle w:val="ListBullet"/>
            </w:pPr>
            <w:r w:rsidRPr="00714A88">
              <w:t>bridge</w:t>
            </w:r>
          </w:p>
          <w:p w:rsidR="00000000" w:rsidRPr="00714A88" w:rsidP="00714A88">
            <w:pPr>
              <w:pStyle w:val="ListBullet"/>
            </w:pPr>
            <w:r w:rsidRPr="00714A88">
              <w:t>portable flume</w:t>
            </w:r>
          </w:p>
          <w:p w:rsidR="00000000" w:rsidRPr="00714A88" w:rsidP="00714A88">
            <w:pPr>
              <w:pStyle w:val="ListBullet"/>
            </w:pPr>
            <w:r w:rsidRPr="00714A88">
              <w:t>float</w:t>
            </w:r>
          </w:p>
          <w:p w:rsidR="00000000" w:rsidP="00714A88">
            <w:pPr>
              <w:pStyle w:val="ListBullet"/>
              <w:rPr>
                <w:lang w:val="en-NZ"/>
              </w:rPr>
            </w:pPr>
            <w:r w:rsidRPr="00714A88">
              <w:t>acoustic profiler</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Area velocity method</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AS 3778 - Measurement of Water Flow in Open Channels:</w:t>
            </w:r>
          </w:p>
          <w:p w:rsidR="00000000" w:rsidRPr="00714A88" w:rsidP="00714A88">
            <w:pPr>
              <w:pStyle w:val="ListBullet2"/>
            </w:pPr>
            <w:r w:rsidRPr="00714A88">
              <w:t xml:space="preserve">velocity-area methods </w:t>
            </w:r>
          </w:p>
          <w:p w:rsidR="00000000" w:rsidRPr="00714A88" w:rsidP="00714A88">
            <w:pPr>
              <w:pStyle w:val="ListBullet2"/>
            </w:pPr>
            <w:r w:rsidRPr="00714A88">
              <w:t>measurement by current-meters and floats</w:t>
            </w:r>
          </w:p>
          <w:p w:rsidR="00000000" w:rsidP="00714A88">
            <w:pPr>
              <w:pStyle w:val="ListBullet"/>
              <w:rPr>
                <w:lang w:val="en-NZ"/>
              </w:rPr>
            </w:pPr>
            <w:r w:rsidRPr="00714A88">
              <w:t>operating procedures for dischar</w:t>
            </w:r>
            <w:r w:rsidRPr="00714A88">
              <w:t>ge measuring equipment and calibration</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Hazards</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boat handling</w:t>
            </w:r>
          </w:p>
          <w:p w:rsidR="00000000" w:rsidRPr="00714A88" w:rsidP="00714A88">
            <w:pPr>
              <w:pStyle w:val="ListBullet"/>
            </w:pPr>
            <w:r w:rsidRPr="00714A88">
              <w:t>bed stability</w:t>
            </w:r>
          </w:p>
          <w:p w:rsidR="00000000" w:rsidRPr="00714A88" w:rsidP="00714A88">
            <w:pPr>
              <w:pStyle w:val="ListBullet"/>
            </w:pPr>
            <w:r w:rsidRPr="00714A88">
              <w:t>winch operation</w:t>
            </w:r>
          </w:p>
          <w:p w:rsidR="00000000" w:rsidRPr="00714A88" w:rsidP="00714A88">
            <w:pPr>
              <w:pStyle w:val="ListBullet"/>
            </w:pPr>
            <w:r w:rsidRPr="00714A88">
              <w:t>tag line setting</w:t>
            </w:r>
          </w:p>
          <w:p w:rsidR="00000000" w:rsidRPr="00714A88" w:rsidP="00714A88">
            <w:pPr>
              <w:pStyle w:val="ListBullet"/>
            </w:pPr>
            <w:r w:rsidRPr="00714A88">
              <w:t>traffic management</w:t>
            </w:r>
          </w:p>
          <w:p w:rsidR="00000000" w:rsidRPr="00714A88" w:rsidP="00714A88">
            <w:pPr>
              <w:pStyle w:val="ListBullet"/>
            </w:pPr>
            <w:r w:rsidRPr="00714A88">
              <w:t>working at heights</w:t>
            </w:r>
          </w:p>
          <w:p w:rsidR="00000000" w:rsidRPr="00714A88" w:rsidP="00714A88">
            <w:pPr>
              <w:pStyle w:val="ListBullet"/>
            </w:pPr>
            <w:r w:rsidRPr="00714A88">
              <w:t>manual handling</w:t>
            </w:r>
          </w:p>
          <w:p w:rsidR="00000000" w:rsidP="00714A88">
            <w:pPr>
              <w:pStyle w:val="ListBullet"/>
              <w:rPr>
                <w:lang w:val="en-NZ"/>
              </w:rPr>
            </w:pPr>
            <w:r w:rsidRPr="00714A88">
              <w:t>personal protective equipment (PPE)</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Occupational health and safety requirements</w:t>
            </w:r>
            <w:r w:rsidRPr="00714A88">
              <w:t xml:space="preserve"> will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hazard recognition:</w:t>
            </w:r>
          </w:p>
          <w:p w:rsidR="00000000" w:rsidRPr="00714A88" w:rsidP="00714A88">
            <w:pPr>
              <w:pStyle w:val="ListBullet2"/>
            </w:pPr>
            <w:r w:rsidRPr="00714A88">
              <w:t>working on and near water</w:t>
            </w:r>
          </w:p>
          <w:p w:rsidR="00000000" w:rsidRPr="00714A88" w:rsidP="00714A88">
            <w:pPr>
              <w:pStyle w:val="ListBullet2"/>
            </w:pPr>
            <w:r w:rsidRPr="00714A88">
              <w:t>safe working depth</w:t>
            </w:r>
          </w:p>
          <w:p w:rsidR="00000000" w:rsidRPr="00714A88" w:rsidP="00714A88">
            <w:pPr>
              <w:pStyle w:val="ListBullet2"/>
            </w:pPr>
            <w:r w:rsidRPr="00714A88">
              <w:t>bank and bed stability</w:t>
            </w:r>
          </w:p>
          <w:p w:rsidR="00000000" w:rsidRPr="00714A88" w:rsidP="00714A88">
            <w:pPr>
              <w:pStyle w:val="ListBullet2"/>
            </w:pPr>
            <w:r w:rsidRPr="00714A88">
              <w:t>rising stage</w:t>
            </w:r>
          </w:p>
          <w:p w:rsidR="00000000" w:rsidRPr="00714A88" w:rsidP="00714A88">
            <w:pPr>
              <w:pStyle w:val="ListBullet2"/>
            </w:pPr>
            <w:r w:rsidRPr="00714A88">
              <w:t>snags</w:t>
            </w:r>
          </w:p>
          <w:p w:rsidR="00000000" w:rsidRPr="00714A88" w:rsidP="00714A88">
            <w:pPr>
              <w:pStyle w:val="ListBullet2"/>
            </w:pPr>
            <w:r w:rsidRPr="00714A88">
              <w:t>floating debris</w:t>
            </w:r>
          </w:p>
          <w:p w:rsidR="00000000" w:rsidRPr="00714A88" w:rsidP="00714A88">
            <w:pPr>
              <w:pStyle w:val="ListBullet2"/>
            </w:pPr>
            <w:r w:rsidRPr="00714A88">
              <w:t>water temperature</w:t>
            </w:r>
          </w:p>
          <w:p w:rsidR="00000000" w:rsidRPr="00714A88" w:rsidP="00714A88">
            <w:pPr>
              <w:pStyle w:val="ListBullet2"/>
            </w:pPr>
            <w:r w:rsidRPr="00714A88">
              <w:t>water contamination</w:t>
            </w:r>
          </w:p>
          <w:p w:rsidR="00000000" w:rsidRPr="00714A88" w:rsidP="00714A88">
            <w:pPr>
              <w:pStyle w:val="ListBullet2"/>
            </w:pPr>
            <w:r w:rsidRPr="00714A88">
              <w:t>weather exposure</w:t>
            </w:r>
          </w:p>
          <w:p w:rsidR="00000000" w:rsidRPr="00714A88" w:rsidP="00714A88">
            <w:pPr>
              <w:pStyle w:val="ListBullet2"/>
            </w:pPr>
            <w:r w:rsidRPr="00714A88">
              <w:t>rescue procedures</w:t>
            </w:r>
          </w:p>
          <w:p w:rsidR="00000000" w:rsidRPr="00714A88" w:rsidP="00714A88">
            <w:pPr>
              <w:pStyle w:val="ListBullet"/>
            </w:pPr>
            <w:r w:rsidRPr="00714A88">
              <w:t>PPE requirements:</w:t>
            </w:r>
          </w:p>
          <w:p w:rsidR="00000000" w:rsidRPr="00714A88" w:rsidP="00714A88">
            <w:pPr>
              <w:pStyle w:val="ListBullet2"/>
            </w:pPr>
            <w:r w:rsidRPr="00714A88">
              <w:t>onsite communication and procedures for working remotely</w:t>
            </w:r>
          </w:p>
          <w:p w:rsidR="00000000" w:rsidRPr="00714A88" w:rsidP="00714A88">
            <w:pPr>
              <w:pStyle w:val="ListBullet2"/>
            </w:pPr>
            <w:r w:rsidRPr="00714A88">
              <w:t xml:space="preserve">equipment </w:t>
            </w:r>
          </w:p>
          <w:p w:rsidR="00000000" w:rsidRPr="00714A88" w:rsidP="00714A88">
            <w:pPr>
              <w:pStyle w:val="ListBullet2"/>
            </w:pPr>
            <w:r w:rsidRPr="00714A88">
              <w:t>storage</w:t>
            </w:r>
          </w:p>
          <w:p w:rsidR="00000000" w:rsidRPr="00714A88" w:rsidP="00714A88">
            <w:pPr>
              <w:pStyle w:val="ListBullet2"/>
            </w:pPr>
            <w:r w:rsidRPr="00714A88">
              <w:t>assembly</w:t>
            </w:r>
          </w:p>
          <w:p w:rsidR="00000000" w:rsidRPr="00714A88" w:rsidP="00714A88">
            <w:pPr>
              <w:pStyle w:val="ListBullet2"/>
            </w:pPr>
            <w:r w:rsidRPr="00714A88">
              <w:t>cleaning</w:t>
            </w:r>
          </w:p>
          <w:p w:rsidR="00000000" w:rsidRPr="00714A88" w:rsidP="00714A88">
            <w:pPr>
              <w:pStyle w:val="ListBullet2"/>
            </w:pPr>
            <w:r w:rsidRPr="00714A88">
              <w:t>handling, transport</w:t>
            </w:r>
          </w:p>
          <w:p w:rsidR="00000000" w:rsidRPr="00714A88" w:rsidP="00714A88">
            <w:pPr>
              <w:pStyle w:val="ListBullet"/>
            </w:pPr>
            <w:r w:rsidRPr="00714A88">
              <w:t>personal welfare and safety:</w:t>
            </w:r>
          </w:p>
          <w:p w:rsidR="00000000" w:rsidRPr="00714A88" w:rsidP="00714A88">
            <w:pPr>
              <w:pStyle w:val="ListBullet2"/>
            </w:pPr>
            <w:r w:rsidRPr="00714A88">
              <w:t>medical constraints</w:t>
            </w:r>
          </w:p>
          <w:p w:rsidR="00000000" w:rsidRPr="00714A88" w:rsidP="00714A88">
            <w:pPr>
              <w:pStyle w:val="ListBullet2"/>
            </w:pPr>
            <w:r w:rsidRPr="00714A88">
              <w:t>CPR</w:t>
            </w:r>
          </w:p>
          <w:p w:rsidR="00000000" w:rsidRPr="00714A88" w:rsidP="00714A88">
            <w:pPr>
              <w:pStyle w:val="ListBullet2"/>
            </w:pPr>
            <w:r w:rsidRPr="00714A88">
              <w:t>First Aid</w:t>
            </w:r>
          </w:p>
          <w:p w:rsidR="00000000" w:rsidRPr="00714A88" w:rsidP="00714A88">
            <w:pPr>
              <w:pStyle w:val="ListBullet2"/>
            </w:pPr>
            <w:r w:rsidRPr="00714A88">
              <w:t>water survival and rescue</w:t>
            </w:r>
          </w:p>
          <w:p w:rsidR="00000000" w:rsidRPr="00714A88" w:rsidP="00714A88">
            <w:pPr>
              <w:pStyle w:val="ListBullet2"/>
            </w:pPr>
            <w:r w:rsidRPr="00714A88">
              <w:t>self rescue</w:t>
            </w:r>
          </w:p>
          <w:p w:rsidR="00000000" w:rsidRPr="00714A88" w:rsidP="00714A88">
            <w:pPr>
              <w:pStyle w:val="ListBullet2"/>
            </w:pPr>
            <w:r w:rsidRPr="00714A88">
              <w:t>bush survival</w:t>
            </w:r>
          </w:p>
          <w:p w:rsidR="00000000" w:rsidRPr="00714A88" w:rsidP="00714A88">
            <w:pPr>
              <w:pStyle w:val="ListBullet2"/>
            </w:pPr>
            <w:r w:rsidRPr="00714A88">
              <w:t xml:space="preserve">4WD driving and recovery </w:t>
            </w:r>
          </w:p>
          <w:p w:rsidR="00000000" w:rsidRPr="00714A88" w:rsidP="00714A88">
            <w:pPr>
              <w:pStyle w:val="ListBullet2"/>
            </w:pPr>
            <w:r w:rsidRPr="00714A88">
              <w:t>defensive driving</w:t>
            </w:r>
          </w:p>
          <w:p w:rsidR="00000000" w:rsidRPr="00714A88" w:rsidP="00714A88">
            <w:pPr>
              <w:pStyle w:val="ListBullet2"/>
            </w:pPr>
            <w:r w:rsidRPr="00714A88">
              <w:t>boat handling</w:t>
            </w:r>
          </w:p>
          <w:p w:rsidR="00000000" w:rsidP="00714A88">
            <w:pPr>
              <w:pStyle w:val="ListBullet2"/>
              <w:rPr>
                <w:lang w:val="en-NZ"/>
              </w:rPr>
            </w:pPr>
            <w:r w:rsidRPr="00714A88">
              <w:t>traffic management authority regulations</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Gauging equipment</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winch</w:t>
            </w:r>
          </w:p>
          <w:p w:rsidR="00000000" w:rsidRPr="00714A88" w:rsidP="00714A88">
            <w:pPr>
              <w:pStyle w:val="ListBullet"/>
            </w:pPr>
            <w:r w:rsidRPr="00714A88">
              <w:t>travellerway</w:t>
            </w:r>
          </w:p>
          <w:p w:rsidR="00000000" w:rsidRPr="00714A88" w:rsidP="00714A88">
            <w:pPr>
              <w:pStyle w:val="ListBullet"/>
            </w:pPr>
            <w:r w:rsidRPr="00714A88">
              <w:t>cableway</w:t>
            </w:r>
          </w:p>
          <w:p w:rsidR="00000000" w:rsidRPr="00714A88" w:rsidP="00714A88">
            <w:pPr>
              <w:pStyle w:val="ListBullet"/>
            </w:pPr>
            <w:r w:rsidRPr="00714A88">
              <w:t>boat</w:t>
            </w:r>
          </w:p>
          <w:p w:rsidR="00000000" w:rsidRPr="00714A88" w:rsidP="00714A88">
            <w:pPr>
              <w:pStyle w:val="ListBullet"/>
            </w:pPr>
            <w:r w:rsidRPr="00714A88">
              <w:t xml:space="preserve">vehicle </w:t>
            </w:r>
          </w:p>
          <w:p w:rsidR="00000000" w:rsidRPr="00714A88" w:rsidP="00714A88">
            <w:pPr>
              <w:pStyle w:val="ListBullet"/>
            </w:pPr>
            <w:r w:rsidRPr="00714A88">
              <w:t>trolley mount</w:t>
            </w:r>
          </w:p>
          <w:p w:rsidR="00000000" w:rsidRPr="00714A88" w:rsidP="00714A88">
            <w:pPr>
              <w:pStyle w:val="ListBullet"/>
            </w:pPr>
            <w:r w:rsidRPr="00714A88">
              <w:t>mechanical &amp; acoustic meters</w:t>
            </w:r>
          </w:p>
          <w:p w:rsidR="00000000" w:rsidRPr="00714A88" w:rsidP="00714A88">
            <w:pPr>
              <w:pStyle w:val="ListBullet"/>
            </w:pPr>
            <w:r w:rsidRPr="00714A88">
              <w:t>oil change</w:t>
            </w:r>
          </w:p>
          <w:p w:rsidR="00000000" w:rsidP="00714A88">
            <w:pPr>
              <w:pStyle w:val="ListBullet"/>
              <w:rPr>
                <w:lang w:val="en-NZ"/>
              </w:rPr>
            </w:pPr>
            <w:r w:rsidRPr="00714A88">
              <w:t>calibration</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Gauging site conditions</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hazards</w:t>
            </w:r>
          </w:p>
          <w:p w:rsidR="00000000" w:rsidRPr="00714A88" w:rsidP="00714A88">
            <w:pPr>
              <w:pStyle w:val="ListBullet"/>
            </w:pPr>
            <w:r w:rsidRPr="00714A88">
              <w:t>obstructions</w:t>
            </w:r>
          </w:p>
          <w:p w:rsidR="00000000" w:rsidRPr="00714A88" w:rsidP="00714A88">
            <w:pPr>
              <w:pStyle w:val="ListBullet"/>
            </w:pPr>
            <w:r w:rsidRPr="00714A88">
              <w:t>climatic</w:t>
            </w:r>
          </w:p>
          <w:p w:rsidR="00000000" w:rsidRPr="00714A88" w:rsidP="00714A88">
            <w:pPr>
              <w:pStyle w:val="ListBullet"/>
            </w:pPr>
            <w:r w:rsidRPr="00714A88">
              <w:t>sufficient depth</w:t>
            </w:r>
          </w:p>
          <w:p w:rsidR="00000000" w:rsidRPr="00714A88" w:rsidP="00714A88">
            <w:pPr>
              <w:pStyle w:val="ListBullet"/>
            </w:pPr>
            <w:r w:rsidRPr="00714A88">
              <w:t>sufficient velocity</w:t>
            </w:r>
          </w:p>
          <w:p w:rsidR="00000000" w:rsidRPr="00714A88" w:rsidP="00714A88">
            <w:pPr>
              <w:pStyle w:val="ListBullet"/>
            </w:pPr>
            <w:r w:rsidRPr="00714A88">
              <w:t>flow angle</w:t>
            </w:r>
          </w:p>
          <w:p w:rsidR="00000000" w:rsidRPr="00714A88" w:rsidP="00714A88">
            <w:pPr>
              <w:pStyle w:val="ListBullet"/>
            </w:pPr>
            <w:r w:rsidRPr="00714A88">
              <w:t>laminar flow</w:t>
            </w:r>
          </w:p>
          <w:p w:rsidR="00000000" w:rsidRPr="00714A88" w:rsidP="00714A88">
            <w:pPr>
              <w:pStyle w:val="ListBullet"/>
            </w:pPr>
            <w:r w:rsidRPr="00714A88">
              <w:t>bank condition</w:t>
            </w:r>
          </w:p>
          <w:p w:rsidR="00000000" w:rsidRPr="00714A88" w:rsidP="00714A88">
            <w:pPr>
              <w:pStyle w:val="ListBullet"/>
            </w:pPr>
            <w:r w:rsidRPr="00714A88">
              <w:t>anabranches and multiple channels</w:t>
            </w:r>
          </w:p>
          <w:p w:rsidR="00000000" w:rsidP="00714A88">
            <w:pPr>
              <w:pStyle w:val="ListBullet"/>
              <w:rPr>
                <w:lang w:val="en-NZ"/>
              </w:rPr>
            </w:pPr>
            <w:r w:rsidRPr="00714A88">
              <w:t>pre-season maintenance</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Alternative methods</w:t>
            </w:r>
            <w:r w:rsidRPr="00714A88">
              <w:t xml:space="preserve"> may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volumetric</w:t>
            </w:r>
          </w:p>
          <w:p w:rsidR="00000000" w:rsidRPr="00714A88" w:rsidP="00714A88">
            <w:pPr>
              <w:pStyle w:val="ListBullet"/>
            </w:pPr>
            <w:r w:rsidRPr="00714A88">
              <w:t>flumes</w:t>
            </w:r>
          </w:p>
          <w:p w:rsidR="00000000" w:rsidRPr="00714A88" w:rsidP="00714A88">
            <w:pPr>
              <w:pStyle w:val="ListBullet"/>
            </w:pPr>
            <w:r w:rsidRPr="00714A88">
              <w:t>slope/area techniques</w:t>
            </w:r>
          </w:p>
          <w:p w:rsidR="00000000" w:rsidP="00714A88">
            <w:pPr>
              <w:pStyle w:val="ListBullet"/>
              <w:rPr>
                <w:lang w:val="en-NZ"/>
              </w:rPr>
            </w:pPr>
            <w:r w:rsidRPr="00714A88">
              <w:t>dilution</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Required mathematical techniques</w:t>
            </w:r>
            <w:r w:rsidRPr="00714A88">
              <w:t xml:space="preserve"> will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area</w:t>
            </w:r>
          </w:p>
          <w:p w:rsidR="00000000" w:rsidRPr="00714A88" w:rsidP="00714A88">
            <w:pPr>
              <w:pStyle w:val="ListBullet"/>
            </w:pPr>
            <w:r w:rsidRPr="00714A88">
              <w:t>volume</w:t>
            </w:r>
          </w:p>
          <w:p w:rsidR="00000000" w:rsidRPr="00714A88" w:rsidP="00714A88">
            <w:pPr>
              <w:pStyle w:val="ListBullet"/>
            </w:pPr>
            <w:r w:rsidRPr="00714A88">
              <w:t>mean</w:t>
            </w:r>
          </w:p>
          <w:p w:rsidR="00000000" w:rsidRPr="00714A88" w:rsidP="00714A88">
            <w:pPr>
              <w:pStyle w:val="ListBullet"/>
            </w:pPr>
            <w:r w:rsidRPr="00714A88">
              <w:t>suitable formulae</w:t>
            </w:r>
          </w:p>
          <w:p w:rsidR="00000000" w:rsidP="00714A88">
            <w:pPr>
              <w:pStyle w:val="ListBullet"/>
              <w:rPr>
                <w:lang w:val="en-NZ"/>
              </w:rPr>
            </w:pPr>
            <w:r w:rsidRPr="00714A88">
              <w:t>trigonometry</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Percentage deviation</w:t>
            </w:r>
            <w:r w:rsidRPr="00714A88">
              <w:t xml:space="preserve"> will be determined by:</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 xml:space="preserve">checking: </w:t>
            </w:r>
          </w:p>
          <w:p w:rsidR="00000000" w:rsidRPr="00714A88" w:rsidP="00714A88">
            <w:pPr>
              <w:pStyle w:val="ListBullet2"/>
            </w:pPr>
            <w:r w:rsidRPr="00714A88">
              <w:t>calculations</w:t>
            </w:r>
          </w:p>
          <w:p w:rsidR="00000000" w:rsidRPr="00714A88" w:rsidP="00714A88">
            <w:pPr>
              <w:pStyle w:val="ListBullet2"/>
            </w:pPr>
            <w:r w:rsidRPr="00714A88">
              <w:t>equipment</w:t>
            </w:r>
          </w:p>
          <w:p w:rsidR="00000000" w:rsidRPr="00714A88" w:rsidP="00714A88">
            <w:pPr>
              <w:pStyle w:val="ListBullet2"/>
            </w:pPr>
            <w:r w:rsidRPr="00714A88">
              <w:t>control</w:t>
            </w:r>
          </w:p>
          <w:p w:rsidR="00000000" w:rsidRPr="00714A88" w:rsidP="00714A88">
            <w:pPr>
              <w:pStyle w:val="ListBullet2"/>
            </w:pPr>
            <w:r w:rsidRPr="00714A88">
              <w:t>recording equipment</w:t>
            </w:r>
          </w:p>
          <w:p w:rsidR="00000000" w:rsidP="00714A88">
            <w:pPr>
              <w:pStyle w:val="ListBullet"/>
              <w:rPr>
                <w:lang w:val="en-NZ"/>
              </w:rPr>
            </w:pPr>
            <w:r w:rsidRPr="00714A88">
              <w:t>repeat measurement</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Supporting information</w:t>
            </w:r>
            <w:r w:rsidRPr="00714A88">
              <w:t xml:space="preserve"> will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gauging section location and access maps</w:t>
            </w:r>
          </w:p>
          <w:p w:rsidR="00000000" w:rsidRPr="00714A88" w:rsidP="00714A88">
            <w:pPr>
              <w:pStyle w:val="ListBullet"/>
            </w:pPr>
            <w:r w:rsidRPr="00714A88">
              <w:t>photographic records</w:t>
            </w:r>
          </w:p>
          <w:p w:rsidR="00000000" w:rsidRPr="00714A88" w:rsidP="00714A88">
            <w:pPr>
              <w:pStyle w:val="ListBullet"/>
            </w:pPr>
            <w:r w:rsidRPr="00714A88">
              <w:t>site preparation undertaken</w:t>
            </w:r>
          </w:p>
          <w:p w:rsidR="00000000" w:rsidP="00714A88">
            <w:pPr>
              <w:pStyle w:val="ListBullet"/>
              <w:rPr>
                <w:lang w:val="en-NZ"/>
              </w:rPr>
            </w:pPr>
            <w:r w:rsidRPr="00714A88">
              <w:t>comments on issues encountered</w:t>
            </w:r>
          </w:p>
        </w:tc>
      </w:tr>
      <w:tr w:rsidTr="00340A8A">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714A88">
            <w:pPr>
              <w:pStyle w:val="BodyText"/>
              <w:rPr>
                <w:lang w:val="en-NZ"/>
              </w:rPr>
            </w:pPr>
            <w:r w:rsidRPr="00714A88">
              <w:rPr>
                <w:rStyle w:val="BoldandItalics"/>
              </w:rPr>
              <w:t>Organisational requirements</w:t>
            </w:r>
            <w:r w:rsidRPr="00714A88">
              <w:t xml:space="preserve"> will include:</w:t>
            </w:r>
          </w:p>
        </w:tc>
        <w:tc>
          <w:tcPr>
            <w:tcW w:w="6126" w:type="dxa"/>
            <w:tcBorders>
              <w:top w:val="nil"/>
              <w:left w:val="nil"/>
              <w:bottom w:val="nil"/>
              <w:right w:val="nil"/>
            </w:tcBorders>
            <w:tcMar>
              <w:top w:w="0" w:type="dxa"/>
              <w:left w:w="62" w:type="dxa"/>
              <w:bottom w:w="0" w:type="dxa"/>
              <w:right w:w="62" w:type="dxa"/>
            </w:tcMar>
          </w:tcPr>
          <w:p w:rsidR="00000000" w:rsidRPr="00714A88" w:rsidP="00714A88">
            <w:pPr>
              <w:pStyle w:val="ListBullet"/>
            </w:pPr>
            <w:r w:rsidRPr="00714A88">
              <w:t>data management and reporting</w:t>
            </w:r>
          </w:p>
          <w:p w:rsidR="00000000" w:rsidRPr="00714A88" w:rsidP="00714A88">
            <w:pPr>
              <w:pStyle w:val="ListBullet"/>
            </w:pPr>
            <w:r w:rsidRPr="00714A88">
              <w:t>worksite procedures</w:t>
            </w:r>
          </w:p>
          <w:p w:rsidR="00000000" w:rsidRPr="00714A88" w:rsidP="00714A88">
            <w:pPr>
              <w:pStyle w:val="ListBullet"/>
            </w:pPr>
            <w:r w:rsidRPr="00714A88">
              <w:t>occupational health and safety procedures</w:t>
            </w:r>
          </w:p>
          <w:p w:rsidR="00000000" w:rsidRPr="00714A88" w:rsidP="00714A88">
            <w:pPr>
              <w:pStyle w:val="ListBullet"/>
            </w:pPr>
            <w:r w:rsidRPr="00714A88">
              <w:t>operating procedures</w:t>
            </w:r>
          </w:p>
        </w:tc>
      </w:tr>
    </w:tbl>
    <w:p w:rsidR="00340A8A" w:rsidP="00714A88">
      <w:pPr>
        <w:pStyle w:val="BodyText"/>
      </w:pPr>
    </w:p>
    <w:p w:rsidR="00340A8A" w:rsidP="00714A88">
      <w:pPr>
        <w:pStyle w:val="BodyText"/>
      </w:pPr>
    </w:p>
    <w:p w:rsidR="00000000" w:rsidRPr="00714A88" w:rsidP="00714A88">
      <w:pPr>
        <w:pStyle w:val="Heading1"/>
      </w:pPr>
      <w:bookmarkStart w:id="12" w:name="O_406431"/>
      <w:bookmarkEnd w:id="12"/>
      <w:r w:rsidRPr="00714A88">
        <w:t>Unit Sector(s)</w:t>
      </w:r>
    </w:p>
    <w:p w:rsidR="00000000" w:rsidRPr="00714A88" w:rsidP="00714A88">
      <w:pPr>
        <w:pStyle w:val="BodyText"/>
      </w:pPr>
      <w:r w:rsidRPr="00714A88">
        <w:t>Not applicable.</w:t>
      </w:r>
    </w:p>
    <w:p w:rsidR="00000000" w:rsidRPr="00714A88" w:rsidP="00714A88">
      <w:pPr>
        <w:pStyle w:val="AllowPageBreak"/>
      </w:pPr>
    </w:p>
    <w:p w:rsidR="00000000" w:rsidRPr="00714A88" w:rsidP="00714A88">
      <w:pPr>
        <w:pStyle w:val="Heading1"/>
      </w:pPr>
      <w:bookmarkStart w:id="13" w:name="O_406443"/>
      <w:bookmarkEnd w:id="13"/>
      <w:r w:rsidRPr="00714A88">
        <w:t>Competency field</w:t>
      </w:r>
    </w:p>
    <w:p w:rsidR="00000000" w:rsidRPr="00714A88" w:rsidP="00714A88">
      <w:pPr>
        <w:pStyle w:val="BodyText"/>
      </w:pPr>
      <w:r w:rsidRPr="00714A88">
        <w:t>Hydrography.</w:t>
      </w:r>
    </w:p>
    <w:p w:rsidR="00000000" w:rsidRPr="00714A88" w:rsidP="00714A88"/>
    <w:sectPr w:rsidSect="00714A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A8A" w:rsidP="00340A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8A" w:rsidP="00714A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0A8A" w:rsidP="00714A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40A8A" w:rsidP="00714A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88" w:rsidRPr="00340A8A" w:rsidP="00340A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8A" w:rsidRPr="002D2AF8" w:rsidP="00714A88">
    <w:pPr>
      <w:pStyle w:val="Header"/>
      <w:framePr w:wrap="around"/>
    </w:pPr>
    <w:r>
      <w:fldChar w:fldCharType="begin"/>
    </w:r>
    <w:r>
      <w:instrText xml:space="preserve"> TITLE   \* MERGEFORMAT </w:instrText>
    </w:r>
    <w:r>
      <w:fldChar w:fldCharType="separate"/>
    </w:r>
    <w:r>
      <w:t>NWP421A Collect, measure and process hydrometric stream discharge gauging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40A8A" w:rsidP="00714A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36A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87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25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A88"/>
    <w:pPr>
      <w:spacing w:before="360" w:after="60"/>
      <w:outlineLvl w:val="0"/>
    </w:pPr>
    <w:rPr>
      <w:sz w:val="32"/>
    </w:rPr>
  </w:style>
  <w:style w:type="paragraph" w:styleId="Heading2">
    <w:name w:val="heading 2"/>
    <w:basedOn w:val="HeadingBase"/>
    <w:next w:val="BodyText"/>
    <w:link w:val="Heading2Char"/>
    <w:qFormat/>
    <w:rsid w:val="00714A88"/>
    <w:pPr>
      <w:keepLines/>
      <w:spacing w:before="240" w:after="120"/>
      <w:outlineLvl w:val="1"/>
    </w:pPr>
    <w:rPr>
      <w:sz w:val="28"/>
      <w:szCs w:val="40"/>
    </w:rPr>
  </w:style>
  <w:style w:type="paragraph" w:styleId="Heading3">
    <w:name w:val="heading 3"/>
    <w:basedOn w:val="HeadingBase"/>
    <w:next w:val="BodyText"/>
    <w:link w:val="Heading3Char"/>
    <w:qFormat/>
    <w:rsid w:val="00714A88"/>
    <w:pPr>
      <w:spacing w:before="180" w:after="120"/>
      <w:outlineLvl w:val="2"/>
    </w:pPr>
    <w:rPr>
      <w:spacing w:val="-10"/>
      <w:kern w:val="32"/>
    </w:rPr>
  </w:style>
  <w:style w:type="paragraph" w:styleId="Heading4">
    <w:name w:val="heading 4"/>
    <w:basedOn w:val="HeadingBase"/>
    <w:next w:val="BodyText"/>
    <w:link w:val="Heading4Char"/>
    <w:qFormat/>
    <w:rsid w:val="00714A88"/>
    <w:pPr>
      <w:spacing w:before="160" w:after="120"/>
      <w:outlineLvl w:val="3"/>
    </w:pPr>
    <w:rPr>
      <w:sz w:val="22"/>
    </w:rPr>
  </w:style>
  <w:style w:type="paragraph" w:styleId="Heading5">
    <w:name w:val="heading 5"/>
    <w:basedOn w:val="HeadingBase"/>
    <w:next w:val="Normal"/>
    <w:link w:val="Heading5Char"/>
    <w:qFormat/>
    <w:rsid w:val="00714A88"/>
    <w:pPr>
      <w:spacing w:before="80"/>
      <w:outlineLvl w:val="4"/>
    </w:pPr>
    <w:rPr>
      <w:color w:val="918585"/>
      <w:sz w:val="20"/>
    </w:rPr>
  </w:style>
  <w:style w:type="paragraph" w:styleId="Heading6">
    <w:name w:val="heading 6"/>
    <w:basedOn w:val="HeadingBase"/>
    <w:next w:val="Normal"/>
    <w:link w:val="Heading6Char"/>
    <w:qFormat/>
    <w:rsid w:val="00714A88"/>
    <w:pPr>
      <w:spacing w:before="60"/>
      <w:outlineLvl w:val="5"/>
    </w:pPr>
    <w:rPr>
      <w:color w:val="918585"/>
      <w:sz w:val="20"/>
    </w:rPr>
  </w:style>
  <w:style w:type="paragraph" w:styleId="Heading7">
    <w:name w:val="heading 7"/>
    <w:basedOn w:val="Normal"/>
    <w:next w:val="Normal"/>
    <w:link w:val="Heading7Char"/>
    <w:qFormat/>
    <w:rsid w:val="00714A88"/>
    <w:pPr>
      <w:ind w:left="720"/>
      <w:outlineLvl w:val="6"/>
    </w:pPr>
    <w:rPr>
      <w:i/>
    </w:rPr>
  </w:style>
  <w:style w:type="paragraph" w:styleId="Heading8">
    <w:name w:val="heading 8"/>
    <w:basedOn w:val="Normal"/>
    <w:next w:val="Normal"/>
    <w:link w:val="Heading8Char"/>
    <w:qFormat/>
    <w:rsid w:val="00714A88"/>
    <w:pPr>
      <w:ind w:left="720"/>
      <w:outlineLvl w:val="7"/>
    </w:pPr>
    <w:rPr>
      <w:i/>
    </w:rPr>
  </w:style>
  <w:style w:type="paragraph" w:styleId="Heading9">
    <w:name w:val="heading 9"/>
    <w:basedOn w:val="Normal"/>
    <w:next w:val="Normal"/>
    <w:link w:val="Heading9Char"/>
    <w:qFormat/>
    <w:rsid w:val="00714A88"/>
    <w:pPr>
      <w:ind w:left="720"/>
      <w:outlineLvl w:val="8"/>
    </w:pPr>
    <w:rPr>
      <w:i/>
    </w:rPr>
  </w:style>
  <w:style w:type="character" w:default="1" w:styleId="DefaultParagraphFont">
    <w:name w:val="Default Paragraph Font"/>
    <w:uiPriority w:val="1"/>
    <w:unhideWhenUsed/>
    <w:rsid w:val="00714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A88"/>
  </w:style>
  <w:style w:type="character" w:customStyle="1" w:styleId="Heading1Char">
    <w:name w:val="Heading 1 Char"/>
    <w:basedOn w:val="DefaultParagraphFont"/>
    <w:link w:val="Heading1"/>
    <w:rsid w:val="00714A88"/>
    <w:rPr>
      <w:rFonts w:ascii="Times New Roman" w:eastAsia="Times New Roman" w:hAnsi="Times New Roman" w:cs="Times New Roman"/>
      <w:b/>
      <w:sz w:val="32"/>
      <w:szCs w:val="20"/>
      <w:lang w:eastAsia="en-US"/>
    </w:rPr>
  </w:style>
  <w:style w:type="paragraph" w:styleId="BodyText">
    <w:name w:val="Body Text"/>
    <w:basedOn w:val="Normal"/>
    <w:link w:val="BodyTextChar"/>
    <w:rsid w:val="00714A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A88"/>
    <w:rPr>
      <w:rFonts w:ascii="Times New Roman" w:eastAsia="Times New Roman" w:hAnsi="Times New Roman" w:cs="Times New Roman"/>
      <w:sz w:val="24"/>
      <w:lang w:eastAsia="en-US"/>
    </w:rPr>
  </w:style>
  <w:style w:type="paragraph" w:styleId="Footer">
    <w:name w:val="footer"/>
    <w:basedOn w:val="Normal"/>
    <w:link w:val="FooterChar"/>
    <w:rsid w:val="00714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A88"/>
    <w:rPr>
      <w:rFonts w:ascii="Times New Roman" w:eastAsia="Times New Roman" w:hAnsi="Times New Roman" w:cs="Times New Roman"/>
      <w:sz w:val="16"/>
      <w:lang w:eastAsia="en-US"/>
    </w:rPr>
  </w:style>
  <w:style w:type="paragraph" w:styleId="List">
    <w:name w:val="List"/>
    <w:basedOn w:val="BodyText"/>
    <w:next w:val="BodyText"/>
    <w:rsid w:val="00714A88"/>
    <w:pPr>
      <w:tabs>
        <w:tab w:val="left" w:pos="340"/>
      </w:tabs>
      <w:spacing w:before="60" w:after="60"/>
      <w:ind w:left="340" w:hanging="340"/>
    </w:pPr>
  </w:style>
  <w:style w:type="paragraph" w:styleId="ListBullet">
    <w:name w:val="List Bullet"/>
    <w:basedOn w:val="List"/>
    <w:rsid w:val="00714A88"/>
    <w:pPr>
      <w:numPr>
        <w:numId w:val="13"/>
      </w:numPr>
      <w:tabs>
        <w:tab w:val="clear" w:pos="340"/>
      </w:tabs>
      <w:spacing w:before="40" w:after="40"/>
    </w:pPr>
  </w:style>
  <w:style w:type="character" w:customStyle="1" w:styleId="SpecialBold">
    <w:name w:val="Special Bold"/>
    <w:basedOn w:val="DefaultParagraphFont"/>
    <w:rsid w:val="00714A88"/>
    <w:rPr>
      <w:b/>
      <w:spacing w:val="0"/>
    </w:rPr>
  </w:style>
  <w:style w:type="paragraph" w:styleId="ListBullet2">
    <w:name w:val="List Bullet 2"/>
    <w:basedOn w:val="List2"/>
    <w:rsid w:val="00714A88"/>
    <w:pPr>
      <w:numPr>
        <w:numId w:val="14"/>
      </w:numPr>
      <w:tabs>
        <w:tab w:val="clear" w:pos="680"/>
      </w:tabs>
    </w:pPr>
  </w:style>
  <w:style w:type="paragraph" w:customStyle="1" w:styleId="SuperHeading">
    <w:name w:val="SuperHeading"/>
    <w:basedOn w:val="Normal"/>
    <w:rsid w:val="00714A88"/>
    <w:pPr>
      <w:spacing w:before="240" w:after="120"/>
      <w:outlineLvl w:val="0"/>
    </w:pPr>
    <w:rPr>
      <w:rFonts w:ascii="Times New Roman" w:hAnsi="Times New Roman"/>
      <w:b/>
      <w:sz w:val="28"/>
    </w:rPr>
  </w:style>
  <w:style w:type="paragraph" w:customStyle="1" w:styleId="AllowPageBreak">
    <w:name w:val="AllowPageBreak"/>
    <w:rsid w:val="00714A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A88"/>
    <w:rPr>
      <w:b/>
      <w:i/>
      <w:u w:val="none"/>
    </w:rPr>
  </w:style>
  <w:style w:type="character" w:customStyle="1" w:styleId="Heading2Char">
    <w:name w:val="Heading 2 Char"/>
    <w:basedOn w:val="DefaultParagraphFont"/>
    <w:link w:val="Heading2"/>
    <w:rsid w:val="00714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A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A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A88"/>
    <w:rPr>
      <w:rFonts w:ascii="Courier New" w:eastAsia="Times New Roman" w:hAnsi="Courier New" w:cs="Times New Roman"/>
      <w:i/>
      <w:szCs w:val="20"/>
      <w:lang w:eastAsia="en-US"/>
    </w:rPr>
  </w:style>
  <w:style w:type="paragraph" w:customStyle="1" w:styleId="HeadingBase">
    <w:name w:val="Heading Base"/>
    <w:rsid w:val="00714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A88"/>
    <w:pPr>
      <w:tabs>
        <w:tab w:val="right" w:leader="dot" w:pos="9072"/>
      </w:tabs>
      <w:ind w:left="567"/>
    </w:pPr>
    <w:rPr>
      <w:szCs w:val="22"/>
    </w:rPr>
  </w:style>
  <w:style w:type="paragraph" w:customStyle="1" w:styleId="TOCBase">
    <w:name w:val="TOC Base"/>
    <w:rsid w:val="00714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A88"/>
    <w:pPr>
      <w:tabs>
        <w:tab w:val="right" w:leader="dot" w:pos="9072"/>
      </w:tabs>
      <w:spacing w:before="40" w:after="40"/>
      <w:ind w:left="284"/>
    </w:pPr>
    <w:rPr>
      <w:rFonts w:ascii="Times New Roman" w:hAnsi="Times New Roman"/>
    </w:rPr>
  </w:style>
  <w:style w:type="paragraph" w:styleId="TOC1">
    <w:name w:val="toc 1"/>
    <w:basedOn w:val="TOCBase"/>
    <w:next w:val="Normal"/>
    <w:rsid w:val="00714A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A88"/>
    <w:pPr>
      <w:spacing w:before="5040"/>
      <w:jc w:val="center"/>
    </w:pPr>
    <w:rPr>
      <w:sz w:val="48"/>
      <w:szCs w:val="72"/>
      <w:lang w:val="en-US"/>
    </w:rPr>
  </w:style>
  <w:style w:type="character" w:customStyle="1" w:styleId="TitleChar">
    <w:name w:val="Title Char"/>
    <w:basedOn w:val="DefaultParagraphFont"/>
    <w:link w:val="Title"/>
    <w:rsid w:val="00714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A88"/>
    <w:pPr>
      <w:tabs>
        <w:tab w:val="left" w:pos="3600"/>
        <w:tab w:val="left" w:pos="3958"/>
      </w:tabs>
    </w:pPr>
  </w:style>
  <w:style w:type="paragraph" w:customStyle="1" w:styleId="Note">
    <w:name w:val="Note"/>
    <w:basedOn w:val="BodyText"/>
    <w:rsid w:val="00714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A88"/>
    <w:pPr>
      <w:framePr w:wrap="auto" w:hAnchor="text" w:y="6049"/>
    </w:pPr>
    <w:rPr>
      <w:color w:val="000000"/>
      <w:sz w:val="40"/>
    </w:rPr>
  </w:style>
  <w:style w:type="paragraph" w:customStyle="1" w:styleId="TOCTitle">
    <w:name w:val="TOCTitle"/>
    <w:basedOn w:val="Heading1"/>
    <w:rsid w:val="00714A88"/>
    <w:pPr>
      <w:spacing w:after="240"/>
      <w:jc w:val="center"/>
      <w:outlineLvl w:val="9"/>
    </w:pPr>
    <w:rPr>
      <w:caps/>
    </w:rPr>
  </w:style>
  <w:style w:type="paragraph" w:customStyle="1" w:styleId="Version">
    <w:name w:val="Version"/>
    <w:rsid w:val="00714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A88"/>
    <w:pPr>
      <w:keepNext w:val="0"/>
      <w:tabs>
        <w:tab w:val="right" w:pos="4176"/>
      </w:tabs>
      <w:ind w:left="198" w:hanging="198"/>
    </w:pPr>
    <w:rPr>
      <w:rFonts w:ascii="Garamond" w:hAnsi="Garamond"/>
    </w:rPr>
  </w:style>
  <w:style w:type="paragraph" w:styleId="IndexHeading">
    <w:name w:val="index heading"/>
    <w:basedOn w:val="Normal"/>
    <w:next w:val="Index1"/>
    <w:semiHidden/>
    <w:rsid w:val="00714A88"/>
    <w:pPr>
      <w:spacing w:before="120" w:after="120"/>
    </w:pPr>
    <w:rPr>
      <w:rFonts w:ascii="Arial" w:hAnsi="Arial"/>
      <w:b/>
      <w:color w:val="918585"/>
      <w:sz w:val="24"/>
    </w:rPr>
  </w:style>
  <w:style w:type="paragraph" w:styleId="Header">
    <w:name w:val="header"/>
    <w:basedOn w:val="Normal"/>
    <w:link w:val="HeaderChar"/>
    <w:rsid w:val="00714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A88"/>
    <w:rPr>
      <w:rFonts w:ascii="Times New Roman" w:eastAsia="Times New Roman" w:hAnsi="Times New Roman" w:cs="Times New Roman"/>
      <w:sz w:val="16"/>
      <w:szCs w:val="20"/>
      <w:lang w:val="en-GB" w:eastAsia="en-US"/>
    </w:rPr>
  </w:style>
  <w:style w:type="paragraph" w:customStyle="1" w:styleId="Chapter">
    <w:name w:val="Chapter"/>
    <w:basedOn w:val="Normal"/>
    <w:rsid w:val="00714A88"/>
    <w:pPr>
      <w:spacing w:before="240"/>
    </w:pPr>
    <w:rPr>
      <w:rFonts w:ascii="Times New Roman" w:hAnsi="Times New Roman"/>
      <w:smallCaps/>
      <w:spacing w:val="80"/>
      <w:sz w:val="28"/>
    </w:rPr>
  </w:style>
  <w:style w:type="paragraph" w:customStyle="1" w:styleId="InChapter">
    <w:name w:val="InChapter"/>
    <w:basedOn w:val="Heading3"/>
    <w:rsid w:val="00714A88"/>
    <w:pPr>
      <w:spacing w:after="240"/>
      <w:outlineLvl w:val="9"/>
    </w:pPr>
    <w:rPr>
      <w:noProof/>
    </w:rPr>
  </w:style>
  <w:style w:type="paragraph" w:styleId="Index2">
    <w:name w:val="index 2"/>
    <w:basedOn w:val="Normal"/>
    <w:next w:val="Normal"/>
    <w:semiHidden/>
    <w:rsid w:val="00714A88"/>
    <w:pPr>
      <w:tabs>
        <w:tab w:val="right" w:pos="4176"/>
      </w:tabs>
      <w:ind w:left="568" w:hanging="284"/>
    </w:pPr>
    <w:rPr>
      <w:rFonts w:ascii="Garamond" w:hAnsi="Garamond"/>
    </w:rPr>
  </w:style>
  <w:style w:type="paragraph" w:customStyle="1" w:styleId="Byline">
    <w:name w:val="Byline"/>
    <w:rsid w:val="00714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A88"/>
    <w:pPr>
      <w:tabs>
        <w:tab w:val="clear" w:pos="3600"/>
        <w:tab w:val="clear" w:pos="3958"/>
      </w:tabs>
      <w:jc w:val="right"/>
    </w:pPr>
  </w:style>
  <w:style w:type="character" w:styleId="Emphasis">
    <w:name w:val="Emphasis"/>
    <w:basedOn w:val="DefaultParagraphFont"/>
    <w:qFormat/>
    <w:rsid w:val="00714A88"/>
    <w:rPr>
      <w:i/>
    </w:rPr>
  </w:style>
  <w:style w:type="paragraph" w:styleId="Caption">
    <w:name w:val="caption"/>
    <w:basedOn w:val="BodyText"/>
    <w:next w:val="Normal"/>
    <w:qFormat/>
    <w:rsid w:val="00714A88"/>
    <w:pPr>
      <w:framePr w:w="2268" w:hSpace="181" w:vSpace="181" w:wrap="around" w:vAnchor="text" w:hAnchor="page" w:x="1135" w:y="285" w:anchorLock="1"/>
    </w:pPr>
    <w:rPr>
      <w:i/>
    </w:rPr>
  </w:style>
  <w:style w:type="paragraph" w:customStyle="1" w:styleId="MiniTOCTitle">
    <w:name w:val="MiniTOCTitle"/>
    <w:basedOn w:val="Heading4"/>
    <w:rsid w:val="00714A88"/>
    <w:pPr>
      <w:spacing w:before="240"/>
      <w:outlineLvl w:val="9"/>
    </w:pPr>
    <w:rPr>
      <w:noProof/>
      <w:sz w:val="24"/>
    </w:rPr>
  </w:style>
  <w:style w:type="paragraph" w:customStyle="1" w:styleId="MiniTOCItem">
    <w:name w:val="MiniTOCItem"/>
    <w:basedOn w:val="ListBullet"/>
    <w:rsid w:val="00714A88"/>
    <w:pPr>
      <w:numPr>
        <w:numId w:val="0"/>
      </w:numPr>
      <w:tabs>
        <w:tab w:val="right" w:leader="dot" w:pos="6521"/>
      </w:tabs>
      <w:spacing w:before="0" w:after="0"/>
    </w:pPr>
  </w:style>
  <w:style w:type="paragraph" w:customStyle="1" w:styleId="TOFTitle">
    <w:name w:val="TOFTitle"/>
    <w:basedOn w:val="TOCTitle"/>
    <w:rsid w:val="00714A88"/>
  </w:style>
  <w:style w:type="paragraph" w:styleId="TableofFigures">
    <w:name w:val="table of figures"/>
    <w:basedOn w:val="Normal"/>
    <w:next w:val="Normal"/>
    <w:semiHidden/>
    <w:rsid w:val="00714A88"/>
    <w:pPr>
      <w:tabs>
        <w:tab w:val="right" w:leader="dot" w:pos="9072"/>
      </w:tabs>
      <w:ind w:left="970" w:hanging="403"/>
    </w:pPr>
    <w:rPr>
      <w:rFonts w:ascii="Times New Roman" w:hAnsi="Times New Roman"/>
      <w:b/>
    </w:rPr>
  </w:style>
  <w:style w:type="paragraph" w:styleId="ListNumber">
    <w:name w:val="List Number"/>
    <w:basedOn w:val="List"/>
    <w:rsid w:val="00714A88"/>
    <w:pPr>
      <w:numPr>
        <w:numId w:val="11"/>
      </w:numPr>
    </w:pPr>
  </w:style>
  <w:style w:type="character" w:customStyle="1" w:styleId="WingdingSymbols">
    <w:name w:val="Wingding Symbols"/>
    <w:rsid w:val="00714A88"/>
    <w:rPr>
      <w:rFonts w:ascii="Wingdings" w:hAnsi="Wingdings"/>
    </w:rPr>
  </w:style>
  <w:style w:type="paragraph" w:customStyle="1" w:styleId="TableHeading">
    <w:name w:val="Table Heading"/>
    <w:basedOn w:val="HeadingBase"/>
    <w:rsid w:val="00714A88"/>
    <w:pPr>
      <w:keepLines/>
      <w:pBdr>
        <w:bottom w:val="single" w:sz="6" w:space="1" w:color="918585"/>
      </w:pBdr>
      <w:spacing w:before="240"/>
    </w:pPr>
  </w:style>
  <w:style w:type="character" w:customStyle="1" w:styleId="HotSpot">
    <w:name w:val="HotSpot"/>
    <w:rsid w:val="00714A88"/>
    <w:rPr>
      <w:color w:val="0033CC"/>
      <w:u w:val="none"/>
    </w:rPr>
  </w:style>
  <w:style w:type="paragraph" w:customStyle="1" w:styleId="BodyTextRight">
    <w:name w:val="Body Text Right"/>
    <w:basedOn w:val="BodyText"/>
    <w:rsid w:val="00714A88"/>
    <w:pPr>
      <w:spacing w:before="0" w:after="0"/>
      <w:jc w:val="right"/>
    </w:pPr>
  </w:style>
  <w:style w:type="paragraph" w:styleId="Index3">
    <w:name w:val="index 3"/>
    <w:basedOn w:val="ListNumber2"/>
    <w:next w:val="Normal"/>
    <w:semiHidden/>
    <w:rsid w:val="00714A88"/>
    <w:pPr>
      <w:numPr>
        <w:numId w:val="0"/>
      </w:numPr>
      <w:tabs>
        <w:tab w:val="right" w:leader="dot" w:pos="4176"/>
      </w:tabs>
    </w:pPr>
  </w:style>
  <w:style w:type="paragraph" w:styleId="ListNumber2">
    <w:name w:val="List Number 2"/>
    <w:basedOn w:val="List2"/>
    <w:rsid w:val="00714A88"/>
    <w:pPr>
      <w:numPr>
        <w:numId w:val="10"/>
      </w:numPr>
      <w:tabs>
        <w:tab w:val="clear" w:pos="1060"/>
      </w:tabs>
    </w:pPr>
  </w:style>
  <w:style w:type="paragraph" w:customStyle="1" w:styleId="MarginNote">
    <w:name w:val="Margin Note"/>
    <w:basedOn w:val="BodyText"/>
    <w:rsid w:val="00714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A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A88"/>
    <w:rPr>
      <w:sz w:val="32"/>
    </w:rPr>
  </w:style>
  <w:style w:type="paragraph" w:customStyle="1" w:styleId="HeadingProcedure">
    <w:name w:val="Heading Procedure"/>
    <w:basedOn w:val="HeadingBase"/>
    <w:next w:val="Normal"/>
    <w:rsid w:val="00714A88"/>
    <w:pPr>
      <w:tabs>
        <w:tab w:val="left" w:pos="0"/>
      </w:tabs>
      <w:spacing w:before="120" w:after="60"/>
    </w:pPr>
    <w:rPr>
      <w:i/>
      <w:color w:val="918585"/>
      <w:sz w:val="22"/>
    </w:rPr>
  </w:style>
  <w:style w:type="paragraph" w:customStyle="1" w:styleId="TableBodyText">
    <w:name w:val="Table Body Text"/>
    <w:basedOn w:val="BodyText"/>
    <w:rsid w:val="00714A88"/>
    <w:pPr>
      <w:spacing w:before="60" w:after="60"/>
    </w:pPr>
  </w:style>
  <w:style w:type="paragraph" w:styleId="ListContinue">
    <w:name w:val="List Continue"/>
    <w:basedOn w:val="List"/>
    <w:rsid w:val="00714A88"/>
    <w:pPr>
      <w:ind w:firstLine="0"/>
    </w:pPr>
  </w:style>
  <w:style w:type="paragraph" w:customStyle="1" w:styleId="ListNote">
    <w:name w:val="List Note"/>
    <w:basedOn w:val="List"/>
    <w:rsid w:val="00714A88"/>
    <w:pPr>
      <w:pBdr>
        <w:top w:val="single" w:sz="6" w:space="2" w:color="918585"/>
        <w:bottom w:val="single" w:sz="6" w:space="2" w:color="918585"/>
      </w:pBdr>
      <w:tabs>
        <w:tab w:val="left" w:pos="1021"/>
      </w:tabs>
      <w:ind w:firstLine="0"/>
    </w:pPr>
  </w:style>
  <w:style w:type="paragraph" w:customStyle="1" w:styleId="Warning">
    <w:name w:val="Warning"/>
    <w:basedOn w:val="BodyText"/>
    <w:rsid w:val="00714A88"/>
    <w:pPr>
      <w:shd w:val="clear" w:color="auto" w:fill="D9D9D9"/>
      <w:tabs>
        <w:tab w:val="left" w:pos="992"/>
      </w:tabs>
      <w:ind w:left="119" w:right="119"/>
    </w:pPr>
    <w:rPr>
      <w:sz w:val="20"/>
    </w:rPr>
  </w:style>
  <w:style w:type="paragraph" w:customStyle="1" w:styleId="MarginIcons">
    <w:name w:val="Margin Icons"/>
    <w:basedOn w:val="BodyText"/>
    <w:rsid w:val="00714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A88"/>
    <w:rPr>
      <w:rFonts w:ascii="Courier New" w:hAnsi="Courier New"/>
    </w:rPr>
  </w:style>
  <w:style w:type="paragraph" w:customStyle="1" w:styleId="NoteBullet">
    <w:name w:val="Note Bullet"/>
    <w:basedOn w:val="Note"/>
    <w:rsid w:val="00714A88"/>
    <w:pPr>
      <w:tabs>
        <w:tab w:val="clear" w:pos="680"/>
      </w:tabs>
      <w:spacing w:before="60" w:after="60"/>
    </w:pPr>
  </w:style>
  <w:style w:type="paragraph" w:customStyle="1" w:styleId="SubHeading2">
    <w:name w:val="SubHeading2"/>
    <w:basedOn w:val="HeadingBase"/>
    <w:rsid w:val="00714A88"/>
    <w:pPr>
      <w:spacing w:before="240" w:after="60"/>
    </w:pPr>
    <w:rPr>
      <w:sz w:val="20"/>
    </w:rPr>
  </w:style>
  <w:style w:type="paragraph" w:customStyle="1" w:styleId="SubHeading1">
    <w:name w:val="SubHeading1"/>
    <w:basedOn w:val="HeadingBase"/>
    <w:rsid w:val="00714A88"/>
    <w:pPr>
      <w:spacing w:before="240" w:after="60"/>
    </w:pPr>
    <w:rPr>
      <w:color w:val="918585"/>
      <w:sz w:val="22"/>
    </w:rPr>
  </w:style>
  <w:style w:type="paragraph" w:customStyle="1" w:styleId="SideHeading">
    <w:name w:val="Side Heading"/>
    <w:basedOn w:val="HeadingBase"/>
    <w:rsid w:val="00714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A88"/>
    <w:pPr>
      <w:numPr>
        <w:numId w:val="12"/>
      </w:numPr>
    </w:pPr>
  </w:style>
  <w:style w:type="paragraph" w:styleId="PlainText">
    <w:name w:val="Plain Text"/>
    <w:basedOn w:val="Normal"/>
    <w:link w:val="PlainTextChar"/>
    <w:rsid w:val="00714A88"/>
    <w:rPr>
      <w:sz w:val="20"/>
    </w:rPr>
  </w:style>
  <w:style w:type="character" w:customStyle="1" w:styleId="PlainTextChar">
    <w:name w:val="Plain Text Char"/>
    <w:basedOn w:val="DefaultParagraphFont"/>
    <w:link w:val="PlainText"/>
    <w:rsid w:val="00714A88"/>
    <w:rPr>
      <w:rFonts w:ascii="Courier New" w:eastAsia="Times New Roman" w:hAnsi="Courier New" w:cs="Times New Roman"/>
      <w:sz w:val="20"/>
      <w:szCs w:val="20"/>
      <w:lang w:eastAsia="en-US"/>
    </w:rPr>
  </w:style>
  <w:style w:type="character" w:customStyle="1" w:styleId="MenuOption">
    <w:name w:val="Menu Option"/>
    <w:basedOn w:val="DefaultParagraphFont"/>
    <w:rsid w:val="00714A88"/>
    <w:rPr>
      <w:b/>
      <w:smallCaps/>
    </w:rPr>
  </w:style>
  <w:style w:type="paragraph" w:customStyle="1" w:styleId="TableListNumber">
    <w:name w:val="Table List Number"/>
    <w:basedOn w:val="ListNumber"/>
    <w:rsid w:val="00714A88"/>
    <w:pPr>
      <w:numPr>
        <w:numId w:val="0"/>
      </w:numPr>
    </w:pPr>
  </w:style>
  <w:style w:type="paragraph" w:styleId="TOC4">
    <w:name w:val="toc 4"/>
    <w:basedOn w:val="TOCBase"/>
    <w:next w:val="Normal"/>
    <w:semiHidden/>
    <w:rsid w:val="00714A88"/>
    <w:pPr>
      <w:tabs>
        <w:tab w:val="right" w:leader="dot" w:pos="9071"/>
      </w:tabs>
      <w:ind w:left="1701"/>
    </w:pPr>
  </w:style>
  <w:style w:type="paragraph" w:customStyle="1" w:styleId="ListAlpha">
    <w:name w:val="List Alpha"/>
    <w:basedOn w:val="List"/>
    <w:rsid w:val="00714A88"/>
    <w:pPr>
      <w:numPr>
        <w:numId w:val="9"/>
      </w:numPr>
    </w:pPr>
  </w:style>
  <w:style w:type="paragraph" w:customStyle="1" w:styleId="ListAlpha2">
    <w:name w:val="List Alpha 2"/>
    <w:basedOn w:val="List2"/>
    <w:rsid w:val="00714A88"/>
    <w:pPr>
      <w:numPr>
        <w:numId w:val="8"/>
      </w:numPr>
    </w:pPr>
  </w:style>
  <w:style w:type="paragraph" w:styleId="List2">
    <w:name w:val="List 2"/>
    <w:basedOn w:val="BodyText"/>
    <w:rsid w:val="00714A88"/>
    <w:pPr>
      <w:tabs>
        <w:tab w:val="left" w:pos="680"/>
      </w:tabs>
      <w:spacing w:before="60" w:after="60"/>
      <w:ind w:left="680" w:hanging="340"/>
    </w:pPr>
  </w:style>
  <w:style w:type="paragraph" w:styleId="List3">
    <w:name w:val="List 3"/>
    <w:basedOn w:val="BodyText"/>
    <w:rsid w:val="00714A88"/>
    <w:pPr>
      <w:tabs>
        <w:tab w:val="left" w:pos="1021"/>
      </w:tabs>
      <w:spacing w:before="60" w:after="60"/>
      <w:ind w:left="1020" w:hanging="340"/>
    </w:pPr>
  </w:style>
  <w:style w:type="paragraph" w:styleId="List4">
    <w:name w:val="List 4"/>
    <w:basedOn w:val="BodyText"/>
    <w:rsid w:val="00714A88"/>
    <w:pPr>
      <w:tabs>
        <w:tab w:val="left" w:pos="1361"/>
      </w:tabs>
      <w:spacing w:before="60" w:after="60"/>
      <w:ind w:left="1361" w:hanging="340"/>
    </w:pPr>
  </w:style>
  <w:style w:type="paragraph" w:styleId="List5">
    <w:name w:val="List 5"/>
    <w:basedOn w:val="BodyText"/>
    <w:rsid w:val="00714A88"/>
    <w:pPr>
      <w:tabs>
        <w:tab w:val="left" w:pos="1701"/>
      </w:tabs>
      <w:spacing w:before="60" w:after="60"/>
      <w:ind w:left="1701" w:hanging="340"/>
    </w:pPr>
  </w:style>
  <w:style w:type="paragraph" w:styleId="ListBullet3">
    <w:name w:val="List Bullet 3"/>
    <w:basedOn w:val="List3"/>
    <w:rsid w:val="00714A88"/>
    <w:pPr>
      <w:numPr>
        <w:numId w:val="15"/>
      </w:numPr>
      <w:tabs>
        <w:tab w:val="clear" w:pos="1021"/>
      </w:tabs>
      <w:ind w:left="1037" w:hanging="357"/>
    </w:pPr>
  </w:style>
  <w:style w:type="paragraph" w:styleId="ListBullet4">
    <w:name w:val="List Bullet 4"/>
    <w:basedOn w:val="List4"/>
    <w:rsid w:val="00714A88"/>
    <w:pPr>
      <w:numPr>
        <w:numId w:val="3"/>
      </w:numPr>
    </w:pPr>
  </w:style>
  <w:style w:type="paragraph" w:styleId="ListBullet5">
    <w:name w:val="List Bullet 5"/>
    <w:basedOn w:val="List5"/>
    <w:rsid w:val="00714A88"/>
    <w:pPr>
      <w:numPr>
        <w:numId w:val="4"/>
      </w:numPr>
    </w:pPr>
  </w:style>
  <w:style w:type="paragraph" w:styleId="ListContinue2">
    <w:name w:val="List Continue 2"/>
    <w:basedOn w:val="List2"/>
    <w:rsid w:val="00714A88"/>
    <w:pPr>
      <w:ind w:firstLine="0"/>
    </w:pPr>
  </w:style>
  <w:style w:type="paragraph" w:styleId="ListContinue3">
    <w:name w:val="List Continue 3"/>
    <w:basedOn w:val="List3"/>
    <w:rsid w:val="00714A88"/>
    <w:pPr>
      <w:ind w:left="1021" w:firstLine="0"/>
    </w:pPr>
  </w:style>
  <w:style w:type="paragraph" w:styleId="ListContinue4">
    <w:name w:val="List Continue 4"/>
    <w:basedOn w:val="List4"/>
    <w:rsid w:val="00714A88"/>
    <w:pPr>
      <w:ind w:firstLine="0"/>
    </w:pPr>
  </w:style>
  <w:style w:type="paragraph" w:styleId="ListContinue5">
    <w:name w:val="List Continue 5"/>
    <w:basedOn w:val="List5"/>
    <w:rsid w:val="00714A88"/>
    <w:pPr>
      <w:ind w:firstLine="0"/>
    </w:pPr>
  </w:style>
  <w:style w:type="paragraph" w:styleId="ListNumber3">
    <w:name w:val="List Number 3"/>
    <w:basedOn w:val="List3"/>
    <w:rsid w:val="00714A88"/>
    <w:pPr>
      <w:numPr>
        <w:numId w:val="5"/>
      </w:numPr>
    </w:pPr>
  </w:style>
  <w:style w:type="paragraph" w:styleId="ListNumber4">
    <w:name w:val="List Number 4"/>
    <w:basedOn w:val="List4"/>
    <w:rsid w:val="00714A88"/>
    <w:pPr>
      <w:numPr>
        <w:numId w:val="6"/>
      </w:numPr>
    </w:pPr>
  </w:style>
  <w:style w:type="paragraph" w:styleId="ListNumber5">
    <w:name w:val="List Number 5"/>
    <w:basedOn w:val="List5"/>
    <w:rsid w:val="00714A88"/>
    <w:pPr>
      <w:numPr>
        <w:numId w:val="7"/>
      </w:numPr>
    </w:pPr>
  </w:style>
  <w:style w:type="paragraph" w:styleId="BlockText">
    <w:name w:val="Block Text"/>
    <w:basedOn w:val="Normal"/>
    <w:rsid w:val="00714A88"/>
    <w:pPr>
      <w:spacing w:after="120"/>
      <w:ind w:left="1440" w:right="1440"/>
    </w:pPr>
  </w:style>
  <w:style w:type="character" w:customStyle="1" w:styleId="Subscript">
    <w:name w:val="Subscript"/>
    <w:basedOn w:val="DefaultParagraphFont"/>
    <w:rsid w:val="00714A88"/>
    <w:rPr>
      <w:sz w:val="16"/>
      <w:vertAlign w:val="subscript"/>
    </w:rPr>
  </w:style>
  <w:style w:type="character" w:customStyle="1" w:styleId="Superscript">
    <w:name w:val="Superscript"/>
    <w:basedOn w:val="DefaultParagraphFont"/>
    <w:rsid w:val="00714A88"/>
    <w:rPr>
      <w:sz w:val="16"/>
      <w:vertAlign w:val="superscript"/>
    </w:rPr>
  </w:style>
  <w:style w:type="character" w:customStyle="1" w:styleId="Symbols">
    <w:name w:val="Symbols"/>
    <w:basedOn w:val="DefaultParagraphFont"/>
    <w:rsid w:val="00714A88"/>
    <w:rPr>
      <w:rFonts w:ascii="Symbol" w:hAnsi="Symbol"/>
    </w:rPr>
  </w:style>
  <w:style w:type="character" w:customStyle="1" w:styleId="MenuOptions">
    <w:name w:val="Menu Options"/>
    <w:basedOn w:val="DefaultParagraphFont"/>
    <w:rsid w:val="00714A88"/>
    <w:rPr>
      <w:rFonts w:ascii="Arial Narrow" w:hAnsi="Arial Narrow"/>
      <w:smallCaps/>
    </w:rPr>
  </w:style>
  <w:style w:type="character" w:customStyle="1" w:styleId="Buttons">
    <w:name w:val="Buttons"/>
    <w:basedOn w:val="DefaultParagraphFont"/>
    <w:rsid w:val="00714A88"/>
    <w:rPr>
      <w:b/>
    </w:rPr>
  </w:style>
  <w:style w:type="character" w:customStyle="1" w:styleId="Underlined">
    <w:name w:val="Underlined"/>
    <w:basedOn w:val="DefaultParagraphFont"/>
    <w:rsid w:val="00714A88"/>
    <w:rPr>
      <w:u w:val="single"/>
    </w:rPr>
  </w:style>
  <w:style w:type="paragraph" w:customStyle="1" w:styleId="TableBodyTextRight">
    <w:name w:val="Table Body Text Right"/>
    <w:basedOn w:val="TableBodyText"/>
    <w:rsid w:val="00714A88"/>
    <w:pPr>
      <w:widowControl w:val="0"/>
      <w:autoSpaceDE w:val="0"/>
      <w:autoSpaceDN w:val="0"/>
      <w:adjustRightInd w:val="0"/>
      <w:jc w:val="right"/>
    </w:pPr>
    <w:rPr>
      <w:rFonts w:cs="Arial"/>
      <w:szCs w:val="18"/>
    </w:rPr>
  </w:style>
  <w:style w:type="paragraph" w:customStyle="1" w:styleId="CopyrightText">
    <w:name w:val="Copyright Text"/>
    <w:basedOn w:val="BodyText"/>
    <w:rsid w:val="00714A88"/>
    <w:rPr>
      <w:sz w:val="18"/>
    </w:rPr>
  </w:style>
  <w:style w:type="paragraph" w:customStyle="1" w:styleId="BodySmallRight">
    <w:name w:val="Body Small Right"/>
    <w:basedOn w:val="BodyTextRight"/>
    <w:rsid w:val="00714A88"/>
    <w:rPr>
      <w:sz w:val="18"/>
      <w:szCs w:val="18"/>
    </w:rPr>
  </w:style>
  <w:style w:type="paragraph" w:customStyle="1" w:styleId="MarginEdition">
    <w:name w:val="Margin Edition"/>
    <w:basedOn w:val="MarginNote"/>
    <w:rsid w:val="00714A88"/>
    <w:pPr>
      <w:spacing w:before="0" w:after="0"/>
    </w:pPr>
    <w:rPr>
      <w:rFonts w:ascii="Times New Roman" w:hAnsi="Times New Roman"/>
      <w:color w:val="999999"/>
    </w:rPr>
  </w:style>
  <w:style w:type="paragraph" w:customStyle="1" w:styleId="Spacer">
    <w:name w:val="Spacer"/>
    <w:basedOn w:val="Normal"/>
    <w:rsid w:val="00714A88"/>
    <w:rPr>
      <w:sz w:val="2"/>
      <w:szCs w:val="2"/>
    </w:rPr>
  </w:style>
  <w:style w:type="character" w:customStyle="1" w:styleId="Small">
    <w:name w:val="Small"/>
    <w:basedOn w:val="DefaultParagraphFont"/>
    <w:rsid w:val="00714A88"/>
    <w:rPr>
      <w:sz w:val="16"/>
    </w:rPr>
  </w:style>
  <w:style w:type="paragraph" w:customStyle="1" w:styleId="WideTable">
    <w:name w:val="Wide Table"/>
    <w:basedOn w:val="Normal"/>
    <w:rsid w:val="00714A88"/>
    <w:pPr>
      <w:ind w:left="-1418"/>
    </w:pPr>
    <w:rPr>
      <w:sz w:val="2"/>
      <w:szCs w:val="2"/>
    </w:rPr>
  </w:style>
  <w:style w:type="character" w:styleId="PageNumber">
    <w:name w:val="page number"/>
    <w:basedOn w:val="DefaultParagraphFont"/>
    <w:rsid w:val="00714A88"/>
  </w:style>
  <w:style w:type="paragraph" w:styleId="Quote">
    <w:name w:val="Quote"/>
    <w:basedOn w:val="Heading1"/>
    <w:link w:val="QuoteChar"/>
    <w:qFormat/>
    <w:rsid w:val="00714A88"/>
    <w:rPr>
      <w:b w:val="0"/>
      <w:sz w:val="72"/>
      <w:szCs w:val="72"/>
      <w:lang w:val="en-NZ"/>
    </w:rPr>
  </w:style>
  <w:style w:type="character" w:customStyle="1" w:styleId="QuoteChar">
    <w:name w:val="Quote Char"/>
    <w:basedOn w:val="DefaultParagraphFont"/>
    <w:link w:val="Quote"/>
    <w:rsid w:val="00714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A88"/>
    <w:pPr>
      <w:pageBreakBefore/>
    </w:pPr>
  </w:style>
  <w:style w:type="paragraph" w:customStyle="1" w:styleId="Border">
    <w:name w:val="Border"/>
    <w:basedOn w:val="Normal"/>
    <w:qFormat/>
    <w:rsid w:val="00714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A88"/>
    <w:rPr>
      <w:b/>
      <w:bCs/>
      <w:i/>
      <w:iCs/>
      <w:color w:val="auto"/>
    </w:rPr>
  </w:style>
  <w:style w:type="paragraph" w:styleId="IntenseQuote">
    <w:name w:val="Intense Quote"/>
    <w:basedOn w:val="Normal"/>
    <w:next w:val="Normal"/>
    <w:link w:val="IntenseQuoteChar"/>
    <w:uiPriority w:val="30"/>
    <w:qFormat/>
    <w:rsid w:val="00714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A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A88"/>
    <w:rPr>
      <w:smallCaps/>
      <w:color w:val="auto"/>
      <w:u w:val="single"/>
    </w:rPr>
  </w:style>
  <w:style w:type="character" w:styleId="IntenseReference">
    <w:name w:val="Intense Reference"/>
    <w:basedOn w:val="DefaultParagraphFont"/>
    <w:uiPriority w:val="32"/>
    <w:qFormat/>
    <w:rsid w:val="00714A88"/>
    <w:rPr>
      <w:b/>
      <w:bCs/>
      <w:smallCaps/>
      <w:color w:val="auto"/>
      <w:spacing w:val="5"/>
      <w:u w:val="single"/>
    </w:rPr>
  </w:style>
  <w:style w:type="paragraph" w:customStyle="1" w:styleId="2ColumnHeading">
    <w:name w:val="2Column Heading"/>
    <w:basedOn w:val="BodyText"/>
    <w:qFormat/>
    <w:rsid w:val="00714A88"/>
    <w:pPr>
      <w:spacing w:after="60"/>
      <w:ind w:left="-2268"/>
    </w:pPr>
    <w:rPr>
      <w:b/>
    </w:rPr>
  </w:style>
  <w:style w:type="paragraph" w:customStyle="1" w:styleId="Heading1TOC">
    <w:name w:val="Heading1 TOC"/>
    <w:basedOn w:val="Normal"/>
    <w:qFormat/>
    <w:rsid w:val="00714A88"/>
    <w:pPr>
      <w:spacing w:before="240" w:after="120"/>
    </w:pPr>
    <w:rPr>
      <w:rFonts w:ascii="Times New Roman" w:hAnsi="Times New Roman"/>
      <w:b/>
      <w:sz w:val="32"/>
    </w:rPr>
  </w:style>
  <w:style w:type="paragraph" w:customStyle="1" w:styleId="Heading2TOC">
    <w:name w:val="Heading2 TOC"/>
    <w:basedOn w:val="Normal"/>
    <w:qFormat/>
    <w:rsid w:val="00714A88"/>
    <w:pPr>
      <w:spacing w:before="240" w:after="60"/>
    </w:pPr>
    <w:rPr>
      <w:rFonts w:ascii="Times New Roman" w:hAnsi="Times New Roman"/>
      <w:b/>
      <w:sz w:val="28"/>
    </w:rPr>
  </w:style>
  <w:style w:type="character" w:customStyle="1" w:styleId="Underline">
    <w:name w:val="Underline"/>
    <w:basedOn w:val="DefaultParagraphFont"/>
    <w:qFormat/>
    <w:rsid w:val="00714A88"/>
    <w:rPr>
      <w:u w:val="single"/>
    </w:rPr>
  </w:style>
  <w:style w:type="paragraph" w:styleId="BalloonText">
    <w:name w:val="Balloon Text"/>
    <w:basedOn w:val="Normal"/>
    <w:link w:val="BalloonTextChar"/>
    <w:rsid w:val="00714A88"/>
    <w:rPr>
      <w:rFonts w:ascii="Tahoma" w:hAnsi="Tahoma" w:cs="Tahoma"/>
      <w:sz w:val="16"/>
      <w:szCs w:val="16"/>
    </w:rPr>
  </w:style>
  <w:style w:type="character" w:customStyle="1" w:styleId="BalloonTextChar">
    <w:name w:val="Balloon Text Char"/>
    <w:basedOn w:val="DefaultParagraphFont"/>
    <w:link w:val="BalloonText"/>
    <w:rsid w:val="00714A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A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A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A88"/>
    <w:rPr>
      <w:b/>
      <w:color w:val="660033"/>
      <w:spacing w:val="0"/>
    </w:rPr>
  </w:style>
  <w:style w:type="paragraph" w:customStyle="1" w:styleId="Nameditemlist">
    <w:name w:val="Named item list"/>
    <w:basedOn w:val="BodyText"/>
    <w:qFormat/>
    <w:rsid w:val="00714A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9933</Characters>
  <Application>Microsoft Office Word</Application>
  <DocSecurity>0</DocSecurity>
  <Lines>348</Lines>
  <Paragraphs>238</Paragraphs>
  <ScaleCrop>false</ScaleCrop>
  <Company>Author-it Software Corporation Ltd.</Company>
  <LinksUpToDate>false</LinksUpToDate>
  <CharactersWithSpaces>11414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NWP421A Collect, measure and process hydrometric stream discharge gauging</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2012-10-11T18:58:00Z</dcterms:created>
  <dcterms:modified xsi:type="dcterms:W3CDTF">2012-10-11T18:58:00Z</dcterms:modified>
</cp:coreProperties>
</file>