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34F63" w:rsidP="00434F63">
      <w:pPr>
        <w:pStyle w:val="Title"/>
      </w:pPr>
      <w:bookmarkStart w:id="0" w:name="_GoBack"/>
      <w:bookmarkEnd w:id="0"/>
      <w:r>
        <w:fldChar w:fldCharType="begin"/>
      </w:r>
      <w:r>
        <w:instrText xml:space="preserve"> TITLE   \* MERGEFORMAT </w:instrText>
      </w:r>
      <w:r>
        <w:fldChar w:fldCharType="separate"/>
      </w:r>
      <w:r>
        <w:t>NWP408A Investigate and plan the optimisation of sedimentation and clarification processes</w:t>
      </w:r>
      <w:r>
        <w:fldChar w:fldCharType="end"/>
      </w:r>
    </w:p>
    <w:p w:rsidR="00434F63" w:rsidP="00434F63">
      <w:pPr>
        <w:pStyle w:val="Version"/>
        <w:sectPr w:rsidSect="007D322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7D322B" w:rsidP="007D322B">
      <w:pPr>
        <w:pStyle w:val="SuperHeading"/>
      </w:pPr>
      <w:r w:rsidRPr="007D322B">
        <w:t>NWP408A Investigate and plan the optimisation of sedimentation and clarification processes</w:t>
      </w:r>
    </w:p>
    <w:p w:rsidR="00000000" w:rsidRPr="007D322B" w:rsidP="007D322B">
      <w:pPr>
        <w:pStyle w:val="Heading1"/>
      </w:pPr>
      <w:bookmarkStart w:id="1" w:name="O_406197"/>
      <w:bookmarkEnd w:id="1"/>
      <w:r w:rsidRPr="007D322B">
        <w:t>Modification History</w:t>
      </w:r>
    </w:p>
    <w:p w:rsidR="00000000" w:rsidRPr="007D322B" w:rsidP="007D322B">
      <w:pPr>
        <w:pStyle w:val="BodyText"/>
      </w:pPr>
      <w:r w:rsidRPr="007D322B">
        <w:t>NWP408A Release 2:</w:t>
      </w:r>
      <w:r w:rsidRPr="007D322B">
        <w:tab/>
        <w:t>Layout adjusted. No</w:t>
      </w:r>
      <w:r w:rsidRPr="007D322B">
        <w:t xml:space="preserve"> changes to content.</w:t>
      </w:r>
    </w:p>
    <w:p w:rsidR="00000000" w:rsidRPr="007D322B" w:rsidP="007D322B">
      <w:pPr>
        <w:pStyle w:val="BodyText"/>
      </w:pPr>
      <w:r w:rsidRPr="007D322B">
        <w:t>NWP408A Release 1:</w:t>
      </w:r>
      <w:r w:rsidRPr="007D322B">
        <w:tab/>
        <w:t>Primary release.</w:t>
      </w:r>
    </w:p>
    <w:p w:rsidR="00000000" w:rsidRPr="007D322B" w:rsidP="007D322B">
      <w:pPr>
        <w:pStyle w:val="AllowPageBreak"/>
      </w:pPr>
    </w:p>
    <w:p w:rsidR="00000000" w:rsidRPr="007D322B" w:rsidP="007D322B">
      <w:pPr>
        <w:pStyle w:val="Heading1"/>
      </w:pPr>
      <w:bookmarkStart w:id="2" w:name="O_406193"/>
      <w:bookmarkEnd w:id="2"/>
      <w:r w:rsidRPr="007D322B">
        <w:t>Unit Descriptor</w:t>
      </w:r>
    </w:p>
    <w:p w:rsidR="00000000" w:rsidRPr="007D322B" w:rsidP="007D322B">
      <w:pPr>
        <w:pStyle w:val="BodyText"/>
      </w:pPr>
      <w:r w:rsidRPr="007D322B">
        <w:t>This unit of competency describes the outcomes required to evaluate system performance and investigate and report on optimisation of sedimentation and clarification p</w:t>
      </w:r>
      <w:r w:rsidRPr="007D322B">
        <w:t>rocesses.</w:t>
      </w:r>
    </w:p>
    <w:p w:rsidR="00000000" w:rsidRPr="007D322B" w:rsidP="007D322B">
      <w:pPr>
        <w:pStyle w:val="AllowPageBreak"/>
      </w:pPr>
    </w:p>
    <w:p w:rsidR="00000000" w:rsidRPr="007D322B" w:rsidP="007D322B">
      <w:pPr>
        <w:pStyle w:val="Heading1"/>
      </w:pPr>
      <w:bookmarkStart w:id="3" w:name="O_406205"/>
      <w:bookmarkEnd w:id="3"/>
      <w:r w:rsidRPr="007D322B">
        <w:t>Application of the Unit</w:t>
      </w:r>
    </w:p>
    <w:p w:rsidR="00000000" w:rsidRPr="007D322B" w:rsidP="007D322B">
      <w:pPr>
        <w:pStyle w:val="BodyText"/>
      </w:pPr>
      <w:r w:rsidRPr="007D322B">
        <w:t xml:space="preserve">This unit is required by technical staff with responsibility for optimising sedimentation and clarification processes in water and wastewater treatment plants. This role may be a single operator or may be </w:t>
      </w:r>
      <w:r w:rsidRPr="007D322B">
        <w:t>performed as part of a team with some responsibility for team coordination and supervision depending on the size of the treatment plant.</w:t>
      </w:r>
    </w:p>
    <w:p w:rsidR="00000000" w:rsidRPr="007D322B" w:rsidP="007D322B">
      <w:pPr>
        <w:pStyle w:val="AllowPageBreak"/>
      </w:pPr>
    </w:p>
    <w:p w:rsidR="00000000" w:rsidRPr="007D322B" w:rsidP="007D322B">
      <w:pPr>
        <w:pStyle w:val="Heading1"/>
      </w:pPr>
      <w:bookmarkStart w:id="4" w:name="O_406198"/>
      <w:bookmarkEnd w:id="4"/>
      <w:r w:rsidRPr="007D322B">
        <w:t>Licensing/Regulatory Information</w:t>
      </w:r>
    </w:p>
    <w:p w:rsidR="00000000" w:rsidRPr="007D322B" w:rsidP="007D322B">
      <w:pPr>
        <w:pStyle w:val="BodyText"/>
      </w:pPr>
      <w:r w:rsidRPr="007D322B">
        <w:t>Not applicable.</w:t>
      </w:r>
    </w:p>
    <w:p w:rsidR="00000000" w:rsidRPr="007D322B" w:rsidP="007D322B">
      <w:pPr>
        <w:pStyle w:val="AllowPageBreak"/>
      </w:pPr>
    </w:p>
    <w:p w:rsidR="00000000" w:rsidRPr="007D322B" w:rsidP="007D322B">
      <w:pPr>
        <w:pStyle w:val="Heading1"/>
      </w:pPr>
      <w:bookmarkStart w:id="5" w:name="O_406196"/>
      <w:bookmarkEnd w:id="5"/>
      <w:r w:rsidRPr="007D322B">
        <w:t>Pre-Requisites</w:t>
      </w:r>
    </w:p>
    <w:p w:rsidR="00000000" w:rsidRPr="007D322B" w:rsidP="007D322B">
      <w:pPr>
        <w:pStyle w:val="BodyText"/>
      </w:pPr>
      <w:r w:rsidRPr="007D322B">
        <w:t>Not applicable.</w:t>
      </w:r>
    </w:p>
    <w:p w:rsidR="00000000" w:rsidRPr="007D322B" w:rsidP="007D322B">
      <w:pPr>
        <w:pStyle w:val="AllowPageBreak"/>
      </w:pPr>
    </w:p>
    <w:p w:rsidR="00000000" w:rsidRPr="007D322B" w:rsidP="007D322B">
      <w:pPr>
        <w:pStyle w:val="Heading1"/>
      </w:pPr>
      <w:bookmarkStart w:id="6" w:name="O_406201"/>
      <w:bookmarkEnd w:id="6"/>
      <w:r w:rsidRPr="007D322B">
        <w:t>Employability Skills Information</w:t>
      </w:r>
    </w:p>
    <w:p w:rsidR="00000000" w:rsidRPr="007D322B" w:rsidP="007D322B">
      <w:pPr>
        <w:pStyle w:val="BodyText"/>
      </w:pPr>
      <w:r w:rsidRPr="007D322B">
        <w:t>This unit contains employability skills.</w:t>
      </w:r>
    </w:p>
    <w:p w:rsidR="00000000" w:rsidRPr="007D322B" w:rsidP="007D322B">
      <w:pPr>
        <w:pStyle w:val="AllowPageBreak"/>
      </w:pPr>
    </w:p>
    <w:p w:rsidR="00000000" w:rsidRPr="007D322B" w:rsidP="007D322B">
      <w:pPr>
        <w:pStyle w:val="Heading1"/>
      </w:pPr>
      <w:bookmarkStart w:id="7" w:name="O_406202"/>
      <w:bookmarkEnd w:id="7"/>
      <w:r w:rsidRPr="007D322B">
        <w:t>Elements and Performance Criteria Pre-Content</w:t>
      </w:r>
    </w:p>
    <w:tbl>
      <w:tblPr>
        <w:tblW w:w="0" w:type="auto"/>
        <w:tblLayout w:type="fixed"/>
        <w:tblCellMar>
          <w:left w:w="62" w:type="dxa"/>
          <w:right w:w="62" w:type="dxa"/>
        </w:tblCellMar>
        <w:tblLook w:val="0000"/>
      </w:tblPr>
      <w:tblGrid>
        <w:gridCol w:w="2268"/>
        <w:gridCol w:w="6804"/>
      </w:tblGrid>
      <w:tr w:rsidTr="00434F63">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7D322B">
            <w:pPr>
              <w:pStyle w:val="BodyText"/>
              <w:rPr>
                <w:lang w:val="en-NZ"/>
              </w:rPr>
            </w:pPr>
            <w:r w:rsidRPr="007D322B">
              <w:t>Elements describe the essential outcomes of a unit of competency.</w:t>
            </w:r>
          </w:p>
        </w:tc>
        <w:tc>
          <w:tcPr>
            <w:tcW w:w="6804" w:type="dxa"/>
            <w:tcBorders>
              <w:top w:val="nil"/>
              <w:left w:val="nil"/>
              <w:bottom w:val="nil"/>
              <w:right w:val="nil"/>
            </w:tcBorders>
            <w:tcMar>
              <w:top w:w="0" w:type="dxa"/>
              <w:left w:w="62" w:type="dxa"/>
              <w:bottom w:w="0" w:type="dxa"/>
              <w:right w:w="62" w:type="dxa"/>
            </w:tcMar>
          </w:tcPr>
          <w:p w:rsidR="00000000" w:rsidRPr="007D322B" w:rsidP="007D322B">
            <w:pPr>
              <w:pStyle w:val="BodyText"/>
            </w:pPr>
            <w:r w:rsidRPr="007D322B">
              <w:t>Performance criteria describe the per</w:t>
            </w:r>
            <w:r w:rsidRPr="007D322B">
              <w:t xml:space="preserve">formance needed to demonstrate achievement of the element. Where </w:t>
            </w:r>
            <w:r w:rsidRPr="007D322B">
              <w:rPr>
                <w:rStyle w:val="BoldandItalics"/>
              </w:rPr>
              <w:t>bold italicised</w:t>
            </w:r>
            <w:r w:rsidRPr="007D322B">
              <w:t xml:space="preserve"> text is used, further information is detailed in the range statement. Assessment of performance is to be consistent with the evidence guide.</w:t>
            </w:r>
          </w:p>
        </w:tc>
      </w:tr>
    </w:tbl>
    <w:p w:rsidR="00000000" w:rsidRPr="007D322B" w:rsidP="007D322B">
      <w:pPr>
        <w:pStyle w:val="BodyText"/>
      </w:pPr>
    </w:p>
    <w:p w:rsidR="00000000" w:rsidRPr="007D322B" w:rsidP="007D322B">
      <w:pPr>
        <w:pStyle w:val="AllowPageBreak"/>
      </w:pPr>
    </w:p>
    <w:p w:rsidR="00000000" w:rsidRPr="007D322B" w:rsidP="007D322B">
      <w:pPr>
        <w:pStyle w:val="Heading1"/>
      </w:pPr>
      <w:bookmarkStart w:id="8" w:name="O_406203"/>
      <w:bookmarkEnd w:id="8"/>
      <w:r w:rsidRPr="007D322B">
        <w:t>El</w:t>
      </w:r>
      <w:r w:rsidRPr="007D322B">
        <w:t>ements and Performance Criteria</w:t>
      </w:r>
    </w:p>
    <w:tbl>
      <w:tblPr>
        <w:tblW w:w="0" w:type="auto"/>
        <w:tblLayout w:type="fixed"/>
        <w:tblCellMar>
          <w:left w:w="62" w:type="dxa"/>
          <w:right w:w="62" w:type="dxa"/>
        </w:tblCellMar>
        <w:tblLook w:val="0000"/>
      </w:tblPr>
      <w:tblGrid>
        <w:gridCol w:w="2268"/>
        <w:gridCol w:w="6804"/>
      </w:tblGrid>
      <w:tr w:rsidTr="00434F63">
        <w:tblPrEx>
          <w:tblW w:w="0" w:type="auto"/>
          <w:tblLayout w:type="fixed"/>
          <w:tblCellMar>
            <w:left w:w="62" w:type="dxa"/>
            <w:right w:w="62" w:type="dxa"/>
          </w:tblCellMar>
          <w:tblLook w:val="0000"/>
        </w:tblPrEx>
        <w:trPr>
          <w:tblHeader/>
        </w:trPr>
        <w:tc>
          <w:tcPr>
            <w:tcW w:w="2268" w:type="dxa"/>
            <w:tcBorders>
              <w:top w:val="nil"/>
              <w:left w:val="nil"/>
              <w:bottom w:val="nil"/>
              <w:right w:val="nil"/>
            </w:tcBorders>
            <w:tcMar>
              <w:top w:w="0" w:type="dxa"/>
              <w:left w:w="62" w:type="dxa"/>
              <w:bottom w:w="0" w:type="dxa"/>
              <w:right w:w="62" w:type="dxa"/>
            </w:tcMar>
          </w:tcPr>
          <w:p w:rsidR="00000000" w:rsidRPr="007D322B" w:rsidP="007D322B">
            <w:pPr>
              <w:pStyle w:val="BodyText"/>
            </w:pPr>
            <w:r w:rsidRPr="007D322B">
              <w:rPr>
                <w:rStyle w:val="SpecialBold"/>
              </w:rPr>
              <w:t>ELEMENT</w:t>
            </w:r>
          </w:p>
        </w:tc>
        <w:tc>
          <w:tcPr>
            <w:tcW w:w="6804" w:type="dxa"/>
            <w:tcBorders>
              <w:top w:val="nil"/>
              <w:left w:val="nil"/>
              <w:bottom w:val="nil"/>
              <w:right w:val="nil"/>
            </w:tcBorders>
            <w:tcMar>
              <w:top w:w="0" w:type="dxa"/>
              <w:left w:w="62" w:type="dxa"/>
              <w:bottom w:w="0" w:type="dxa"/>
              <w:right w:w="62" w:type="dxa"/>
            </w:tcMar>
          </w:tcPr>
          <w:p w:rsidR="00000000" w:rsidP="007D322B">
            <w:pPr>
              <w:pStyle w:val="BodyText"/>
              <w:rPr>
                <w:lang w:val="en-NZ"/>
              </w:rPr>
            </w:pPr>
            <w:r w:rsidRPr="007D322B">
              <w:rPr>
                <w:rStyle w:val="SpecialBold"/>
              </w:rPr>
              <w:t>PERFORMANCE CRITERIA</w:t>
            </w:r>
          </w:p>
        </w:tc>
      </w:tr>
      <w:tr w:rsidTr="00434F63">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7D322B">
            <w:pPr>
              <w:pStyle w:val="List"/>
              <w:rPr>
                <w:lang w:val="en-NZ"/>
              </w:rPr>
            </w:pPr>
            <w:r w:rsidRPr="007D322B">
              <w:rPr>
                <w:rStyle w:val="SpecialBold"/>
              </w:rPr>
              <w:t>1</w:t>
            </w:r>
            <w:r w:rsidRPr="007D322B">
              <w:rPr>
                <w:rStyle w:val="SpecialBold"/>
              </w:rPr>
              <w:tab/>
              <w:t>Evaluate sedimentation and clarification process performance</w:t>
            </w:r>
            <w:r w:rsidRPr="007D322B">
              <w:t>.</w:t>
            </w:r>
          </w:p>
        </w:tc>
        <w:tc>
          <w:tcPr>
            <w:tcW w:w="6804" w:type="dxa"/>
            <w:tcBorders>
              <w:top w:val="nil"/>
              <w:left w:val="nil"/>
              <w:bottom w:val="nil"/>
              <w:right w:val="nil"/>
            </w:tcBorders>
            <w:tcMar>
              <w:top w:w="0" w:type="dxa"/>
              <w:left w:w="62" w:type="dxa"/>
              <w:bottom w:w="0" w:type="dxa"/>
              <w:right w:w="62" w:type="dxa"/>
            </w:tcMar>
          </w:tcPr>
          <w:p w:rsidR="00000000" w:rsidRPr="007D322B" w:rsidP="007D322B">
            <w:pPr>
              <w:pStyle w:val="List"/>
            </w:pPr>
            <w:r w:rsidRPr="007D322B">
              <w:t>1.1</w:t>
            </w:r>
            <w:r w:rsidRPr="007D322B">
              <w:tab/>
              <w:t xml:space="preserve">Review existing process performance data against relevant </w:t>
            </w:r>
            <w:r w:rsidRPr="007D322B">
              <w:rPr>
                <w:rStyle w:val="BoldandItalics"/>
              </w:rPr>
              <w:t>organisational or legislative requirements</w:t>
            </w:r>
            <w:r w:rsidRPr="007D322B">
              <w:t>.</w:t>
            </w:r>
          </w:p>
          <w:p w:rsidR="00000000" w:rsidRPr="007D322B" w:rsidP="007D322B">
            <w:pPr>
              <w:pStyle w:val="List"/>
            </w:pPr>
            <w:r w:rsidRPr="007D322B">
              <w:t>1.2</w:t>
            </w:r>
            <w:r w:rsidRPr="007D322B">
              <w:tab/>
            </w:r>
            <w:r w:rsidRPr="007D322B">
              <w:t xml:space="preserve">Identify the impact of changing </w:t>
            </w:r>
            <w:r w:rsidRPr="007D322B">
              <w:rPr>
                <w:rStyle w:val="BoldandItalics"/>
              </w:rPr>
              <w:t>incoming water quality</w:t>
            </w:r>
            <w:r w:rsidRPr="007D322B">
              <w:t xml:space="preserve"> on sedimentation and clarification </w:t>
            </w:r>
            <w:r w:rsidRPr="007D322B">
              <w:rPr>
                <w:rStyle w:val="BoldandItalics"/>
              </w:rPr>
              <w:t>processes</w:t>
            </w:r>
            <w:r w:rsidRPr="007D322B">
              <w:t xml:space="preserve"> in a range of conditions. </w:t>
            </w:r>
          </w:p>
          <w:p w:rsidR="00000000" w:rsidP="007D322B">
            <w:pPr>
              <w:pStyle w:val="List"/>
              <w:rPr>
                <w:lang w:val="en-NZ"/>
              </w:rPr>
            </w:pPr>
            <w:r w:rsidRPr="007D322B">
              <w:t>1.3</w:t>
            </w:r>
            <w:r w:rsidRPr="007D322B">
              <w:tab/>
              <w:t xml:space="preserve">Identify and coordinate any additional sampling and </w:t>
            </w:r>
            <w:r w:rsidRPr="007D322B">
              <w:rPr>
                <w:rStyle w:val="BoldandItalics"/>
              </w:rPr>
              <w:t>testing</w:t>
            </w:r>
            <w:r w:rsidRPr="007D322B">
              <w:t xml:space="preserve"> required for valid evaluation of current process performance.</w:t>
            </w:r>
          </w:p>
        </w:tc>
      </w:tr>
      <w:tr w:rsidTr="00434F63">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7D322B">
            <w:pPr>
              <w:pStyle w:val="List"/>
              <w:rPr>
                <w:lang w:val="en-NZ"/>
              </w:rPr>
            </w:pPr>
            <w:r w:rsidRPr="007D322B">
              <w:rPr>
                <w:rStyle w:val="SpecialBold"/>
              </w:rPr>
              <w:t>2</w:t>
            </w:r>
            <w:r w:rsidRPr="007D322B">
              <w:rPr>
                <w:rStyle w:val="SpecialBold"/>
              </w:rPr>
              <w:tab/>
            </w:r>
            <w:r w:rsidRPr="007D322B">
              <w:rPr>
                <w:rStyle w:val="SpecialBold"/>
              </w:rPr>
              <w:t>Investigate sedimentation and clarification assets</w:t>
            </w:r>
            <w:r w:rsidRPr="007D322B">
              <w:t>.</w:t>
            </w:r>
          </w:p>
        </w:tc>
        <w:tc>
          <w:tcPr>
            <w:tcW w:w="6804" w:type="dxa"/>
            <w:tcBorders>
              <w:top w:val="nil"/>
              <w:left w:val="nil"/>
              <w:bottom w:val="nil"/>
              <w:right w:val="nil"/>
            </w:tcBorders>
            <w:tcMar>
              <w:top w:w="0" w:type="dxa"/>
              <w:left w:w="62" w:type="dxa"/>
              <w:bottom w:w="0" w:type="dxa"/>
              <w:right w:w="62" w:type="dxa"/>
            </w:tcMar>
          </w:tcPr>
          <w:p w:rsidR="00000000" w:rsidRPr="007D322B" w:rsidP="007D322B">
            <w:pPr>
              <w:pStyle w:val="List"/>
            </w:pPr>
            <w:r w:rsidRPr="007D322B">
              <w:t>2.1</w:t>
            </w:r>
            <w:r w:rsidRPr="007D322B">
              <w:tab/>
              <w:t>Review existing fault reports and other relevant plant asset information.</w:t>
            </w:r>
          </w:p>
          <w:p w:rsidR="00000000" w:rsidP="007D322B">
            <w:pPr>
              <w:pStyle w:val="List"/>
              <w:rPr>
                <w:lang w:val="en-NZ"/>
              </w:rPr>
            </w:pPr>
            <w:r w:rsidRPr="007D322B">
              <w:t>2.2</w:t>
            </w:r>
            <w:r w:rsidRPr="007D322B">
              <w:tab/>
              <w:t xml:space="preserve">Investigate the operational status of </w:t>
            </w:r>
            <w:r w:rsidRPr="007D322B">
              <w:rPr>
                <w:rStyle w:val="BoldandItalics"/>
              </w:rPr>
              <w:t>plant components</w:t>
            </w:r>
            <w:r w:rsidRPr="007D322B">
              <w:t xml:space="preserve"> with reference to </w:t>
            </w:r>
            <w:r w:rsidRPr="007D322B">
              <w:rPr>
                <w:rStyle w:val="BoldandItalics"/>
              </w:rPr>
              <w:t>manufacturers' and plant designers'</w:t>
            </w:r>
            <w:r w:rsidRPr="007D322B">
              <w:t xml:space="preserve"> specification</w:t>
            </w:r>
            <w:r w:rsidRPr="007D322B">
              <w:t>s.</w:t>
            </w:r>
          </w:p>
        </w:tc>
      </w:tr>
      <w:tr w:rsidTr="00434F63">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7D322B">
            <w:pPr>
              <w:pStyle w:val="List"/>
              <w:rPr>
                <w:lang w:val="en-NZ"/>
              </w:rPr>
            </w:pPr>
            <w:r w:rsidRPr="007D322B">
              <w:rPr>
                <w:rStyle w:val="SpecialBold"/>
              </w:rPr>
              <w:t>3</w:t>
            </w:r>
            <w:r w:rsidRPr="007D322B">
              <w:rPr>
                <w:rStyle w:val="SpecialBold"/>
              </w:rPr>
              <w:tab/>
              <w:t>Investigate process optimisation</w:t>
            </w:r>
            <w:r w:rsidRPr="007D322B">
              <w:t>.</w:t>
            </w:r>
          </w:p>
        </w:tc>
        <w:tc>
          <w:tcPr>
            <w:tcW w:w="6804" w:type="dxa"/>
            <w:tcBorders>
              <w:top w:val="nil"/>
              <w:left w:val="nil"/>
              <w:bottom w:val="nil"/>
              <w:right w:val="nil"/>
            </w:tcBorders>
            <w:tcMar>
              <w:top w:w="0" w:type="dxa"/>
              <w:left w:w="62" w:type="dxa"/>
              <w:bottom w:w="0" w:type="dxa"/>
              <w:right w:w="62" w:type="dxa"/>
            </w:tcMar>
          </w:tcPr>
          <w:p w:rsidR="00000000" w:rsidRPr="007D322B" w:rsidP="007D322B">
            <w:pPr>
              <w:pStyle w:val="List"/>
            </w:pPr>
            <w:r w:rsidRPr="007D322B">
              <w:t>3.1</w:t>
            </w:r>
            <w:r w:rsidRPr="007D322B">
              <w:tab/>
              <w:t>Review relevant fault and incident reports and remedial actions taken.</w:t>
            </w:r>
          </w:p>
          <w:p w:rsidR="00000000" w:rsidP="007D322B">
            <w:pPr>
              <w:pStyle w:val="List"/>
              <w:rPr>
                <w:lang w:val="en-NZ"/>
              </w:rPr>
            </w:pPr>
            <w:r w:rsidRPr="007D322B">
              <w:t>3.2</w:t>
            </w:r>
            <w:r w:rsidRPr="007D322B">
              <w:tab/>
              <w:t xml:space="preserve">Investigate </w:t>
            </w:r>
            <w:r w:rsidRPr="007D322B">
              <w:rPr>
                <w:rStyle w:val="BoldandItalics"/>
              </w:rPr>
              <w:t>potential changes to operational processes</w:t>
            </w:r>
            <w:r w:rsidRPr="007D322B">
              <w:t xml:space="preserve"> to identify possible optimisation strategies.</w:t>
            </w:r>
          </w:p>
        </w:tc>
      </w:tr>
      <w:tr w:rsidTr="00434F63">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7D322B">
            <w:pPr>
              <w:pStyle w:val="List"/>
              <w:rPr>
                <w:lang w:val="en-NZ"/>
              </w:rPr>
            </w:pPr>
            <w:r w:rsidRPr="007D322B">
              <w:rPr>
                <w:rStyle w:val="SpecialBold"/>
              </w:rPr>
              <w:t>4</w:t>
            </w:r>
            <w:r w:rsidRPr="007D322B">
              <w:rPr>
                <w:rStyle w:val="SpecialBold"/>
              </w:rPr>
              <w:tab/>
              <w:t>Plan process optimisation</w:t>
            </w:r>
            <w:r w:rsidRPr="007D322B">
              <w:t>.</w:t>
            </w:r>
          </w:p>
        </w:tc>
        <w:tc>
          <w:tcPr>
            <w:tcW w:w="6804" w:type="dxa"/>
            <w:tcBorders>
              <w:top w:val="nil"/>
              <w:left w:val="nil"/>
              <w:bottom w:val="nil"/>
              <w:right w:val="nil"/>
            </w:tcBorders>
            <w:tcMar>
              <w:top w:w="0" w:type="dxa"/>
              <w:left w:w="62" w:type="dxa"/>
              <w:bottom w:w="0" w:type="dxa"/>
              <w:right w:w="62" w:type="dxa"/>
            </w:tcMar>
          </w:tcPr>
          <w:p w:rsidR="00000000" w:rsidRPr="007D322B" w:rsidP="007D322B">
            <w:pPr>
              <w:pStyle w:val="List"/>
            </w:pPr>
            <w:r w:rsidRPr="007D322B">
              <w:t>4.1</w:t>
            </w:r>
            <w:r w:rsidRPr="007D322B">
              <w:tab/>
              <w:t>De</w:t>
            </w:r>
            <w:r w:rsidRPr="007D322B">
              <w:t xml:space="preserve">termine plant configuration and revised operational processes for process optimisation. </w:t>
            </w:r>
          </w:p>
          <w:p w:rsidR="00000000" w:rsidRPr="007D322B" w:rsidP="007D322B">
            <w:pPr>
              <w:pStyle w:val="List"/>
            </w:pPr>
            <w:r w:rsidRPr="007D322B">
              <w:t>4.2</w:t>
            </w:r>
            <w:r w:rsidRPr="007D322B">
              <w:tab/>
              <w:t xml:space="preserve">Plan a trial to test the performance of the determined optimisation options. </w:t>
            </w:r>
          </w:p>
          <w:p w:rsidR="00000000" w:rsidRPr="007D322B" w:rsidP="007D322B">
            <w:pPr>
              <w:pStyle w:val="List"/>
            </w:pPr>
            <w:r w:rsidRPr="007D322B">
              <w:t>4.3</w:t>
            </w:r>
            <w:r w:rsidRPr="007D322B">
              <w:tab/>
              <w:t>Compile a report making recommendations on optimisation options.</w:t>
            </w:r>
          </w:p>
        </w:tc>
      </w:tr>
    </w:tbl>
    <w:p w:rsidR="00000000" w:rsidRPr="007D322B" w:rsidP="007D322B">
      <w:pPr>
        <w:pStyle w:val="BodyText"/>
      </w:pPr>
    </w:p>
    <w:p w:rsidR="00000000" w:rsidRPr="007D322B" w:rsidP="007D322B">
      <w:pPr>
        <w:pStyle w:val="AllowPageBreak"/>
      </w:pPr>
    </w:p>
    <w:p w:rsidR="00000000" w:rsidRPr="007D322B" w:rsidP="007D322B">
      <w:pPr>
        <w:pStyle w:val="Heading1"/>
      </w:pPr>
      <w:bookmarkStart w:id="9" w:name="O_406194"/>
      <w:bookmarkEnd w:id="9"/>
      <w:r w:rsidRPr="007D322B">
        <w:t>Required Skills and Knowledge</w:t>
      </w:r>
    </w:p>
    <w:tbl>
      <w:tblPr>
        <w:tblW w:w="0" w:type="auto"/>
        <w:tblLayout w:type="fixed"/>
        <w:tblCellMar>
          <w:left w:w="62" w:type="dxa"/>
          <w:right w:w="62" w:type="dxa"/>
        </w:tblCellMar>
        <w:tblLook w:val="0000"/>
      </w:tblPr>
      <w:tblGrid>
        <w:gridCol w:w="9072"/>
      </w:tblGrid>
      <w:tr w:rsidTr="00434F63">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7D322B">
            <w:pPr>
              <w:pStyle w:val="BodyText"/>
              <w:rPr>
                <w:lang w:val="en-NZ"/>
              </w:rPr>
            </w:pPr>
            <w:r w:rsidRPr="007D322B">
              <w:t>This section describes the skills and knowledge required for this unit.</w:t>
            </w:r>
          </w:p>
        </w:tc>
      </w:tr>
      <w:tr w:rsidTr="00434F63">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7D322B" w:rsidP="007D322B">
            <w:pPr>
              <w:pStyle w:val="BodyText"/>
            </w:pPr>
            <w:r w:rsidRPr="007D322B">
              <w:rPr>
                <w:rStyle w:val="SpecialBold"/>
              </w:rPr>
              <w:t>Required skills</w:t>
            </w:r>
            <w:r w:rsidRPr="007D322B">
              <w:t>:</w:t>
            </w:r>
          </w:p>
          <w:p w:rsidR="00000000" w:rsidRPr="007D322B" w:rsidP="007D322B">
            <w:pPr>
              <w:pStyle w:val="ListBullet"/>
            </w:pPr>
            <w:r w:rsidRPr="007D322B">
              <w:t>conduct investigations and report on operational or control system problems</w:t>
            </w:r>
          </w:p>
          <w:p w:rsidR="00000000" w:rsidRPr="007D322B" w:rsidP="007D322B">
            <w:pPr>
              <w:pStyle w:val="ListBullet"/>
            </w:pPr>
            <w:r w:rsidRPr="007D322B">
              <w:t>coordinate sedimentation and clarification inspectio</w:t>
            </w:r>
            <w:r w:rsidRPr="007D322B">
              <w:t>n, sampling and testing</w:t>
            </w:r>
          </w:p>
          <w:p w:rsidR="00000000" w:rsidRPr="007D322B" w:rsidP="007D322B">
            <w:pPr>
              <w:pStyle w:val="ListBullet"/>
            </w:pPr>
            <w:r w:rsidRPr="007D322B">
              <w:t>perform various calculations to provide data for the analysis and development of options and solutions, such as surface loading rate, upflow velocity, detention time and weir loading rate</w:t>
            </w:r>
          </w:p>
          <w:p w:rsidR="00000000" w:rsidRPr="007D322B" w:rsidP="007D322B">
            <w:pPr>
              <w:pStyle w:val="ListBullet"/>
            </w:pPr>
            <w:r w:rsidRPr="007D322B">
              <w:t>operate control and communication systems</w:t>
            </w:r>
          </w:p>
          <w:p w:rsidR="00000000" w:rsidRPr="007D322B" w:rsidP="007D322B">
            <w:pPr>
              <w:pStyle w:val="ListBullet"/>
            </w:pPr>
            <w:r w:rsidRPr="007D322B">
              <w:t>use safety and personal protective equipment</w:t>
            </w:r>
          </w:p>
          <w:p w:rsidR="00000000" w:rsidRPr="007D322B" w:rsidP="007D322B">
            <w:pPr>
              <w:pStyle w:val="ListBullet"/>
            </w:pPr>
            <w:r w:rsidRPr="007D322B">
              <w:t>communicate with colleagues, consultants and suppliers</w:t>
            </w:r>
          </w:p>
          <w:p w:rsidR="00000000" w:rsidRPr="007D322B" w:rsidP="007D322B">
            <w:pPr>
              <w:pStyle w:val="ListBullet"/>
            </w:pPr>
            <w:r w:rsidRPr="007D322B">
              <w:t>produce optimisation reports</w:t>
            </w:r>
          </w:p>
          <w:p w:rsidR="00000000" w:rsidRPr="007D322B" w:rsidP="007D322B">
            <w:pPr>
              <w:pStyle w:val="ListBullet"/>
            </w:pPr>
            <w:r w:rsidRPr="007D322B">
              <w:t>interpret a range of complex and technical documents, including relevant:</w:t>
            </w:r>
          </w:p>
          <w:p w:rsidR="00000000" w:rsidRPr="007D322B" w:rsidP="007D322B">
            <w:pPr>
              <w:pStyle w:val="ListBullet2"/>
            </w:pPr>
            <w:r w:rsidRPr="007D322B">
              <w:t>regulatory, legislative, licensing and organisationa</w:t>
            </w:r>
            <w:r w:rsidRPr="007D322B">
              <w:t>l requirements</w:t>
            </w:r>
          </w:p>
          <w:p w:rsidR="00000000" w:rsidRPr="007D322B" w:rsidP="007D322B">
            <w:pPr>
              <w:pStyle w:val="ListBullet2"/>
            </w:pPr>
            <w:r w:rsidRPr="007D322B">
              <w:t>codes and standards</w:t>
            </w:r>
          </w:p>
          <w:p w:rsidR="00000000" w:rsidRPr="007D322B" w:rsidP="007D322B">
            <w:pPr>
              <w:pStyle w:val="ListBullet2"/>
            </w:pPr>
            <w:r w:rsidRPr="007D322B">
              <w:t>specifications</w:t>
            </w:r>
          </w:p>
          <w:p w:rsidR="00000000" w:rsidRPr="007D322B" w:rsidP="007D322B">
            <w:pPr>
              <w:pStyle w:val="ListBullet2"/>
            </w:pPr>
            <w:r w:rsidRPr="007D322B">
              <w:t>organisational policies</w:t>
            </w:r>
          </w:p>
          <w:p w:rsidR="00000000" w:rsidRPr="007D322B" w:rsidP="007D322B">
            <w:pPr>
              <w:pStyle w:val="ListBullet"/>
            </w:pPr>
            <w:r w:rsidRPr="007D322B">
              <w:t>articulate complex ideas clearly</w:t>
            </w:r>
          </w:p>
          <w:p w:rsidR="00000000" w:rsidRPr="007D322B" w:rsidP="007D322B">
            <w:pPr>
              <w:pStyle w:val="ListBullet"/>
            </w:pPr>
            <w:r w:rsidRPr="007D322B">
              <w:t>work collaboratively with relevant stakeholders and team members</w:t>
            </w:r>
          </w:p>
          <w:p w:rsidR="00000000" w:rsidRPr="007D322B" w:rsidP="007D322B">
            <w:pPr>
              <w:pStyle w:val="ListBullet"/>
            </w:pPr>
            <w:r w:rsidRPr="007D322B">
              <w:t>analyse problems and recommend appropriate remedial solutions</w:t>
            </w:r>
          </w:p>
          <w:p w:rsidR="00000000" w:rsidRPr="007D322B" w:rsidP="007D322B">
            <w:pPr>
              <w:pStyle w:val="ListBullet"/>
            </w:pPr>
            <w:r w:rsidRPr="007D322B">
              <w:t>identify risks and haz</w:t>
            </w:r>
            <w:r w:rsidRPr="007D322B">
              <w:t>ards</w:t>
            </w:r>
          </w:p>
          <w:p w:rsidR="00000000" w:rsidRPr="007D322B" w:rsidP="007D322B">
            <w:pPr>
              <w:pStyle w:val="ListBullet"/>
            </w:pPr>
            <w:r w:rsidRPr="007D322B">
              <w:t>identify opportunities for improved water management</w:t>
            </w:r>
          </w:p>
          <w:p w:rsidR="00000000" w:rsidRPr="007D322B" w:rsidP="007D322B">
            <w:pPr>
              <w:pStyle w:val="ListBullet"/>
            </w:pPr>
            <w:r w:rsidRPr="007D322B">
              <w:t>participate in the provision of appropriate information to inform workplace processes</w:t>
            </w:r>
          </w:p>
          <w:p w:rsidR="00000000" w:rsidRPr="007D322B" w:rsidP="007D322B">
            <w:pPr>
              <w:pStyle w:val="ListBullet"/>
            </w:pPr>
            <w:r w:rsidRPr="007D322B">
              <w:t>manage work priorities</w:t>
            </w:r>
          </w:p>
          <w:p w:rsidR="00000000" w:rsidRPr="007D322B" w:rsidP="007D322B">
            <w:pPr>
              <w:pStyle w:val="ListBullet"/>
            </w:pPr>
            <w:r w:rsidRPr="007D322B">
              <w:t>use information effectively to improve work performance</w:t>
            </w:r>
          </w:p>
          <w:p w:rsidR="00000000" w:rsidP="007D322B">
            <w:pPr>
              <w:pStyle w:val="ListBullet"/>
              <w:rPr>
                <w:lang w:val="en-NZ"/>
              </w:rPr>
            </w:pPr>
            <w:r w:rsidRPr="007D322B">
              <w:t>prepare and apply chemical dosing</w:t>
            </w:r>
          </w:p>
        </w:tc>
      </w:tr>
      <w:tr w:rsidTr="00434F63">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7D322B" w:rsidP="007D322B">
            <w:pPr>
              <w:pStyle w:val="BodyText"/>
            </w:pPr>
            <w:r w:rsidRPr="007D322B">
              <w:rPr>
                <w:rStyle w:val="SpecialBold"/>
              </w:rPr>
              <w:t>Required knowledge</w:t>
            </w:r>
            <w:r w:rsidRPr="007D322B">
              <w:t>:</w:t>
            </w:r>
          </w:p>
          <w:p w:rsidR="00000000" w:rsidRPr="007D322B" w:rsidP="007D322B">
            <w:pPr>
              <w:pStyle w:val="ListBullet"/>
            </w:pPr>
            <w:r w:rsidRPr="007D322B">
              <w:t>principles that form the basis of sedimentation and clarification processes</w:t>
            </w:r>
          </w:p>
          <w:p w:rsidR="00000000" w:rsidRPr="007D322B" w:rsidP="007D322B">
            <w:pPr>
              <w:pStyle w:val="ListBullet"/>
            </w:pPr>
            <w:r w:rsidRPr="007D322B">
              <w:t>types of sedmentation and clarification processes</w:t>
            </w:r>
          </w:p>
          <w:p w:rsidR="00000000" w:rsidRPr="007D322B" w:rsidP="007D322B">
            <w:pPr>
              <w:pStyle w:val="ListBullet"/>
            </w:pPr>
            <w:r w:rsidRPr="007D322B">
              <w:t xml:space="preserve">re-establishing sludge blankets </w:t>
            </w:r>
          </w:p>
          <w:p w:rsidR="00000000" w:rsidRPr="007D322B" w:rsidP="007D322B">
            <w:pPr>
              <w:pStyle w:val="ListBullet"/>
            </w:pPr>
            <w:r w:rsidRPr="007D322B">
              <w:t>polymers and weighting agents</w:t>
            </w:r>
          </w:p>
          <w:p w:rsidR="00000000" w:rsidRPr="007D322B" w:rsidP="007D322B">
            <w:pPr>
              <w:pStyle w:val="ListBullet"/>
            </w:pPr>
            <w:r w:rsidRPr="007D322B">
              <w:t>principles of sedmentation and clarification system maintenance</w:t>
            </w:r>
          </w:p>
          <w:p w:rsidR="00000000" w:rsidRPr="007D322B" w:rsidP="007D322B">
            <w:pPr>
              <w:pStyle w:val="ListBullet"/>
            </w:pPr>
            <w:r w:rsidRPr="007D322B">
              <w:t>system layout</w:t>
            </w:r>
          </w:p>
          <w:p w:rsidR="00000000" w:rsidRPr="007D322B" w:rsidP="007D322B">
            <w:pPr>
              <w:pStyle w:val="ListBullet"/>
            </w:pPr>
            <w:r w:rsidRPr="007D322B">
              <w:t>pumping and valving systems</w:t>
            </w:r>
          </w:p>
          <w:p w:rsidR="00000000" w:rsidRPr="007D322B" w:rsidP="007D322B">
            <w:pPr>
              <w:pStyle w:val="ListBullet"/>
            </w:pPr>
            <w:r w:rsidRPr="007D322B">
              <w:t>relevant historical records</w:t>
            </w:r>
          </w:p>
          <w:p w:rsidR="00000000" w:rsidRPr="007D322B" w:rsidP="007D322B">
            <w:pPr>
              <w:pStyle w:val="ListBullet"/>
            </w:pPr>
            <w:r w:rsidRPr="007D322B">
              <w:t>range of appropriate measuring and testing procedures</w:t>
            </w:r>
          </w:p>
          <w:p w:rsidR="00000000" w:rsidRPr="007D322B" w:rsidP="007D322B">
            <w:pPr>
              <w:pStyle w:val="ListBullet"/>
            </w:pPr>
            <w:r w:rsidRPr="007D322B">
              <w:t>investigation procedures</w:t>
            </w:r>
          </w:p>
          <w:p w:rsidR="00000000" w:rsidRPr="007D322B" w:rsidP="007D322B">
            <w:pPr>
              <w:pStyle w:val="ListBullet"/>
            </w:pPr>
            <w:r w:rsidRPr="007D322B">
              <w:t>risk management principles related to sedim</w:t>
            </w:r>
            <w:r w:rsidRPr="007D322B">
              <w:t>entation and clarification systems</w:t>
            </w:r>
          </w:p>
          <w:p w:rsidR="00000000" w:rsidRPr="007D322B" w:rsidP="007D322B">
            <w:pPr>
              <w:pStyle w:val="ListBullet"/>
            </w:pPr>
            <w:r w:rsidRPr="007D322B">
              <w:t>relevant legislation, standards and workplace policies and procedures</w:t>
            </w:r>
          </w:p>
          <w:p w:rsidR="00000000" w:rsidRPr="007D322B" w:rsidP="007D322B">
            <w:pPr>
              <w:pStyle w:val="ListBullet"/>
            </w:pPr>
            <w:r w:rsidRPr="007D322B">
              <w:t>chemical dosing processes</w:t>
            </w:r>
          </w:p>
        </w:tc>
      </w:tr>
    </w:tbl>
    <w:p w:rsidR="00000000" w:rsidRPr="007D322B" w:rsidP="007D322B">
      <w:pPr>
        <w:pStyle w:val="BodyText"/>
      </w:pPr>
    </w:p>
    <w:p w:rsidR="00000000" w:rsidRPr="007D322B" w:rsidP="007D322B">
      <w:pPr>
        <w:pStyle w:val="AllowPageBreak"/>
      </w:pPr>
    </w:p>
    <w:p w:rsidR="00000000" w:rsidRPr="007D322B" w:rsidP="007D322B">
      <w:pPr>
        <w:pStyle w:val="Heading1"/>
      </w:pPr>
      <w:bookmarkStart w:id="10" w:name="O_406200"/>
      <w:bookmarkEnd w:id="10"/>
      <w:r w:rsidRPr="007D322B">
        <w:t>Evidence Guide</w:t>
      </w:r>
    </w:p>
    <w:tbl>
      <w:tblPr>
        <w:tblW w:w="0" w:type="auto"/>
        <w:tblLayout w:type="fixed"/>
        <w:tblCellMar>
          <w:left w:w="62" w:type="dxa"/>
          <w:right w:w="62" w:type="dxa"/>
        </w:tblCellMar>
        <w:tblLook w:val="0000"/>
      </w:tblPr>
      <w:tblGrid>
        <w:gridCol w:w="2837"/>
        <w:gridCol w:w="6235"/>
      </w:tblGrid>
      <w:tr w:rsidTr="00434F63">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7D322B">
            <w:pPr>
              <w:pStyle w:val="BodyText"/>
              <w:rPr>
                <w:lang w:val="en-NZ"/>
              </w:rPr>
            </w:pPr>
            <w:r w:rsidRPr="007D322B">
              <w:t>The evi</w:t>
            </w:r>
            <w:r w:rsidRPr="007D322B">
              <w:t>dence guide provides advice on assessment and must be read in conjunction with the performance criteria, required skills and knowledge, range statement and the Assessment Guidelines for the Training Package.</w:t>
            </w:r>
          </w:p>
        </w:tc>
      </w:tr>
      <w:tr w:rsidTr="00434F63">
        <w:tblPrEx>
          <w:tblW w:w="0" w:type="auto"/>
          <w:tblLayout w:type="fixed"/>
          <w:tblCellMar>
            <w:left w:w="62" w:type="dxa"/>
            <w:right w:w="62" w:type="dxa"/>
          </w:tblCellMar>
          <w:tblLook w:val="0000"/>
        </w:tblPrEx>
        <w:tc>
          <w:tcPr>
            <w:tcW w:w="2837" w:type="dxa"/>
            <w:tcBorders>
              <w:top w:val="nil"/>
              <w:left w:val="nil"/>
              <w:bottom w:val="nil"/>
              <w:right w:val="nil"/>
            </w:tcBorders>
            <w:tcMar>
              <w:top w:w="0" w:type="dxa"/>
              <w:left w:w="62" w:type="dxa"/>
              <w:bottom w:w="0" w:type="dxa"/>
              <w:right w:w="62" w:type="dxa"/>
            </w:tcMar>
          </w:tcPr>
          <w:p w:rsidR="00000000" w:rsidP="007D322B">
            <w:pPr>
              <w:pStyle w:val="BodyText"/>
              <w:rPr>
                <w:lang w:val="en-NZ"/>
              </w:rPr>
            </w:pPr>
            <w:r w:rsidRPr="007D322B">
              <w:rPr>
                <w:rStyle w:val="SpecialBold"/>
              </w:rPr>
              <w:t>Critical aspects for assessment and evidence r</w:t>
            </w:r>
            <w:r w:rsidRPr="007D322B">
              <w:rPr>
                <w:rStyle w:val="SpecialBold"/>
              </w:rPr>
              <w:t>equired to demonstrate competency in this unit</w:t>
            </w:r>
          </w:p>
        </w:tc>
        <w:tc>
          <w:tcPr>
            <w:tcW w:w="6235" w:type="dxa"/>
            <w:tcBorders>
              <w:top w:val="nil"/>
              <w:left w:val="nil"/>
              <w:bottom w:val="nil"/>
              <w:right w:val="nil"/>
            </w:tcBorders>
            <w:tcMar>
              <w:top w:w="0" w:type="dxa"/>
              <w:left w:w="62" w:type="dxa"/>
              <w:bottom w:w="0" w:type="dxa"/>
              <w:right w:w="62" w:type="dxa"/>
            </w:tcMar>
          </w:tcPr>
          <w:p w:rsidR="00000000" w:rsidRPr="007D322B" w:rsidP="007D322B">
            <w:pPr>
              <w:pStyle w:val="BodyText"/>
            </w:pPr>
            <w:r w:rsidRPr="007D322B">
              <w:t>The candidate should demonstrate the ability to evaluate system performance and investigate and report on optimisation of sedimentation and clarification processes including:</w:t>
            </w:r>
          </w:p>
          <w:p w:rsidR="00000000" w:rsidRPr="007D322B" w:rsidP="007D322B">
            <w:pPr>
              <w:pStyle w:val="ListBullet"/>
            </w:pPr>
            <w:r w:rsidRPr="007D322B">
              <w:t>reviewing existing sedimentation a</w:t>
            </w:r>
            <w:r w:rsidRPr="007D322B">
              <w:t>nd clarification process performance with reference to historical data, differences in incoming water quality and plant configuration</w:t>
            </w:r>
          </w:p>
          <w:p w:rsidR="00000000" w:rsidRPr="007D322B" w:rsidP="007D322B">
            <w:pPr>
              <w:pStyle w:val="ListBullet"/>
            </w:pPr>
            <w:r w:rsidRPr="007D322B">
              <w:t>identifying data deficiencies and organising additional data collection through appropriate sampling and testing</w:t>
            </w:r>
          </w:p>
          <w:p w:rsidR="00000000" w:rsidRPr="007D322B" w:rsidP="007D322B">
            <w:pPr>
              <w:pStyle w:val="ListBullet"/>
            </w:pPr>
            <w:r w:rsidRPr="007D322B">
              <w:t>assessing</w:t>
            </w:r>
            <w:r w:rsidRPr="007D322B">
              <w:t xml:space="preserve"> fault reports and investigating the current operational status of sedimentation and clarification plant components</w:t>
            </w:r>
          </w:p>
          <w:p w:rsidR="00000000" w:rsidRPr="007D322B" w:rsidP="007D322B">
            <w:pPr>
              <w:pStyle w:val="ListBullet"/>
            </w:pPr>
            <w:r w:rsidRPr="007D322B">
              <w:t>investigating current and potential chemical addition practices</w:t>
            </w:r>
          </w:p>
          <w:p w:rsidR="00000000" w:rsidP="007D322B">
            <w:pPr>
              <w:pStyle w:val="ListBullet"/>
              <w:rPr>
                <w:lang w:val="en-NZ"/>
              </w:rPr>
            </w:pPr>
            <w:r w:rsidRPr="007D322B">
              <w:t xml:space="preserve">planning trials to test the performance of the determined sedimentation and </w:t>
            </w:r>
            <w:r w:rsidRPr="007D322B">
              <w:t>clarification optimisation options and compiling reports making recommendations</w:t>
            </w:r>
          </w:p>
        </w:tc>
      </w:tr>
      <w:tr w:rsidTr="00434F63">
        <w:tblPrEx>
          <w:tblW w:w="0" w:type="auto"/>
          <w:tblLayout w:type="fixed"/>
          <w:tblCellMar>
            <w:left w:w="62" w:type="dxa"/>
            <w:right w:w="62" w:type="dxa"/>
          </w:tblCellMar>
          <w:tblLook w:val="0000"/>
        </w:tblPrEx>
        <w:tc>
          <w:tcPr>
            <w:tcW w:w="2837" w:type="dxa"/>
            <w:tcBorders>
              <w:top w:val="nil"/>
              <w:left w:val="nil"/>
              <w:bottom w:val="nil"/>
              <w:right w:val="nil"/>
            </w:tcBorders>
            <w:tcMar>
              <w:top w:w="0" w:type="dxa"/>
              <w:left w:w="62" w:type="dxa"/>
              <w:bottom w:w="0" w:type="dxa"/>
              <w:right w:w="62" w:type="dxa"/>
            </w:tcMar>
          </w:tcPr>
          <w:p w:rsidR="00000000" w:rsidP="007D322B">
            <w:pPr>
              <w:pStyle w:val="BodyText"/>
              <w:rPr>
                <w:lang w:val="en-NZ"/>
              </w:rPr>
            </w:pPr>
            <w:r w:rsidRPr="007D322B">
              <w:rPr>
                <w:rStyle w:val="SpecialBold"/>
              </w:rPr>
              <w:t>Context of and specific resources for assessment</w:t>
            </w:r>
          </w:p>
        </w:tc>
        <w:tc>
          <w:tcPr>
            <w:tcW w:w="6235" w:type="dxa"/>
            <w:tcBorders>
              <w:top w:val="nil"/>
              <w:left w:val="nil"/>
              <w:bottom w:val="nil"/>
              <w:right w:val="nil"/>
            </w:tcBorders>
            <w:tcMar>
              <w:top w:w="0" w:type="dxa"/>
              <w:left w:w="62" w:type="dxa"/>
              <w:bottom w:w="0" w:type="dxa"/>
              <w:right w:w="62" w:type="dxa"/>
            </w:tcMar>
          </w:tcPr>
          <w:p w:rsidR="00000000" w:rsidRPr="007D322B" w:rsidP="007D322B">
            <w:pPr>
              <w:pStyle w:val="BodyText"/>
            </w:pPr>
            <w:r w:rsidRPr="007D322B">
              <w:t xml:space="preserve">Access to the workplace and resources, including: </w:t>
            </w:r>
          </w:p>
          <w:p w:rsidR="00000000" w:rsidRPr="007D322B" w:rsidP="007D322B">
            <w:pPr>
              <w:pStyle w:val="ListBullet"/>
            </w:pPr>
            <w:r w:rsidRPr="007D322B">
              <w:t>documentation that should normally be available in a water industry organisation</w:t>
            </w:r>
          </w:p>
          <w:p w:rsidR="00000000" w:rsidRPr="007D322B" w:rsidP="007D322B">
            <w:pPr>
              <w:pStyle w:val="ListBullet"/>
            </w:pPr>
            <w:r w:rsidRPr="007D322B">
              <w:t>relevant codes, standards and government regulations</w:t>
            </w:r>
          </w:p>
          <w:p w:rsidR="00000000" w:rsidRPr="007D322B" w:rsidP="007D322B">
            <w:pPr>
              <w:pStyle w:val="BodyText"/>
            </w:pPr>
            <w:r w:rsidRPr="007D322B">
              <w:t>Where applicable, physical resources should include equipment modified for people with disabilities.</w:t>
            </w:r>
          </w:p>
          <w:p w:rsidR="00000000" w:rsidRPr="007D322B" w:rsidP="007D322B">
            <w:pPr>
              <w:pStyle w:val="BodyText"/>
            </w:pPr>
            <w:r w:rsidRPr="007D322B">
              <w:t>Access must be provid</w:t>
            </w:r>
            <w:r w:rsidRPr="007D322B">
              <w:t>ed to appropriate learning and assessment support when required.</w:t>
            </w:r>
          </w:p>
          <w:p w:rsidR="00000000" w:rsidRPr="007D322B" w:rsidP="007D322B">
            <w:pPr>
              <w:pStyle w:val="BodyText"/>
            </w:pPr>
            <w:r w:rsidRPr="007D322B">
              <w:t xml:space="preserve">Assessment processes and techniques must be culturally appropriate, and appropriate to the language and literacy capacity of the candidate and the work being performed. </w:t>
            </w:r>
          </w:p>
          <w:p w:rsidR="00000000" w:rsidRPr="007D322B" w:rsidP="007D322B">
            <w:pPr>
              <w:pStyle w:val="BodyText"/>
            </w:pPr>
            <w:r w:rsidRPr="007D322B">
              <w:t>Validity and sufficie</w:t>
            </w:r>
            <w:r w:rsidRPr="007D322B">
              <w:t>ncy of evidence requires that:</w:t>
            </w:r>
          </w:p>
          <w:p w:rsidR="00000000" w:rsidRPr="007D322B" w:rsidP="007D322B">
            <w:pPr>
              <w:pStyle w:val="ListBullet"/>
            </w:pPr>
            <w:r w:rsidRPr="007D322B">
              <w:t>competency will need to be demonstrated over a period of time reflecting the scope of the role and the practical requirements of the workplace</w:t>
            </w:r>
          </w:p>
          <w:p w:rsidR="00000000" w:rsidRPr="007D322B" w:rsidP="007D322B">
            <w:pPr>
              <w:pStyle w:val="ListBullet"/>
            </w:pPr>
            <w:r w:rsidRPr="007D322B">
              <w:t>where the assessment is part of a structured learning experience the evidence coll</w:t>
            </w:r>
            <w:r w:rsidRPr="007D322B">
              <w:t>ected must relate to a number of performances assessed at different points in time and separated by further learning and practice</w:t>
            </w:r>
          </w:p>
          <w:p w:rsidR="00000000" w:rsidRPr="007D322B" w:rsidP="007D322B">
            <w:pPr>
              <w:pStyle w:val="ListBullet"/>
            </w:pPr>
            <w:r w:rsidRPr="007D322B">
              <w:t>a decision of competence only taken at the point when the assessor has complete confidence in the person's competence over tim</w:t>
            </w:r>
            <w:r w:rsidRPr="007D322B">
              <w:t>e and in various contexts</w:t>
            </w:r>
          </w:p>
          <w:p w:rsidR="00000000" w:rsidRPr="007D322B" w:rsidP="007D322B">
            <w:pPr>
              <w:pStyle w:val="ListBullet"/>
            </w:pPr>
            <w:r w:rsidRPr="007D322B">
              <w:t>all assessment that is part of a structured learning experience must include a combination of direct, indirect and supplementary evidence</w:t>
            </w:r>
          </w:p>
          <w:p w:rsidR="00000000" w:rsidRPr="007D322B" w:rsidP="007D322B">
            <w:pPr>
              <w:pStyle w:val="ListBullet"/>
            </w:pPr>
            <w:r w:rsidRPr="007D322B">
              <w:t>where assessment is for the purpose of recognition (RCC/RPL), the evidence provided will nee</w:t>
            </w:r>
            <w:r w:rsidRPr="007D322B">
              <w:t>d to be authenticated and show that it represents competency demonstrated over a period of time</w:t>
            </w:r>
          </w:p>
          <w:p w:rsidR="00000000" w:rsidRPr="007D322B" w:rsidP="007D322B">
            <w:pPr>
              <w:pStyle w:val="ListBullet"/>
            </w:pPr>
            <w:r w:rsidRPr="007D322B">
              <w:t>assessment can be through simulated project-based activity and must include evidence relating to each of the elements in this unit</w:t>
            </w:r>
          </w:p>
          <w:p w:rsidR="00000000" w:rsidRPr="007D322B" w:rsidP="007D322B">
            <w:pPr>
              <w:pStyle w:val="BodyText"/>
            </w:pPr>
            <w:r w:rsidRPr="007D322B">
              <w:t xml:space="preserve">In all cases where practical </w:t>
            </w:r>
            <w:r w:rsidRPr="007D322B">
              <w:t>assessment is used it will be combined with targeted questioning to assess the underpinning knowledge. Questioning will be undertaken in a manner appropriate to the skill levels of the operator and cultural issues that may affect responses to the questions</w:t>
            </w:r>
            <w:r w:rsidRPr="007D322B">
              <w:t>, and will reflect the requirements of the competency and the work being performed.</w:t>
            </w:r>
          </w:p>
        </w:tc>
      </w:tr>
    </w:tbl>
    <w:p w:rsidR="00000000" w:rsidRPr="007D322B" w:rsidP="007D322B">
      <w:pPr>
        <w:pStyle w:val="BodyText"/>
      </w:pPr>
    </w:p>
    <w:p w:rsidR="00000000" w:rsidRPr="007D322B" w:rsidP="007D322B">
      <w:pPr>
        <w:pStyle w:val="AllowPageBreak"/>
      </w:pPr>
    </w:p>
    <w:p w:rsidR="00000000" w:rsidRPr="007D322B" w:rsidP="007D322B">
      <w:pPr>
        <w:pStyle w:val="Heading1"/>
      </w:pPr>
      <w:bookmarkStart w:id="11" w:name="O_406195"/>
      <w:bookmarkEnd w:id="11"/>
      <w:r w:rsidRPr="007D322B">
        <w:t>Range Statement</w:t>
      </w:r>
    </w:p>
    <w:tbl>
      <w:tblPr>
        <w:tblW w:w="0" w:type="auto"/>
        <w:tblLayout w:type="fixed"/>
        <w:tblCellMar>
          <w:left w:w="62" w:type="dxa"/>
          <w:right w:w="62" w:type="dxa"/>
        </w:tblCellMar>
        <w:tblLook w:val="0000"/>
      </w:tblPr>
      <w:tblGrid>
        <w:gridCol w:w="2837"/>
        <w:gridCol w:w="6235"/>
      </w:tblGrid>
      <w:tr w:rsidTr="00434F63">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7D322B">
            <w:pPr>
              <w:pStyle w:val="BodyText"/>
              <w:rPr>
                <w:lang w:val="en-NZ"/>
              </w:rPr>
            </w:pPr>
            <w:r w:rsidRPr="007D322B">
              <w:t>The range statement relates to the unit of competency as a whole. It allows for different work environments and situations that may affec</w:t>
            </w:r>
            <w:r w:rsidRPr="007D322B">
              <w:t xml:space="preserve">t performance. </w:t>
            </w:r>
            <w:r w:rsidRPr="007D322B">
              <w:rPr>
                <w:rStyle w:val="BoldandItalics"/>
              </w:rPr>
              <w:t>Bold italicised</w:t>
            </w:r>
            <w:r w:rsidRPr="007D322B">
              <w:t xml:space="preserve"> wording, if used in the performance criteria, is detailed below. Essential operating conditions that may be present with training and assessment (depending on the work situation, needs of the candidate, accessibility of the i</w:t>
            </w:r>
            <w:r w:rsidRPr="007D322B">
              <w:t>tem, and local industry and regional contexts) may also be included.</w:t>
            </w:r>
          </w:p>
        </w:tc>
      </w:tr>
      <w:tr w:rsidTr="00434F63">
        <w:tblPrEx>
          <w:tblW w:w="0" w:type="auto"/>
          <w:tblLayout w:type="fixed"/>
          <w:tblCellMar>
            <w:left w:w="62" w:type="dxa"/>
            <w:right w:w="62" w:type="dxa"/>
          </w:tblCellMar>
          <w:tblLook w:val="0000"/>
        </w:tblPrEx>
        <w:tc>
          <w:tcPr>
            <w:tcW w:w="2837" w:type="dxa"/>
            <w:tcBorders>
              <w:top w:val="nil"/>
              <w:left w:val="nil"/>
              <w:bottom w:val="nil"/>
              <w:right w:val="nil"/>
            </w:tcBorders>
            <w:tcMar>
              <w:top w:w="0" w:type="dxa"/>
              <w:left w:w="62" w:type="dxa"/>
              <w:bottom w:w="0" w:type="dxa"/>
              <w:right w:w="62" w:type="dxa"/>
            </w:tcMar>
          </w:tcPr>
          <w:p w:rsidR="00000000" w:rsidP="007D322B">
            <w:pPr>
              <w:pStyle w:val="BodyText"/>
              <w:rPr>
                <w:lang w:val="en-NZ"/>
              </w:rPr>
            </w:pPr>
            <w:r w:rsidRPr="007D322B">
              <w:rPr>
                <w:rStyle w:val="BoldandItalics"/>
              </w:rPr>
              <w:t>Organisational or legislative requirements</w:t>
            </w:r>
            <w:r w:rsidRPr="007D322B">
              <w:t xml:space="preserve"> may include: </w:t>
            </w:r>
          </w:p>
        </w:tc>
        <w:tc>
          <w:tcPr>
            <w:tcW w:w="6235" w:type="dxa"/>
            <w:tcBorders>
              <w:top w:val="nil"/>
              <w:left w:val="nil"/>
              <w:bottom w:val="nil"/>
              <w:right w:val="nil"/>
            </w:tcBorders>
            <w:tcMar>
              <w:top w:w="0" w:type="dxa"/>
              <w:left w:w="62" w:type="dxa"/>
              <w:bottom w:w="0" w:type="dxa"/>
              <w:right w:w="62" w:type="dxa"/>
            </w:tcMar>
          </w:tcPr>
          <w:p w:rsidR="00000000" w:rsidRPr="007D322B" w:rsidP="007D322B">
            <w:pPr>
              <w:pStyle w:val="ListBullet"/>
            </w:pPr>
            <w:r w:rsidRPr="007D322B">
              <w:t>organisational performance quality standards</w:t>
            </w:r>
          </w:p>
          <w:p w:rsidR="00000000" w:rsidRPr="007D322B" w:rsidP="007D322B">
            <w:pPr>
              <w:pStyle w:val="ListBullet"/>
            </w:pPr>
            <w:r w:rsidRPr="007D322B">
              <w:t>standard operating procedures</w:t>
            </w:r>
          </w:p>
          <w:p w:rsidR="00000000" w:rsidRPr="007D322B" w:rsidP="007D322B">
            <w:pPr>
              <w:pStyle w:val="ListBullet"/>
            </w:pPr>
            <w:r w:rsidRPr="007D322B">
              <w:t>quality assurance guidelines</w:t>
            </w:r>
          </w:p>
          <w:p w:rsidR="00000000" w:rsidRPr="007D322B" w:rsidP="007D322B">
            <w:pPr>
              <w:pStyle w:val="ListBullet"/>
            </w:pPr>
            <w:r w:rsidRPr="007D322B">
              <w:t>federal, state and local environmental and water quality legislation</w:t>
            </w:r>
          </w:p>
          <w:p w:rsidR="00000000" w:rsidRPr="007D322B" w:rsidP="007D322B">
            <w:pPr>
              <w:pStyle w:val="ListBullet"/>
            </w:pPr>
            <w:r w:rsidRPr="007D322B">
              <w:t>occupational health and safety requirements</w:t>
            </w:r>
          </w:p>
          <w:p w:rsidR="00000000" w:rsidP="007D322B">
            <w:pPr>
              <w:pStyle w:val="ListBullet"/>
              <w:rPr>
                <w:lang w:val="en-NZ"/>
              </w:rPr>
            </w:pPr>
            <w:r w:rsidRPr="007D322B">
              <w:t>water quality standards and guidelines</w:t>
            </w:r>
          </w:p>
        </w:tc>
      </w:tr>
      <w:tr w:rsidTr="00434F63">
        <w:tblPrEx>
          <w:tblW w:w="0" w:type="auto"/>
          <w:tblLayout w:type="fixed"/>
          <w:tblCellMar>
            <w:left w:w="62" w:type="dxa"/>
            <w:right w:w="62" w:type="dxa"/>
          </w:tblCellMar>
          <w:tblLook w:val="0000"/>
        </w:tblPrEx>
        <w:tc>
          <w:tcPr>
            <w:tcW w:w="2837" w:type="dxa"/>
            <w:tcBorders>
              <w:top w:val="nil"/>
              <w:left w:val="nil"/>
              <w:bottom w:val="nil"/>
              <w:right w:val="nil"/>
            </w:tcBorders>
            <w:tcMar>
              <w:top w:w="0" w:type="dxa"/>
              <w:left w:w="62" w:type="dxa"/>
              <w:bottom w:w="0" w:type="dxa"/>
              <w:right w:w="62" w:type="dxa"/>
            </w:tcMar>
          </w:tcPr>
          <w:p w:rsidR="00000000" w:rsidP="007D322B">
            <w:pPr>
              <w:pStyle w:val="BodyText"/>
              <w:rPr>
                <w:lang w:val="en-NZ"/>
              </w:rPr>
            </w:pPr>
            <w:r w:rsidRPr="007D322B">
              <w:rPr>
                <w:rStyle w:val="BoldandItalics"/>
              </w:rPr>
              <w:t>Incoming water quality</w:t>
            </w:r>
            <w:r w:rsidRPr="007D322B">
              <w:t xml:space="preserve"> may include:</w:t>
            </w:r>
          </w:p>
        </w:tc>
        <w:tc>
          <w:tcPr>
            <w:tcW w:w="6235" w:type="dxa"/>
            <w:tcBorders>
              <w:top w:val="nil"/>
              <w:left w:val="nil"/>
              <w:bottom w:val="nil"/>
              <w:right w:val="nil"/>
            </w:tcBorders>
            <w:tcMar>
              <w:top w:w="0" w:type="dxa"/>
              <w:left w:w="62" w:type="dxa"/>
              <w:bottom w:w="0" w:type="dxa"/>
              <w:right w:w="62" w:type="dxa"/>
            </w:tcMar>
          </w:tcPr>
          <w:p w:rsidR="00000000" w:rsidRPr="007D322B" w:rsidP="007D322B">
            <w:pPr>
              <w:pStyle w:val="ListBullet"/>
            </w:pPr>
            <w:r w:rsidRPr="007D322B">
              <w:t>turbidity</w:t>
            </w:r>
          </w:p>
          <w:p w:rsidR="00000000" w:rsidRPr="007D322B" w:rsidP="007D322B">
            <w:pPr>
              <w:pStyle w:val="ListBullet"/>
            </w:pPr>
            <w:r w:rsidRPr="007D322B">
              <w:t>colour</w:t>
            </w:r>
          </w:p>
          <w:p w:rsidR="00000000" w:rsidRPr="007D322B" w:rsidP="007D322B">
            <w:pPr>
              <w:pStyle w:val="ListBullet"/>
            </w:pPr>
            <w:r w:rsidRPr="007D322B">
              <w:t>presence of algae</w:t>
            </w:r>
          </w:p>
          <w:p w:rsidR="00000000" w:rsidP="007D322B">
            <w:pPr>
              <w:pStyle w:val="ListBullet"/>
              <w:rPr>
                <w:lang w:val="en-NZ"/>
              </w:rPr>
            </w:pPr>
            <w:r w:rsidRPr="007D322B">
              <w:t>temperature</w:t>
            </w:r>
          </w:p>
        </w:tc>
      </w:tr>
      <w:tr w:rsidTr="00434F63">
        <w:tblPrEx>
          <w:tblW w:w="0" w:type="auto"/>
          <w:tblLayout w:type="fixed"/>
          <w:tblCellMar>
            <w:left w:w="62" w:type="dxa"/>
            <w:right w:w="62" w:type="dxa"/>
          </w:tblCellMar>
          <w:tblLook w:val="0000"/>
        </w:tblPrEx>
        <w:tc>
          <w:tcPr>
            <w:tcW w:w="2837" w:type="dxa"/>
            <w:tcBorders>
              <w:top w:val="nil"/>
              <w:left w:val="nil"/>
              <w:bottom w:val="nil"/>
              <w:right w:val="nil"/>
            </w:tcBorders>
            <w:tcMar>
              <w:top w:w="0" w:type="dxa"/>
              <w:left w:w="62" w:type="dxa"/>
              <w:bottom w:w="0" w:type="dxa"/>
              <w:right w:w="62" w:type="dxa"/>
            </w:tcMar>
          </w:tcPr>
          <w:p w:rsidR="00000000" w:rsidP="007D322B">
            <w:pPr>
              <w:pStyle w:val="BodyText"/>
              <w:rPr>
                <w:lang w:val="en-NZ"/>
              </w:rPr>
            </w:pPr>
            <w:r w:rsidRPr="007D322B">
              <w:rPr>
                <w:rStyle w:val="BoldandItalics"/>
              </w:rPr>
              <w:t>Processes</w:t>
            </w:r>
            <w:r w:rsidRPr="007D322B">
              <w:t xml:space="preserve"> may include:</w:t>
            </w:r>
          </w:p>
        </w:tc>
        <w:tc>
          <w:tcPr>
            <w:tcW w:w="6235" w:type="dxa"/>
            <w:tcBorders>
              <w:top w:val="nil"/>
              <w:left w:val="nil"/>
              <w:bottom w:val="nil"/>
              <w:right w:val="nil"/>
            </w:tcBorders>
            <w:tcMar>
              <w:top w:w="0" w:type="dxa"/>
              <w:left w:w="62" w:type="dxa"/>
              <w:bottom w:w="0" w:type="dxa"/>
              <w:right w:w="62" w:type="dxa"/>
            </w:tcMar>
          </w:tcPr>
          <w:p w:rsidR="00000000" w:rsidRPr="007D322B" w:rsidP="007D322B">
            <w:pPr>
              <w:pStyle w:val="ListBullet"/>
            </w:pPr>
            <w:r w:rsidRPr="007D322B">
              <w:t>sludge blanket clarifiers</w:t>
            </w:r>
          </w:p>
          <w:p w:rsidR="00000000" w:rsidRPr="007D322B" w:rsidP="007D322B">
            <w:pPr>
              <w:pStyle w:val="ListBullet"/>
            </w:pPr>
            <w:r w:rsidRPr="007D322B">
              <w:t>conventional clarifiers</w:t>
            </w:r>
          </w:p>
          <w:p w:rsidR="00000000" w:rsidRPr="007D322B" w:rsidP="007D322B">
            <w:pPr>
              <w:pStyle w:val="ListBullet"/>
            </w:pPr>
            <w:r w:rsidRPr="007D322B">
              <w:t>tube settlers</w:t>
            </w:r>
          </w:p>
          <w:p w:rsidR="00000000" w:rsidRPr="007D322B" w:rsidP="007D322B">
            <w:pPr>
              <w:pStyle w:val="ListBullet"/>
            </w:pPr>
            <w:r w:rsidRPr="007D322B">
              <w:t>high rate plate settlers</w:t>
            </w:r>
          </w:p>
          <w:p w:rsidR="00000000" w:rsidRPr="007D322B" w:rsidP="007D322B">
            <w:pPr>
              <w:pStyle w:val="ListBullet"/>
            </w:pPr>
            <w:r w:rsidRPr="007D322B">
              <w:t>recirculating contact clarifiers</w:t>
            </w:r>
          </w:p>
          <w:p w:rsidR="00000000" w:rsidRPr="007D322B" w:rsidP="007D322B">
            <w:pPr>
              <w:pStyle w:val="ListBullet"/>
            </w:pPr>
            <w:r w:rsidRPr="007D322B">
              <w:t>pulsator clarifiers</w:t>
            </w:r>
          </w:p>
          <w:p w:rsidR="00000000" w:rsidP="007D322B">
            <w:pPr>
              <w:pStyle w:val="ListBullet"/>
              <w:rPr>
                <w:lang w:val="en-NZ"/>
              </w:rPr>
            </w:pPr>
            <w:r w:rsidRPr="007D322B">
              <w:t>ballasted sedimentation</w:t>
            </w:r>
          </w:p>
        </w:tc>
      </w:tr>
      <w:tr w:rsidTr="00434F63">
        <w:tblPrEx>
          <w:tblW w:w="0" w:type="auto"/>
          <w:tblLayout w:type="fixed"/>
          <w:tblCellMar>
            <w:left w:w="62" w:type="dxa"/>
            <w:right w:w="62" w:type="dxa"/>
          </w:tblCellMar>
          <w:tblLook w:val="0000"/>
        </w:tblPrEx>
        <w:tc>
          <w:tcPr>
            <w:tcW w:w="2837" w:type="dxa"/>
            <w:tcBorders>
              <w:top w:val="nil"/>
              <w:left w:val="nil"/>
              <w:bottom w:val="nil"/>
              <w:right w:val="nil"/>
            </w:tcBorders>
            <w:tcMar>
              <w:top w:w="0" w:type="dxa"/>
              <w:left w:w="62" w:type="dxa"/>
              <w:bottom w:w="0" w:type="dxa"/>
              <w:right w:w="62" w:type="dxa"/>
            </w:tcMar>
          </w:tcPr>
          <w:p w:rsidR="00000000" w:rsidP="007D322B">
            <w:pPr>
              <w:pStyle w:val="BodyText"/>
              <w:rPr>
                <w:lang w:val="en-NZ"/>
              </w:rPr>
            </w:pPr>
            <w:r w:rsidRPr="007D322B">
              <w:rPr>
                <w:rStyle w:val="BoldandItalics"/>
              </w:rPr>
              <w:t>Testing</w:t>
            </w:r>
            <w:r w:rsidRPr="007D322B">
              <w:t xml:space="preserve"> may include:</w:t>
            </w:r>
          </w:p>
        </w:tc>
        <w:tc>
          <w:tcPr>
            <w:tcW w:w="6235" w:type="dxa"/>
            <w:tcBorders>
              <w:top w:val="nil"/>
              <w:left w:val="nil"/>
              <w:bottom w:val="nil"/>
              <w:right w:val="nil"/>
            </w:tcBorders>
            <w:tcMar>
              <w:top w:w="0" w:type="dxa"/>
              <w:left w:w="62" w:type="dxa"/>
              <w:bottom w:w="0" w:type="dxa"/>
              <w:right w:w="62" w:type="dxa"/>
            </w:tcMar>
          </w:tcPr>
          <w:p w:rsidR="00000000" w:rsidRPr="007D322B" w:rsidP="007D322B">
            <w:pPr>
              <w:pStyle w:val="ListBullet"/>
            </w:pPr>
            <w:r w:rsidRPr="007D322B">
              <w:t>turbidity</w:t>
            </w:r>
          </w:p>
          <w:p w:rsidR="00000000" w:rsidRPr="007D322B" w:rsidP="007D322B">
            <w:pPr>
              <w:pStyle w:val="ListBullet"/>
            </w:pPr>
            <w:r w:rsidRPr="007D322B">
              <w:t>true colour</w:t>
            </w:r>
          </w:p>
          <w:p w:rsidR="00000000" w:rsidP="007D322B">
            <w:pPr>
              <w:pStyle w:val="ListBullet"/>
              <w:rPr>
                <w:lang w:val="en-NZ"/>
              </w:rPr>
            </w:pPr>
            <w:r w:rsidRPr="007D322B">
              <w:t>float solids content</w:t>
            </w:r>
          </w:p>
        </w:tc>
      </w:tr>
      <w:tr w:rsidTr="00434F63">
        <w:tblPrEx>
          <w:tblW w:w="0" w:type="auto"/>
          <w:tblLayout w:type="fixed"/>
          <w:tblCellMar>
            <w:left w:w="62" w:type="dxa"/>
            <w:right w:w="62" w:type="dxa"/>
          </w:tblCellMar>
          <w:tblLook w:val="0000"/>
        </w:tblPrEx>
        <w:tc>
          <w:tcPr>
            <w:tcW w:w="2837" w:type="dxa"/>
            <w:tcBorders>
              <w:top w:val="nil"/>
              <w:left w:val="nil"/>
              <w:bottom w:val="nil"/>
              <w:right w:val="nil"/>
            </w:tcBorders>
            <w:tcMar>
              <w:top w:w="0" w:type="dxa"/>
              <w:left w:w="62" w:type="dxa"/>
              <w:bottom w:w="0" w:type="dxa"/>
              <w:right w:w="62" w:type="dxa"/>
            </w:tcMar>
          </w:tcPr>
          <w:p w:rsidR="00000000" w:rsidP="007D322B">
            <w:pPr>
              <w:pStyle w:val="BodyText"/>
              <w:rPr>
                <w:lang w:val="en-NZ"/>
              </w:rPr>
            </w:pPr>
            <w:r w:rsidRPr="007D322B">
              <w:rPr>
                <w:rStyle w:val="BoldandItalics"/>
              </w:rPr>
              <w:t>Plant comp</w:t>
            </w:r>
            <w:r w:rsidRPr="007D322B">
              <w:rPr>
                <w:rStyle w:val="BoldandItalics"/>
              </w:rPr>
              <w:t>onents</w:t>
            </w:r>
            <w:r w:rsidRPr="007D322B">
              <w:t xml:space="preserve"> may include:</w:t>
            </w:r>
          </w:p>
        </w:tc>
        <w:tc>
          <w:tcPr>
            <w:tcW w:w="6235" w:type="dxa"/>
            <w:tcBorders>
              <w:top w:val="nil"/>
              <w:left w:val="nil"/>
              <w:bottom w:val="nil"/>
              <w:right w:val="nil"/>
            </w:tcBorders>
            <w:tcMar>
              <w:top w:w="0" w:type="dxa"/>
              <w:left w:w="62" w:type="dxa"/>
              <w:bottom w:w="0" w:type="dxa"/>
              <w:right w:w="62" w:type="dxa"/>
            </w:tcMar>
          </w:tcPr>
          <w:p w:rsidR="00000000" w:rsidRPr="007D322B" w:rsidP="007D322B">
            <w:pPr>
              <w:pStyle w:val="ListBullet"/>
            </w:pPr>
            <w:r w:rsidRPr="007D322B">
              <w:t>valves</w:t>
            </w:r>
          </w:p>
          <w:p w:rsidR="00000000" w:rsidRPr="007D322B" w:rsidP="007D322B">
            <w:pPr>
              <w:pStyle w:val="ListBullet"/>
            </w:pPr>
            <w:r w:rsidRPr="007D322B">
              <w:t>sludge pumps</w:t>
            </w:r>
          </w:p>
          <w:p w:rsidR="00000000" w:rsidRPr="007D322B" w:rsidP="007D322B">
            <w:pPr>
              <w:pStyle w:val="ListBullet"/>
            </w:pPr>
            <w:r w:rsidRPr="007D322B">
              <w:t>impellers</w:t>
            </w:r>
          </w:p>
          <w:p w:rsidR="00000000" w:rsidRPr="007D322B" w:rsidP="007D322B">
            <w:pPr>
              <w:pStyle w:val="ListBullet"/>
            </w:pPr>
            <w:r w:rsidRPr="007D322B">
              <w:t>sludge collection cones</w:t>
            </w:r>
          </w:p>
          <w:p w:rsidR="00000000" w:rsidRPr="007D322B" w:rsidP="007D322B">
            <w:pPr>
              <w:pStyle w:val="ListBullet"/>
            </w:pPr>
            <w:r w:rsidRPr="007D322B">
              <w:t>sludge rake</w:t>
            </w:r>
          </w:p>
          <w:p w:rsidR="00000000" w:rsidRPr="007D322B" w:rsidP="007D322B">
            <w:pPr>
              <w:pStyle w:val="ListBullet"/>
            </w:pPr>
            <w:r w:rsidRPr="007D322B">
              <w:t>tube and plate settlers</w:t>
            </w:r>
          </w:p>
          <w:p w:rsidR="00000000" w:rsidRPr="007D322B" w:rsidP="007D322B">
            <w:pPr>
              <w:pStyle w:val="ListBullet"/>
            </w:pPr>
            <w:r w:rsidRPr="007D322B">
              <w:t>weirs or launders</w:t>
            </w:r>
          </w:p>
          <w:p w:rsidR="00000000" w:rsidP="007D322B">
            <w:pPr>
              <w:pStyle w:val="ListBullet"/>
              <w:rPr>
                <w:lang w:val="en-NZ"/>
              </w:rPr>
            </w:pPr>
            <w:r w:rsidRPr="007D322B">
              <w:t>dosing points</w:t>
            </w:r>
          </w:p>
        </w:tc>
      </w:tr>
      <w:tr w:rsidTr="00434F63">
        <w:tblPrEx>
          <w:tblW w:w="0" w:type="auto"/>
          <w:tblLayout w:type="fixed"/>
          <w:tblCellMar>
            <w:left w:w="62" w:type="dxa"/>
            <w:right w:w="62" w:type="dxa"/>
          </w:tblCellMar>
          <w:tblLook w:val="0000"/>
        </w:tblPrEx>
        <w:tc>
          <w:tcPr>
            <w:tcW w:w="2837" w:type="dxa"/>
            <w:tcBorders>
              <w:top w:val="nil"/>
              <w:left w:val="nil"/>
              <w:bottom w:val="nil"/>
              <w:right w:val="nil"/>
            </w:tcBorders>
            <w:tcMar>
              <w:top w:w="0" w:type="dxa"/>
              <w:left w:w="62" w:type="dxa"/>
              <w:bottom w:w="0" w:type="dxa"/>
              <w:right w:w="62" w:type="dxa"/>
            </w:tcMar>
          </w:tcPr>
          <w:p w:rsidR="00000000" w:rsidP="007D322B">
            <w:pPr>
              <w:pStyle w:val="BodyText"/>
              <w:rPr>
                <w:lang w:val="en-NZ"/>
              </w:rPr>
            </w:pPr>
            <w:r w:rsidRPr="007D322B">
              <w:rPr>
                <w:rStyle w:val="BoldandItalics"/>
              </w:rPr>
              <w:t>Manufacturers' and plant designers' specifications</w:t>
            </w:r>
            <w:r w:rsidRPr="007D322B">
              <w:t xml:space="preserve"> may include:</w:t>
            </w:r>
          </w:p>
        </w:tc>
        <w:tc>
          <w:tcPr>
            <w:tcW w:w="6235" w:type="dxa"/>
            <w:tcBorders>
              <w:top w:val="nil"/>
              <w:left w:val="nil"/>
              <w:bottom w:val="nil"/>
              <w:right w:val="nil"/>
            </w:tcBorders>
            <w:tcMar>
              <w:top w:w="0" w:type="dxa"/>
              <w:left w:w="62" w:type="dxa"/>
              <w:bottom w:w="0" w:type="dxa"/>
              <w:right w:w="62" w:type="dxa"/>
            </w:tcMar>
          </w:tcPr>
          <w:p w:rsidR="00000000" w:rsidRPr="007D322B" w:rsidP="007D322B">
            <w:pPr>
              <w:pStyle w:val="ListBullet"/>
            </w:pPr>
            <w:r w:rsidRPr="007D322B">
              <w:t>surface loading rate</w:t>
            </w:r>
          </w:p>
          <w:p w:rsidR="00000000" w:rsidRPr="007D322B" w:rsidP="007D322B">
            <w:pPr>
              <w:pStyle w:val="ListBullet"/>
            </w:pPr>
            <w:r w:rsidRPr="007D322B">
              <w:t>upflow velocity</w:t>
            </w:r>
          </w:p>
          <w:p w:rsidR="00000000" w:rsidRPr="007D322B" w:rsidP="007D322B">
            <w:pPr>
              <w:pStyle w:val="ListBullet"/>
            </w:pPr>
            <w:r w:rsidRPr="007D322B">
              <w:t>deten</w:t>
            </w:r>
            <w:r w:rsidRPr="007D322B">
              <w:t>tion time</w:t>
            </w:r>
          </w:p>
          <w:p w:rsidR="00000000" w:rsidRPr="007D322B" w:rsidP="007D322B">
            <w:pPr>
              <w:pStyle w:val="ListBullet"/>
            </w:pPr>
            <w:r w:rsidRPr="007D322B">
              <w:t>weir loading rate</w:t>
            </w:r>
          </w:p>
          <w:p w:rsidR="00000000" w:rsidRPr="007D322B" w:rsidP="007D322B">
            <w:pPr>
              <w:pStyle w:val="ListBullet"/>
            </w:pPr>
            <w:r w:rsidRPr="007D322B">
              <w:t>slurry recirculation rate</w:t>
            </w:r>
          </w:p>
          <w:p w:rsidR="00000000" w:rsidP="007D322B">
            <w:pPr>
              <w:pStyle w:val="ListBullet"/>
              <w:rPr>
                <w:lang w:val="en-NZ"/>
              </w:rPr>
            </w:pPr>
            <w:r w:rsidRPr="007D322B">
              <w:t>intended plant configuration</w:t>
            </w:r>
          </w:p>
        </w:tc>
      </w:tr>
      <w:tr w:rsidTr="00434F63">
        <w:tblPrEx>
          <w:tblW w:w="0" w:type="auto"/>
          <w:tblLayout w:type="fixed"/>
          <w:tblCellMar>
            <w:left w:w="62" w:type="dxa"/>
            <w:right w:w="62" w:type="dxa"/>
          </w:tblCellMar>
          <w:tblLook w:val="0000"/>
        </w:tblPrEx>
        <w:tc>
          <w:tcPr>
            <w:tcW w:w="2837" w:type="dxa"/>
            <w:tcBorders>
              <w:top w:val="nil"/>
              <w:left w:val="nil"/>
              <w:bottom w:val="nil"/>
              <w:right w:val="nil"/>
            </w:tcBorders>
            <w:tcMar>
              <w:top w:w="0" w:type="dxa"/>
              <w:left w:w="62" w:type="dxa"/>
              <w:bottom w:w="0" w:type="dxa"/>
              <w:right w:w="62" w:type="dxa"/>
            </w:tcMar>
          </w:tcPr>
          <w:p w:rsidR="00000000" w:rsidP="007D322B">
            <w:pPr>
              <w:pStyle w:val="BodyText"/>
              <w:rPr>
                <w:lang w:val="en-NZ"/>
              </w:rPr>
            </w:pPr>
            <w:r w:rsidRPr="007D322B">
              <w:rPr>
                <w:rStyle w:val="BoldandItalics"/>
              </w:rPr>
              <w:t>Potential changes to operational processes</w:t>
            </w:r>
            <w:r w:rsidRPr="007D322B">
              <w:t xml:space="preserve"> may include:</w:t>
            </w:r>
          </w:p>
        </w:tc>
        <w:tc>
          <w:tcPr>
            <w:tcW w:w="6235" w:type="dxa"/>
            <w:tcBorders>
              <w:top w:val="nil"/>
              <w:left w:val="nil"/>
              <w:bottom w:val="nil"/>
              <w:right w:val="nil"/>
            </w:tcBorders>
            <w:tcMar>
              <w:top w:w="0" w:type="dxa"/>
              <w:left w:w="62" w:type="dxa"/>
              <w:bottom w:w="0" w:type="dxa"/>
              <w:right w:w="62" w:type="dxa"/>
            </w:tcMar>
          </w:tcPr>
          <w:p w:rsidR="00000000" w:rsidRPr="007D322B" w:rsidP="007D322B">
            <w:pPr>
              <w:pStyle w:val="ListBullet"/>
            </w:pPr>
            <w:r w:rsidRPr="007D322B">
              <w:t>flow rate</w:t>
            </w:r>
          </w:p>
          <w:p w:rsidR="00000000" w:rsidRPr="007D322B" w:rsidP="007D322B">
            <w:pPr>
              <w:pStyle w:val="ListBullet"/>
            </w:pPr>
            <w:r w:rsidRPr="007D322B">
              <w:t>polymer addition</w:t>
            </w:r>
          </w:p>
          <w:p w:rsidR="00000000" w:rsidRPr="007D322B" w:rsidP="007D322B">
            <w:pPr>
              <w:pStyle w:val="ListBullet"/>
            </w:pPr>
            <w:r w:rsidRPr="007D322B">
              <w:t>slurry recirculation rate</w:t>
            </w:r>
          </w:p>
          <w:p w:rsidR="00000000" w:rsidRPr="007D322B" w:rsidP="007D322B">
            <w:pPr>
              <w:pStyle w:val="ListBullet"/>
            </w:pPr>
            <w:r w:rsidRPr="007D322B">
              <w:t>sludge wasting rate</w:t>
            </w:r>
          </w:p>
          <w:p w:rsidR="00000000" w:rsidRPr="007D322B" w:rsidP="007D322B">
            <w:pPr>
              <w:pStyle w:val="ListBullet"/>
            </w:pPr>
            <w:r w:rsidRPr="007D322B">
              <w:t>sludge blanket concentration and depth</w:t>
            </w:r>
          </w:p>
        </w:tc>
      </w:tr>
    </w:tbl>
    <w:p w:rsidR="00434F63" w:rsidP="007D322B">
      <w:pPr>
        <w:pStyle w:val="BodyText"/>
      </w:pPr>
    </w:p>
    <w:p w:rsidR="00434F63" w:rsidP="007D322B">
      <w:pPr>
        <w:pStyle w:val="BodyText"/>
      </w:pPr>
    </w:p>
    <w:p w:rsidR="00000000" w:rsidRPr="007D322B" w:rsidP="007D322B">
      <w:pPr>
        <w:pStyle w:val="Heading1"/>
      </w:pPr>
      <w:bookmarkStart w:id="12" w:name="O_406192"/>
      <w:bookmarkEnd w:id="12"/>
      <w:r w:rsidRPr="007D322B">
        <w:t>Unit Sector(s)</w:t>
      </w:r>
    </w:p>
    <w:p w:rsidR="00000000" w:rsidRPr="007D322B" w:rsidP="007D322B">
      <w:pPr>
        <w:pStyle w:val="BodyText"/>
      </w:pPr>
      <w:r w:rsidRPr="007D322B">
        <w:t>Not applicable.</w:t>
      </w:r>
    </w:p>
    <w:p w:rsidR="00000000" w:rsidRPr="007D322B" w:rsidP="007D322B">
      <w:pPr>
        <w:pStyle w:val="AllowPageBreak"/>
      </w:pPr>
    </w:p>
    <w:p w:rsidR="00000000" w:rsidRPr="007D322B" w:rsidP="007D322B">
      <w:pPr>
        <w:pStyle w:val="Heading1"/>
      </w:pPr>
      <w:bookmarkStart w:id="13" w:name="O_406204"/>
      <w:bookmarkEnd w:id="13"/>
      <w:r w:rsidRPr="007D322B">
        <w:t>Competency field</w:t>
      </w:r>
    </w:p>
    <w:p w:rsidR="00000000" w:rsidRPr="007D322B" w:rsidP="007D322B">
      <w:pPr>
        <w:pStyle w:val="BodyText"/>
      </w:pPr>
      <w:r w:rsidRPr="007D322B">
        <w:t>Treatment.</w:t>
      </w:r>
    </w:p>
    <w:p w:rsidR="00000000" w:rsidRPr="007D322B" w:rsidP="007D322B"/>
    <w:sectPr w:rsidSect="007D322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322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34F63" w:rsidP="00434F63">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322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4F63" w:rsidP="007D322B">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434F63" w:rsidP="007D322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434F63" w:rsidP="007D322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322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322B" w:rsidRPr="00434F63" w:rsidP="00434F63">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322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4F63" w:rsidRPr="002D2AF8" w:rsidP="007D322B">
    <w:pPr>
      <w:pStyle w:val="Header"/>
      <w:framePr w:wrap="around"/>
    </w:pPr>
    <w:r>
      <w:fldChar w:fldCharType="begin"/>
    </w:r>
    <w:r>
      <w:instrText xml:space="preserve"> TITLE   \* MERGEFORMAT </w:instrText>
    </w:r>
    <w:r>
      <w:fldChar w:fldCharType="separate"/>
    </w:r>
    <w:r>
      <w:t>NWP408A Investigate and plan the optimisation of sedimentation and clarification processes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10 October 2012</w:t>
    </w:r>
    <w:r>
      <w:fldChar w:fldCharType="end"/>
    </w:r>
  </w:p>
  <w:p w:rsidR="00434F63" w:rsidP="007D322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B826B4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4600A1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180D4F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D322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D322B"/>
    <w:pPr>
      <w:spacing w:before="360" w:after="60"/>
      <w:outlineLvl w:val="0"/>
    </w:pPr>
    <w:rPr>
      <w:sz w:val="32"/>
    </w:rPr>
  </w:style>
  <w:style w:type="paragraph" w:styleId="Heading2">
    <w:name w:val="heading 2"/>
    <w:basedOn w:val="HeadingBase"/>
    <w:next w:val="BodyText"/>
    <w:link w:val="Heading2Char"/>
    <w:qFormat/>
    <w:rsid w:val="007D322B"/>
    <w:pPr>
      <w:keepLines/>
      <w:spacing w:before="240" w:after="120"/>
      <w:outlineLvl w:val="1"/>
    </w:pPr>
    <w:rPr>
      <w:sz w:val="28"/>
      <w:szCs w:val="40"/>
    </w:rPr>
  </w:style>
  <w:style w:type="paragraph" w:styleId="Heading3">
    <w:name w:val="heading 3"/>
    <w:basedOn w:val="HeadingBase"/>
    <w:next w:val="BodyText"/>
    <w:link w:val="Heading3Char"/>
    <w:qFormat/>
    <w:rsid w:val="007D322B"/>
    <w:pPr>
      <w:spacing w:before="180" w:after="120"/>
      <w:outlineLvl w:val="2"/>
    </w:pPr>
    <w:rPr>
      <w:spacing w:val="-10"/>
      <w:kern w:val="32"/>
    </w:rPr>
  </w:style>
  <w:style w:type="paragraph" w:styleId="Heading4">
    <w:name w:val="heading 4"/>
    <w:basedOn w:val="HeadingBase"/>
    <w:next w:val="BodyText"/>
    <w:link w:val="Heading4Char"/>
    <w:qFormat/>
    <w:rsid w:val="007D322B"/>
    <w:pPr>
      <w:spacing w:before="160" w:after="120"/>
      <w:outlineLvl w:val="3"/>
    </w:pPr>
    <w:rPr>
      <w:sz w:val="22"/>
    </w:rPr>
  </w:style>
  <w:style w:type="paragraph" w:styleId="Heading5">
    <w:name w:val="heading 5"/>
    <w:basedOn w:val="HeadingBase"/>
    <w:next w:val="Normal"/>
    <w:link w:val="Heading5Char"/>
    <w:qFormat/>
    <w:rsid w:val="007D322B"/>
    <w:pPr>
      <w:spacing w:before="80"/>
      <w:outlineLvl w:val="4"/>
    </w:pPr>
    <w:rPr>
      <w:color w:val="918585"/>
      <w:sz w:val="20"/>
    </w:rPr>
  </w:style>
  <w:style w:type="paragraph" w:styleId="Heading6">
    <w:name w:val="heading 6"/>
    <w:basedOn w:val="HeadingBase"/>
    <w:next w:val="Normal"/>
    <w:link w:val="Heading6Char"/>
    <w:qFormat/>
    <w:rsid w:val="007D322B"/>
    <w:pPr>
      <w:spacing w:before="60"/>
      <w:outlineLvl w:val="5"/>
    </w:pPr>
    <w:rPr>
      <w:color w:val="918585"/>
      <w:sz w:val="20"/>
    </w:rPr>
  </w:style>
  <w:style w:type="paragraph" w:styleId="Heading7">
    <w:name w:val="heading 7"/>
    <w:basedOn w:val="Normal"/>
    <w:next w:val="Normal"/>
    <w:link w:val="Heading7Char"/>
    <w:qFormat/>
    <w:rsid w:val="007D322B"/>
    <w:pPr>
      <w:ind w:left="720"/>
      <w:outlineLvl w:val="6"/>
    </w:pPr>
    <w:rPr>
      <w:i/>
    </w:rPr>
  </w:style>
  <w:style w:type="paragraph" w:styleId="Heading8">
    <w:name w:val="heading 8"/>
    <w:basedOn w:val="Normal"/>
    <w:next w:val="Normal"/>
    <w:link w:val="Heading8Char"/>
    <w:qFormat/>
    <w:rsid w:val="007D322B"/>
    <w:pPr>
      <w:ind w:left="720"/>
      <w:outlineLvl w:val="7"/>
    </w:pPr>
    <w:rPr>
      <w:i/>
    </w:rPr>
  </w:style>
  <w:style w:type="paragraph" w:styleId="Heading9">
    <w:name w:val="heading 9"/>
    <w:basedOn w:val="Normal"/>
    <w:next w:val="Normal"/>
    <w:link w:val="Heading9Char"/>
    <w:qFormat/>
    <w:rsid w:val="007D322B"/>
    <w:pPr>
      <w:ind w:left="720"/>
      <w:outlineLvl w:val="8"/>
    </w:pPr>
    <w:rPr>
      <w:i/>
    </w:rPr>
  </w:style>
  <w:style w:type="character" w:default="1" w:styleId="DefaultParagraphFont">
    <w:name w:val="Default Paragraph Font"/>
    <w:uiPriority w:val="1"/>
    <w:unhideWhenUsed/>
    <w:rsid w:val="007D322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D322B"/>
  </w:style>
  <w:style w:type="character" w:customStyle="1" w:styleId="Heading1Char">
    <w:name w:val="Heading 1 Char"/>
    <w:basedOn w:val="DefaultParagraphFont"/>
    <w:link w:val="Heading1"/>
    <w:rsid w:val="007D322B"/>
    <w:rPr>
      <w:rFonts w:ascii="Times New Roman" w:eastAsia="Times New Roman" w:hAnsi="Times New Roman" w:cs="Times New Roman"/>
      <w:b/>
      <w:sz w:val="32"/>
      <w:szCs w:val="20"/>
      <w:lang w:eastAsia="en-US"/>
    </w:rPr>
  </w:style>
  <w:style w:type="paragraph" w:styleId="BodyText">
    <w:name w:val="Body Text"/>
    <w:basedOn w:val="Normal"/>
    <w:link w:val="BodyTextChar"/>
    <w:rsid w:val="007D322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D322B"/>
    <w:rPr>
      <w:rFonts w:ascii="Times New Roman" w:eastAsia="Times New Roman" w:hAnsi="Times New Roman" w:cs="Times New Roman"/>
      <w:sz w:val="24"/>
      <w:lang w:eastAsia="en-US"/>
    </w:rPr>
  </w:style>
  <w:style w:type="paragraph" w:styleId="Footer">
    <w:name w:val="footer"/>
    <w:basedOn w:val="Normal"/>
    <w:link w:val="FooterChar"/>
    <w:rsid w:val="007D322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D322B"/>
    <w:rPr>
      <w:rFonts w:ascii="Times New Roman" w:eastAsia="Times New Roman" w:hAnsi="Times New Roman" w:cs="Times New Roman"/>
      <w:sz w:val="16"/>
      <w:lang w:eastAsia="en-US"/>
    </w:rPr>
  </w:style>
  <w:style w:type="paragraph" w:styleId="List">
    <w:name w:val="List"/>
    <w:basedOn w:val="BodyText"/>
    <w:next w:val="BodyText"/>
    <w:rsid w:val="007D322B"/>
    <w:pPr>
      <w:tabs>
        <w:tab w:val="left" w:pos="340"/>
      </w:tabs>
      <w:spacing w:before="60" w:after="60"/>
      <w:ind w:left="340" w:hanging="340"/>
    </w:pPr>
  </w:style>
  <w:style w:type="paragraph" w:styleId="ListBullet">
    <w:name w:val="List Bullet"/>
    <w:basedOn w:val="List"/>
    <w:rsid w:val="007D322B"/>
    <w:pPr>
      <w:numPr>
        <w:numId w:val="13"/>
      </w:numPr>
      <w:tabs>
        <w:tab w:val="clear" w:pos="340"/>
      </w:tabs>
      <w:spacing w:before="40" w:after="40"/>
    </w:pPr>
  </w:style>
  <w:style w:type="character" w:customStyle="1" w:styleId="SpecialBold">
    <w:name w:val="Special Bold"/>
    <w:basedOn w:val="DefaultParagraphFont"/>
    <w:rsid w:val="007D322B"/>
    <w:rPr>
      <w:b/>
      <w:spacing w:val="0"/>
    </w:rPr>
  </w:style>
  <w:style w:type="paragraph" w:styleId="ListBullet2">
    <w:name w:val="List Bullet 2"/>
    <w:basedOn w:val="List2"/>
    <w:rsid w:val="007D322B"/>
    <w:pPr>
      <w:numPr>
        <w:numId w:val="14"/>
      </w:numPr>
      <w:tabs>
        <w:tab w:val="clear" w:pos="680"/>
      </w:tabs>
    </w:pPr>
  </w:style>
  <w:style w:type="paragraph" w:customStyle="1" w:styleId="SuperHeading">
    <w:name w:val="SuperHeading"/>
    <w:basedOn w:val="Normal"/>
    <w:rsid w:val="007D322B"/>
    <w:pPr>
      <w:spacing w:before="240" w:after="120"/>
      <w:outlineLvl w:val="0"/>
    </w:pPr>
    <w:rPr>
      <w:rFonts w:ascii="Times New Roman" w:hAnsi="Times New Roman"/>
      <w:b/>
      <w:sz w:val="28"/>
    </w:rPr>
  </w:style>
  <w:style w:type="paragraph" w:customStyle="1" w:styleId="AllowPageBreak">
    <w:name w:val="AllowPageBreak"/>
    <w:rsid w:val="007D322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7D322B"/>
    <w:rPr>
      <w:b/>
      <w:i/>
      <w:u w:val="none"/>
    </w:rPr>
  </w:style>
  <w:style w:type="character" w:customStyle="1" w:styleId="Heading2Char">
    <w:name w:val="Heading 2 Char"/>
    <w:basedOn w:val="DefaultParagraphFont"/>
    <w:link w:val="Heading2"/>
    <w:rsid w:val="007D322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D322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D322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D322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D322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D322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D322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D322B"/>
    <w:rPr>
      <w:rFonts w:ascii="Courier New" w:eastAsia="Times New Roman" w:hAnsi="Courier New" w:cs="Times New Roman"/>
      <w:i/>
      <w:szCs w:val="20"/>
      <w:lang w:eastAsia="en-US"/>
    </w:rPr>
  </w:style>
  <w:style w:type="paragraph" w:customStyle="1" w:styleId="HeadingBase">
    <w:name w:val="Heading Base"/>
    <w:rsid w:val="007D322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D322B"/>
    <w:pPr>
      <w:tabs>
        <w:tab w:val="right" w:leader="dot" w:pos="9072"/>
      </w:tabs>
      <w:ind w:left="567"/>
    </w:pPr>
    <w:rPr>
      <w:szCs w:val="22"/>
    </w:rPr>
  </w:style>
  <w:style w:type="paragraph" w:customStyle="1" w:styleId="TOCBase">
    <w:name w:val="TOC Base"/>
    <w:rsid w:val="007D322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D322B"/>
    <w:pPr>
      <w:tabs>
        <w:tab w:val="right" w:leader="dot" w:pos="9072"/>
      </w:tabs>
      <w:spacing w:before="40" w:after="40"/>
      <w:ind w:left="284"/>
    </w:pPr>
    <w:rPr>
      <w:rFonts w:ascii="Times New Roman" w:hAnsi="Times New Roman"/>
    </w:rPr>
  </w:style>
  <w:style w:type="paragraph" w:styleId="TOC1">
    <w:name w:val="toc 1"/>
    <w:basedOn w:val="TOCBase"/>
    <w:next w:val="Normal"/>
    <w:rsid w:val="007D322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D322B"/>
    <w:pPr>
      <w:spacing w:before="5040"/>
      <w:jc w:val="center"/>
    </w:pPr>
    <w:rPr>
      <w:sz w:val="48"/>
      <w:szCs w:val="72"/>
      <w:lang w:val="en-US"/>
    </w:rPr>
  </w:style>
  <w:style w:type="character" w:customStyle="1" w:styleId="TitleChar">
    <w:name w:val="Title Char"/>
    <w:basedOn w:val="DefaultParagraphFont"/>
    <w:link w:val="Title"/>
    <w:rsid w:val="007D322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D322B"/>
    <w:pPr>
      <w:tabs>
        <w:tab w:val="left" w:pos="3600"/>
        <w:tab w:val="left" w:pos="3958"/>
      </w:tabs>
    </w:pPr>
  </w:style>
  <w:style w:type="paragraph" w:customStyle="1" w:styleId="Note">
    <w:name w:val="Note"/>
    <w:basedOn w:val="BodyText"/>
    <w:rsid w:val="007D322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D322B"/>
    <w:pPr>
      <w:framePr w:wrap="auto" w:hAnchor="text" w:y="6049"/>
    </w:pPr>
    <w:rPr>
      <w:color w:val="000000"/>
      <w:sz w:val="40"/>
    </w:rPr>
  </w:style>
  <w:style w:type="paragraph" w:customStyle="1" w:styleId="TOCTitle">
    <w:name w:val="TOCTitle"/>
    <w:basedOn w:val="Heading1"/>
    <w:rsid w:val="007D322B"/>
    <w:pPr>
      <w:spacing w:after="240"/>
      <w:jc w:val="center"/>
      <w:outlineLvl w:val="9"/>
    </w:pPr>
    <w:rPr>
      <w:caps/>
    </w:rPr>
  </w:style>
  <w:style w:type="paragraph" w:customStyle="1" w:styleId="Version">
    <w:name w:val="Version"/>
    <w:rsid w:val="007D322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D322B"/>
    <w:pPr>
      <w:keepNext w:val="0"/>
      <w:tabs>
        <w:tab w:val="right" w:pos="4176"/>
      </w:tabs>
      <w:ind w:left="198" w:hanging="198"/>
    </w:pPr>
    <w:rPr>
      <w:rFonts w:ascii="Garamond" w:hAnsi="Garamond"/>
    </w:rPr>
  </w:style>
  <w:style w:type="paragraph" w:styleId="IndexHeading">
    <w:name w:val="index heading"/>
    <w:basedOn w:val="Normal"/>
    <w:next w:val="Index1"/>
    <w:semiHidden/>
    <w:rsid w:val="007D322B"/>
    <w:pPr>
      <w:spacing w:before="120" w:after="120"/>
    </w:pPr>
    <w:rPr>
      <w:rFonts w:ascii="Arial" w:hAnsi="Arial"/>
      <w:b/>
      <w:color w:val="918585"/>
      <w:sz w:val="24"/>
    </w:rPr>
  </w:style>
  <w:style w:type="paragraph" w:styleId="Header">
    <w:name w:val="header"/>
    <w:basedOn w:val="Normal"/>
    <w:link w:val="HeaderChar"/>
    <w:rsid w:val="007D322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D322B"/>
    <w:rPr>
      <w:rFonts w:ascii="Times New Roman" w:eastAsia="Times New Roman" w:hAnsi="Times New Roman" w:cs="Times New Roman"/>
      <w:sz w:val="16"/>
      <w:szCs w:val="20"/>
      <w:lang w:val="en-GB" w:eastAsia="en-US"/>
    </w:rPr>
  </w:style>
  <w:style w:type="paragraph" w:customStyle="1" w:styleId="Chapter">
    <w:name w:val="Chapter"/>
    <w:basedOn w:val="Normal"/>
    <w:rsid w:val="007D322B"/>
    <w:pPr>
      <w:spacing w:before="240"/>
    </w:pPr>
    <w:rPr>
      <w:rFonts w:ascii="Times New Roman" w:hAnsi="Times New Roman"/>
      <w:smallCaps/>
      <w:spacing w:val="80"/>
      <w:sz w:val="28"/>
    </w:rPr>
  </w:style>
  <w:style w:type="paragraph" w:customStyle="1" w:styleId="InChapter">
    <w:name w:val="InChapter"/>
    <w:basedOn w:val="Heading3"/>
    <w:rsid w:val="007D322B"/>
    <w:pPr>
      <w:spacing w:after="240"/>
      <w:outlineLvl w:val="9"/>
    </w:pPr>
    <w:rPr>
      <w:noProof/>
    </w:rPr>
  </w:style>
  <w:style w:type="paragraph" w:styleId="Index2">
    <w:name w:val="index 2"/>
    <w:basedOn w:val="Normal"/>
    <w:next w:val="Normal"/>
    <w:semiHidden/>
    <w:rsid w:val="007D322B"/>
    <w:pPr>
      <w:tabs>
        <w:tab w:val="right" w:pos="4176"/>
      </w:tabs>
      <w:ind w:left="568" w:hanging="284"/>
    </w:pPr>
    <w:rPr>
      <w:rFonts w:ascii="Garamond" w:hAnsi="Garamond"/>
    </w:rPr>
  </w:style>
  <w:style w:type="paragraph" w:customStyle="1" w:styleId="Byline">
    <w:name w:val="Byline"/>
    <w:rsid w:val="007D322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D322B"/>
    <w:pPr>
      <w:tabs>
        <w:tab w:val="clear" w:pos="3600"/>
        <w:tab w:val="clear" w:pos="3958"/>
      </w:tabs>
      <w:jc w:val="right"/>
    </w:pPr>
  </w:style>
  <w:style w:type="character" w:styleId="Emphasis">
    <w:name w:val="Emphasis"/>
    <w:basedOn w:val="DefaultParagraphFont"/>
    <w:qFormat/>
    <w:rsid w:val="007D322B"/>
    <w:rPr>
      <w:i/>
    </w:rPr>
  </w:style>
  <w:style w:type="paragraph" w:styleId="Caption">
    <w:name w:val="caption"/>
    <w:basedOn w:val="BodyText"/>
    <w:next w:val="Normal"/>
    <w:qFormat/>
    <w:rsid w:val="007D322B"/>
    <w:pPr>
      <w:framePr w:w="2268" w:hSpace="181" w:vSpace="181" w:wrap="around" w:vAnchor="text" w:hAnchor="page" w:x="1135" w:y="285" w:anchorLock="1"/>
    </w:pPr>
    <w:rPr>
      <w:i/>
    </w:rPr>
  </w:style>
  <w:style w:type="paragraph" w:customStyle="1" w:styleId="MiniTOCTitle">
    <w:name w:val="MiniTOCTitle"/>
    <w:basedOn w:val="Heading4"/>
    <w:rsid w:val="007D322B"/>
    <w:pPr>
      <w:spacing w:before="240"/>
      <w:outlineLvl w:val="9"/>
    </w:pPr>
    <w:rPr>
      <w:noProof/>
      <w:sz w:val="24"/>
    </w:rPr>
  </w:style>
  <w:style w:type="paragraph" w:customStyle="1" w:styleId="MiniTOCItem">
    <w:name w:val="MiniTOCItem"/>
    <w:basedOn w:val="ListBullet"/>
    <w:rsid w:val="007D322B"/>
    <w:pPr>
      <w:numPr>
        <w:numId w:val="0"/>
      </w:numPr>
      <w:tabs>
        <w:tab w:val="right" w:leader="dot" w:pos="6521"/>
      </w:tabs>
      <w:spacing w:before="0" w:after="0"/>
    </w:pPr>
  </w:style>
  <w:style w:type="paragraph" w:customStyle="1" w:styleId="TOFTitle">
    <w:name w:val="TOFTitle"/>
    <w:basedOn w:val="TOCTitle"/>
    <w:rsid w:val="007D322B"/>
  </w:style>
  <w:style w:type="paragraph" w:styleId="TableofFigures">
    <w:name w:val="table of figures"/>
    <w:basedOn w:val="Normal"/>
    <w:next w:val="Normal"/>
    <w:semiHidden/>
    <w:rsid w:val="007D322B"/>
    <w:pPr>
      <w:tabs>
        <w:tab w:val="right" w:leader="dot" w:pos="9072"/>
      </w:tabs>
      <w:ind w:left="970" w:hanging="403"/>
    </w:pPr>
    <w:rPr>
      <w:rFonts w:ascii="Times New Roman" w:hAnsi="Times New Roman"/>
      <w:b/>
    </w:rPr>
  </w:style>
  <w:style w:type="paragraph" w:styleId="ListNumber">
    <w:name w:val="List Number"/>
    <w:basedOn w:val="List"/>
    <w:rsid w:val="007D322B"/>
    <w:pPr>
      <w:numPr>
        <w:numId w:val="11"/>
      </w:numPr>
    </w:pPr>
  </w:style>
  <w:style w:type="character" w:customStyle="1" w:styleId="WingdingSymbols">
    <w:name w:val="Wingding Symbols"/>
    <w:rsid w:val="007D322B"/>
    <w:rPr>
      <w:rFonts w:ascii="Wingdings" w:hAnsi="Wingdings"/>
    </w:rPr>
  </w:style>
  <w:style w:type="paragraph" w:customStyle="1" w:styleId="TableHeading">
    <w:name w:val="Table Heading"/>
    <w:basedOn w:val="HeadingBase"/>
    <w:rsid w:val="007D322B"/>
    <w:pPr>
      <w:keepLines/>
      <w:pBdr>
        <w:bottom w:val="single" w:sz="6" w:space="1" w:color="918585"/>
      </w:pBdr>
      <w:spacing w:before="240"/>
    </w:pPr>
  </w:style>
  <w:style w:type="character" w:customStyle="1" w:styleId="HotSpot">
    <w:name w:val="HotSpot"/>
    <w:rsid w:val="007D322B"/>
    <w:rPr>
      <w:color w:val="0033CC"/>
      <w:u w:val="none"/>
    </w:rPr>
  </w:style>
  <w:style w:type="paragraph" w:customStyle="1" w:styleId="BodyTextRight">
    <w:name w:val="Body Text Right"/>
    <w:basedOn w:val="BodyText"/>
    <w:rsid w:val="007D322B"/>
    <w:pPr>
      <w:spacing w:before="0" w:after="0"/>
      <w:jc w:val="right"/>
    </w:pPr>
  </w:style>
  <w:style w:type="paragraph" w:styleId="Index3">
    <w:name w:val="index 3"/>
    <w:basedOn w:val="ListNumber2"/>
    <w:next w:val="Normal"/>
    <w:semiHidden/>
    <w:rsid w:val="007D322B"/>
    <w:pPr>
      <w:numPr>
        <w:numId w:val="0"/>
      </w:numPr>
      <w:tabs>
        <w:tab w:val="right" w:leader="dot" w:pos="4176"/>
      </w:tabs>
    </w:pPr>
  </w:style>
  <w:style w:type="paragraph" w:styleId="ListNumber2">
    <w:name w:val="List Number 2"/>
    <w:basedOn w:val="List2"/>
    <w:rsid w:val="007D322B"/>
    <w:pPr>
      <w:numPr>
        <w:numId w:val="10"/>
      </w:numPr>
      <w:tabs>
        <w:tab w:val="clear" w:pos="1060"/>
      </w:tabs>
    </w:pPr>
  </w:style>
  <w:style w:type="paragraph" w:customStyle="1" w:styleId="MarginNote">
    <w:name w:val="Margin Note"/>
    <w:basedOn w:val="BodyText"/>
    <w:rsid w:val="007D322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D322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D322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D322B"/>
    <w:rPr>
      <w:sz w:val="32"/>
    </w:rPr>
  </w:style>
  <w:style w:type="paragraph" w:customStyle="1" w:styleId="HeadingProcedure">
    <w:name w:val="Heading Procedure"/>
    <w:basedOn w:val="HeadingBase"/>
    <w:next w:val="Normal"/>
    <w:rsid w:val="007D322B"/>
    <w:pPr>
      <w:tabs>
        <w:tab w:val="left" w:pos="0"/>
      </w:tabs>
      <w:spacing w:before="120" w:after="60"/>
    </w:pPr>
    <w:rPr>
      <w:i/>
      <w:color w:val="918585"/>
      <w:sz w:val="22"/>
    </w:rPr>
  </w:style>
  <w:style w:type="paragraph" w:customStyle="1" w:styleId="TableBodyText">
    <w:name w:val="Table Body Text"/>
    <w:basedOn w:val="BodyText"/>
    <w:rsid w:val="007D322B"/>
    <w:pPr>
      <w:spacing w:before="60" w:after="60"/>
    </w:pPr>
  </w:style>
  <w:style w:type="paragraph" w:styleId="ListContinue">
    <w:name w:val="List Continue"/>
    <w:basedOn w:val="List"/>
    <w:rsid w:val="007D322B"/>
    <w:pPr>
      <w:ind w:firstLine="0"/>
    </w:pPr>
  </w:style>
  <w:style w:type="paragraph" w:customStyle="1" w:styleId="ListNote">
    <w:name w:val="List Note"/>
    <w:basedOn w:val="List"/>
    <w:rsid w:val="007D322B"/>
    <w:pPr>
      <w:pBdr>
        <w:top w:val="single" w:sz="6" w:space="2" w:color="918585"/>
        <w:bottom w:val="single" w:sz="6" w:space="2" w:color="918585"/>
      </w:pBdr>
      <w:tabs>
        <w:tab w:val="left" w:pos="1021"/>
      </w:tabs>
      <w:ind w:firstLine="0"/>
    </w:pPr>
  </w:style>
  <w:style w:type="paragraph" w:customStyle="1" w:styleId="Warning">
    <w:name w:val="Warning"/>
    <w:basedOn w:val="BodyText"/>
    <w:rsid w:val="007D322B"/>
    <w:pPr>
      <w:shd w:val="clear" w:color="auto" w:fill="D9D9D9"/>
      <w:tabs>
        <w:tab w:val="left" w:pos="992"/>
      </w:tabs>
      <w:ind w:left="119" w:right="119"/>
    </w:pPr>
    <w:rPr>
      <w:sz w:val="20"/>
    </w:rPr>
  </w:style>
  <w:style w:type="paragraph" w:customStyle="1" w:styleId="MarginIcons">
    <w:name w:val="Margin Icons"/>
    <w:basedOn w:val="BodyText"/>
    <w:rsid w:val="007D322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D322B"/>
    <w:rPr>
      <w:rFonts w:ascii="Courier New" w:hAnsi="Courier New"/>
    </w:rPr>
  </w:style>
  <w:style w:type="paragraph" w:customStyle="1" w:styleId="NoteBullet">
    <w:name w:val="Note Bullet"/>
    <w:basedOn w:val="Note"/>
    <w:rsid w:val="007D322B"/>
    <w:pPr>
      <w:tabs>
        <w:tab w:val="clear" w:pos="680"/>
      </w:tabs>
      <w:spacing w:before="60" w:after="60"/>
    </w:pPr>
  </w:style>
  <w:style w:type="paragraph" w:customStyle="1" w:styleId="SubHeading2">
    <w:name w:val="SubHeading2"/>
    <w:basedOn w:val="HeadingBase"/>
    <w:rsid w:val="007D322B"/>
    <w:pPr>
      <w:spacing w:before="240" w:after="60"/>
    </w:pPr>
    <w:rPr>
      <w:sz w:val="20"/>
    </w:rPr>
  </w:style>
  <w:style w:type="paragraph" w:customStyle="1" w:styleId="SubHeading1">
    <w:name w:val="SubHeading1"/>
    <w:basedOn w:val="HeadingBase"/>
    <w:rsid w:val="007D322B"/>
    <w:pPr>
      <w:spacing w:before="240" w:after="60"/>
    </w:pPr>
    <w:rPr>
      <w:color w:val="918585"/>
      <w:sz w:val="22"/>
    </w:rPr>
  </w:style>
  <w:style w:type="paragraph" w:customStyle="1" w:styleId="SideHeading">
    <w:name w:val="Side Heading"/>
    <w:basedOn w:val="HeadingBase"/>
    <w:rsid w:val="007D322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D322B"/>
    <w:pPr>
      <w:numPr>
        <w:numId w:val="12"/>
      </w:numPr>
    </w:pPr>
  </w:style>
  <w:style w:type="paragraph" w:styleId="PlainText">
    <w:name w:val="Plain Text"/>
    <w:basedOn w:val="Normal"/>
    <w:link w:val="PlainTextChar"/>
    <w:rsid w:val="007D322B"/>
    <w:rPr>
      <w:sz w:val="20"/>
    </w:rPr>
  </w:style>
  <w:style w:type="character" w:customStyle="1" w:styleId="PlainTextChar">
    <w:name w:val="Plain Text Char"/>
    <w:basedOn w:val="DefaultParagraphFont"/>
    <w:link w:val="PlainText"/>
    <w:rsid w:val="007D322B"/>
    <w:rPr>
      <w:rFonts w:ascii="Courier New" w:eastAsia="Times New Roman" w:hAnsi="Courier New" w:cs="Times New Roman"/>
      <w:sz w:val="20"/>
      <w:szCs w:val="20"/>
      <w:lang w:eastAsia="en-US"/>
    </w:rPr>
  </w:style>
  <w:style w:type="character" w:customStyle="1" w:styleId="MenuOption">
    <w:name w:val="Menu Option"/>
    <w:basedOn w:val="DefaultParagraphFont"/>
    <w:rsid w:val="007D322B"/>
    <w:rPr>
      <w:b/>
      <w:smallCaps/>
    </w:rPr>
  </w:style>
  <w:style w:type="paragraph" w:customStyle="1" w:styleId="TableListNumber">
    <w:name w:val="Table List Number"/>
    <w:basedOn w:val="ListNumber"/>
    <w:rsid w:val="007D322B"/>
    <w:pPr>
      <w:numPr>
        <w:numId w:val="0"/>
      </w:numPr>
    </w:pPr>
  </w:style>
  <w:style w:type="paragraph" w:styleId="TOC4">
    <w:name w:val="toc 4"/>
    <w:basedOn w:val="TOCBase"/>
    <w:next w:val="Normal"/>
    <w:semiHidden/>
    <w:rsid w:val="007D322B"/>
    <w:pPr>
      <w:tabs>
        <w:tab w:val="right" w:leader="dot" w:pos="9071"/>
      </w:tabs>
      <w:ind w:left="1701"/>
    </w:pPr>
  </w:style>
  <w:style w:type="paragraph" w:customStyle="1" w:styleId="ListAlpha">
    <w:name w:val="List Alpha"/>
    <w:basedOn w:val="List"/>
    <w:rsid w:val="007D322B"/>
    <w:pPr>
      <w:numPr>
        <w:numId w:val="9"/>
      </w:numPr>
    </w:pPr>
  </w:style>
  <w:style w:type="paragraph" w:customStyle="1" w:styleId="ListAlpha2">
    <w:name w:val="List Alpha 2"/>
    <w:basedOn w:val="List2"/>
    <w:rsid w:val="007D322B"/>
    <w:pPr>
      <w:numPr>
        <w:numId w:val="8"/>
      </w:numPr>
    </w:pPr>
  </w:style>
  <w:style w:type="paragraph" w:styleId="List2">
    <w:name w:val="List 2"/>
    <w:basedOn w:val="BodyText"/>
    <w:rsid w:val="007D322B"/>
    <w:pPr>
      <w:tabs>
        <w:tab w:val="left" w:pos="680"/>
      </w:tabs>
      <w:spacing w:before="60" w:after="60"/>
      <w:ind w:left="680" w:hanging="340"/>
    </w:pPr>
  </w:style>
  <w:style w:type="paragraph" w:styleId="List3">
    <w:name w:val="List 3"/>
    <w:basedOn w:val="BodyText"/>
    <w:rsid w:val="007D322B"/>
    <w:pPr>
      <w:tabs>
        <w:tab w:val="left" w:pos="1021"/>
      </w:tabs>
      <w:spacing w:before="60" w:after="60"/>
      <w:ind w:left="1020" w:hanging="340"/>
    </w:pPr>
  </w:style>
  <w:style w:type="paragraph" w:styleId="List4">
    <w:name w:val="List 4"/>
    <w:basedOn w:val="BodyText"/>
    <w:rsid w:val="007D322B"/>
    <w:pPr>
      <w:tabs>
        <w:tab w:val="left" w:pos="1361"/>
      </w:tabs>
      <w:spacing w:before="60" w:after="60"/>
      <w:ind w:left="1361" w:hanging="340"/>
    </w:pPr>
  </w:style>
  <w:style w:type="paragraph" w:styleId="List5">
    <w:name w:val="List 5"/>
    <w:basedOn w:val="BodyText"/>
    <w:rsid w:val="007D322B"/>
    <w:pPr>
      <w:tabs>
        <w:tab w:val="left" w:pos="1701"/>
      </w:tabs>
      <w:spacing w:before="60" w:after="60"/>
      <w:ind w:left="1701" w:hanging="340"/>
    </w:pPr>
  </w:style>
  <w:style w:type="paragraph" w:styleId="ListBullet3">
    <w:name w:val="List Bullet 3"/>
    <w:basedOn w:val="List3"/>
    <w:rsid w:val="007D322B"/>
    <w:pPr>
      <w:numPr>
        <w:numId w:val="15"/>
      </w:numPr>
      <w:tabs>
        <w:tab w:val="clear" w:pos="1021"/>
      </w:tabs>
      <w:ind w:left="1037" w:hanging="357"/>
    </w:pPr>
  </w:style>
  <w:style w:type="paragraph" w:styleId="ListBullet4">
    <w:name w:val="List Bullet 4"/>
    <w:basedOn w:val="List4"/>
    <w:rsid w:val="007D322B"/>
    <w:pPr>
      <w:numPr>
        <w:numId w:val="3"/>
      </w:numPr>
    </w:pPr>
  </w:style>
  <w:style w:type="paragraph" w:styleId="ListBullet5">
    <w:name w:val="List Bullet 5"/>
    <w:basedOn w:val="List5"/>
    <w:rsid w:val="007D322B"/>
    <w:pPr>
      <w:numPr>
        <w:numId w:val="4"/>
      </w:numPr>
    </w:pPr>
  </w:style>
  <w:style w:type="paragraph" w:styleId="ListContinue2">
    <w:name w:val="List Continue 2"/>
    <w:basedOn w:val="List2"/>
    <w:rsid w:val="007D322B"/>
    <w:pPr>
      <w:ind w:firstLine="0"/>
    </w:pPr>
  </w:style>
  <w:style w:type="paragraph" w:styleId="ListContinue3">
    <w:name w:val="List Continue 3"/>
    <w:basedOn w:val="List3"/>
    <w:rsid w:val="007D322B"/>
    <w:pPr>
      <w:ind w:left="1021" w:firstLine="0"/>
    </w:pPr>
  </w:style>
  <w:style w:type="paragraph" w:styleId="ListContinue4">
    <w:name w:val="List Continue 4"/>
    <w:basedOn w:val="List4"/>
    <w:rsid w:val="007D322B"/>
    <w:pPr>
      <w:ind w:firstLine="0"/>
    </w:pPr>
  </w:style>
  <w:style w:type="paragraph" w:styleId="ListContinue5">
    <w:name w:val="List Continue 5"/>
    <w:basedOn w:val="List5"/>
    <w:rsid w:val="007D322B"/>
    <w:pPr>
      <w:ind w:firstLine="0"/>
    </w:pPr>
  </w:style>
  <w:style w:type="paragraph" w:styleId="ListNumber3">
    <w:name w:val="List Number 3"/>
    <w:basedOn w:val="List3"/>
    <w:rsid w:val="007D322B"/>
    <w:pPr>
      <w:numPr>
        <w:numId w:val="5"/>
      </w:numPr>
    </w:pPr>
  </w:style>
  <w:style w:type="paragraph" w:styleId="ListNumber4">
    <w:name w:val="List Number 4"/>
    <w:basedOn w:val="List4"/>
    <w:rsid w:val="007D322B"/>
    <w:pPr>
      <w:numPr>
        <w:numId w:val="6"/>
      </w:numPr>
    </w:pPr>
  </w:style>
  <w:style w:type="paragraph" w:styleId="ListNumber5">
    <w:name w:val="List Number 5"/>
    <w:basedOn w:val="List5"/>
    <w:rsid w:val="007D322B"/>
    <w:pPr>
      <w:numPr>
        <w:numId w:val="7"/>
      </w:numPr>
    </w:pPr>
  </w:style>
  <w:style w:type="paragraph" w:styleId="BlockText">
    <w:name w:val="Block Text"/>
    <w:basedOn w:val="Normal"/>
    <w:rsid w:val="007D322B"/>
    <w:pPr>
      <w:spacing w:after="120"/>
      <w:ind w:left="1440" w:right="1440"/>
    </w:pPr>
  </w:style>
  <w:style w:type="character" w:customStyle="1" w:styleId="Subscript">
    <w:name w:val="Subscript"/>
    <w:basedOn w:val="DefaultParagraphFont"/>
    <w:rsid w:val="007D322B"/>
    <w:rPr>
      <w:sz w:val="16"/>
      <w:vertAlign w:val="subscript"/>
    </w:rPr>
  </w:style>
  <w:style w:type="character" w:customStyle="1" w:styleId="Superscript">
    <w:name w:val="Superscript"/>
    <w:basedOn w:val="DefaultParagraphFont"/>
    <w:rsid w:val="007D322B"/>
    <w:rPr>
      <w:sz w:val="16"/>
      <w:vertAlign w:val="superscript"/>
    </w:rPr>
  </w:style>
  <w:style w:type="character" w:customStyle="1" w:styleId="Symbols">
    <w:name w:val="Symbols"/>
    <w:basedOn w:val="DefaultParagraphFont"/>
    <w:rsid w:val="007D322B"/>
    <w:rPr>
      <w:rFonts w:ascii="Symbol" w:hAnsi="Symbol"/>
    </w:rPr>
  </w:style>
  <w:style w:type="character" w:customStyle="1" w:styleId="MenuOptions">
    <w:name w:val="Menu Options"/>
    <w:basedOn w:val="DefaultParagraphFont"/>
    <w:rsid w:val="007D322B"/>
    <w:rPr>
      <w:rFonts w:ascii="Arial Narrow" w:hAnsi="Arial Narrow"/>
      <w:smallCaps/>
    </w:rPr>
  </w:style>
  <w:style w:type="character" w:customStyle="1" w:styleId="Buttons">
    <w:name w:val="Buttons"/>
    <w:basedOn w:val="DefaultParagraphFont"/>
    <w:rsid w:val="007D322B"/>
    <w:rPr>
      <w:b/>
    </w:rPr>
  </w:style>
  <w:style w:type="character" w:customStyle="1" w:styleId="Underlined">
    <w:name w:val="Underlined"/>
    <w:basedOn w:val="DefaultParagraphFont"/>
    <w:rsid w:val="007D322B"/>
    <w:rPr>
      <w:u w:val="single"/>
    </w:rPr>
  </w:style>
  <w:style w:type="paragraph" w:customStyle="1" w:styleId="TableBodyTextRight">
    <w:name w:val="Table Body Text Right"/>
    <w:basedOn w:val="TableBodyText"/>
    <w:rsid w:val="007D322B"/>
    <w:pPr>
      <w:widowControl w:val="0"/>
      <w:autoSpaceDE w:val="0"/>
      <w:autoSpaceDN w:val="0"/>
      <w:adjustRightInd w:val="0"/>
      <w:jc w:val="right"/>
    </w:pPr>
    <w:rPr>
      <w:rFonts w:cs="Arial"/>
      <w:szCs w:val="18"/>
    </w:rPr>
  </w:style>
  <w:style w:type="paragraph" w:customStyle="1" w:styleId="CopyrightText">
    <w:name w:val="Copyright Text"/>
    <w:basedOn w:val="BodyText"/>
    <w:rsid w:val="007D322B"/>
    <w:rPr>
      <w:sz w:val="18"/>
    </w:rPr>
  </w:style>
  <w:style w:type="paragraph" w:customStyle="1" w:styleId="BodySmallRight">
    <w:name w:val="Body Small Right"/>
    <w:basedOn w:val="BodyTextRight"/>
    <w:rsid w:val="007D322B"/>
    <w:rPr>
      <w:sz w:val="18"/>
      <w:szCs w:val="18"/>
    </w:rPr>
  </w:style>
  <w:style w:type="paragraph" w:customStyle="1" w:styleId="MarginEdition">
    <w:name w:val="Margin Edition"/>
    <w:basedOn w:val="MarginNote"/>
    <w:rsid w:val="007D322B"/>
    <w:pPr>
      <w:spacing w:before="0" w:after="0"/>
    </w:pPr>
    <w:rPr>
      <w:rFonts w:ascii="Times New Roman" w:hAnsi="Times New Roman"/>
      <w:color w:val="999999"/>
    </w:rPr>
  </w:style>
  <w:style w:type="paragraph" w:customStyle="1" w:styleId="Spacer">
    <w:name w:val="Spacer"/>
    <w:basedOn w:val="Normal"/>
    <w:rsid w:val="007D322B"/>
    <w:rPr>
      <w:sz w:val="2"/>
      <w:szCs w:val="2"/>
    </w:rPr>
  </w:style>
  <w:style w:type="character" w:customStyle="1" w:styleId="Small">
    <w:name w:val="Small"/>
    <w:basedOn w:val="DefaultParagraphFont"/>
    <w:rsid w:val="007D322B"/>
    <w:rPr>
      <w:sz w:val="16"/>
    </w:rPr>
  </w:style>
  <w:style w:type="paragraph" w:customStyle="1" w:styleId="WideTable">
    <w:name w:val="Wide Table"/>
    <w:basedOn w:val="Normal"/>
    <w:rsid w:val="007D322B"/>
    <w:pPr>
      <w:ind w:left="-1418"/>
    </w:pPr>
    <w:rPr>
      <w:sz w:val="2"/>
      <w:szCs w:val="2"/>
    </w:rPr>
  </w:style>
  <w:style w:type="character" w:styleId="PageNumber">
    <w:name w:val="page number"/>
    <w:basedOn w:val="DefaultParagraphFont"/>
    <w:rsid w:val="007D322B"/>
  </w:style>
  <w:style w:type="paragraph" w:styleId="Quote">
    <w:name w:val="Quote"/>
    <w:basedOn w:val="Heading1"/>
    <w:link w:val="QuoteChar"/>
    <w:qFormat/>
    <w:rsid w:val="007D322B"/>
    <w:rPr>
      <w:b w:val="0"/>
      <w:sz w:val="72"/>
      <w:szCs w:val="72"/>
      <w:lang w:val="en-NZ"/>
    </w:rPr>
  </w:style>
  <w:style w:type="character" w:customStyle="1" w:styleId="QuoteChar">
    <w:name w:val="Quote Char"/>
    <w:basedOn w:val="DefaultParagraphFont"/>
    <w:link w:val="Quote"/>
    <w:rsid w:val="007D322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D322B"/>
    <w:pPr>
      <w:pageBreakBefore/>
    </w:pPr>
  </w:style>
  <w:style w:type="paragraph" w:customStyle="1" w:styleId="Border">
    <w:name w:val="Border"/>
    <w:basedOn w:val="Normal"/>
    <w:qFormat/>
    <w:rsid w:val="007D322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D322B"/>
    <w:rPr>
      <w:b/>
      <w:bCs/>
      <w:i/>
      <w:iCs/>
      <w:color w:val="auto"/>
    </w:rPr>
  </w:style>
  <w:style w:type="paragraph" w:styleId="IntenseQuote">
    <w:name w:val="Intense Quote"/>
    <w:basedOn w:val="Normal"/>
    <w:next w:val="Normal"/>
    <w:link w:val="IntenseQuoteChar"/>
    <w:uiPriority w:val="30"/>
    <w:qFormat/>
    <w:rsid w:val="007D322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D322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D322B"/>
    <w:rPr>
      <w:smallCaps/>
      <w:color w:val="auto"/>
      <w:u w:val="single"/>
    </w:rPr>
  </w:style>
  <w:style w:type="character" w:styleId="IntenseReference">
    <w:name w:val="Intense Reference"/>
    <w:basedOn w:val="DefaultParagraphFont"/>
    <w:uiPriority w:val="32"/>
    <w:qFormat/>
    <w:rsid w:val="007D322B"/>
    <w:rPr>
      <w:b/>
      <w:bCs/>
      <w:smallCaps/>
      <w:color w:val="auto"/>
      <w:spacing w:val="5"/>
      <w:u w:val="single"/>
    </w:rPr>
  </w:style>
  <w:style w:type="paragraph" w:customStyle="1" w:styleId="2ColumnHeading">
    <w:name w:val="2Column Heading"/>
    <w:basedOn w:val="BodyText"/>
    <w:qFormat/>
    <w:rsid w:val="007D322B"/>
    <w:pPr>
      <w:spacing w:after="60"/>
      <w:ind w:left="-2268"/>
    </w:pPr>
    <w:rPr>
      <w:b/>
    </w:rPr>
  </w:style>
  <w:style w:type="paragraph" w:customStyle="1" w:styleId="Heading1TOC">
    <w:name w:val="Heading1 TOC"/>
    <w:basedOn w:val="Normal"/>
    <w:qFormat/>
    <w:rsid w:val="007D322B"/>
    <w:pPr>
      <w:spacing w:before="240" w:after="120"/>
    </w:pPr>
    <w:rPr>
      <w:rFonts w:ascii="Times New Roman" w:hAnsi="Times New Roman"/>
      <w:b/>
      <w:sz w:val="32"/>
    </w:rPr>
  </w:style>
  <w:style w:type="paragraph" w:customStyle="1" w:styleId="Heading2TOC">
    <w:name w:val="Heading2 TOC"/>
    <w:basedOn w:val="Normal"/>
    <w:qFormat/>
    <w:rsid w:val="007D322B"/>
    <w:pPr>
      <w:spacing w:before="240" w:after="60"/>
    </w:pPr>
    <w:rPr>
      <w:rFonts w:ascii="Times New Roman" w:hAnsi="Times New Roman"/>
      <w:b/>
      <w:sz w:val="28"/>
    </w:rPr>
  </w:style>
  <w:style w:type="character" w:customStyle="1" w:styleId="Underline">
    <w:name w:val="Underline"/>
    <w:basedOn w:val="DefaultParagraphFont"/>
    <w:qFormat/>
    <w:rsid w:val="007D322B"/>
    <w:rPr>
      <w:u w:val="single"/>
    </w:rPr>
  </w:style>
  <w:style w:type="paragraph" w:styleId="BalloonText">
    <w:name w:val="Balloon Text"/>
    <w:basedOn w:val="Normal"/>
    <w:link w:val="BalloonTextChar"/>
    <w:rsid w:val="007D322B"/>
    <w:rPr>
      <w:rFonts w:ascii="Tahoma" w:hAnsi="Tahoma" w:cs="Tahoma"/>
      <w:sz w:val="16"/>
      <w:szCs w:val="16"/>
    </w:rPr>
  </w:style>
  <w:style w:type="character" w:customStyle="1" w:styleId="BalloonTextChar">
    <w:name w:val="Balloon Text Char"/>
    <w:basedOn w:val="DefaultParagraphFont"/>
    <w:link w:val="BalloonText"/>
    <w:rsid w:val="007D322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D322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D322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D322B"/>
    <w:rPr>
      <w:b/>
      <w:color w:val="660033"/>
      <w:spacing w:val="0"/>
    </w:rPr>
  </w:style>
  <w:style w:type="paragraph" w:customStyle="1" w:styleId="Nameditemlist">
    <w:name w:val="Named item list"/>
    <w:basedOn w:val="BodyText"/>
    <w:qFormat/>
    <w:rsid w:val="007D322B"/>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1237</Words>
  <Characters>8136</Characters>
  <Application>Microsoft Office Word</Application>
  <DocSecurity>0</DocSecurity>
  <Lines>258</Lines>
  <Paragraphs>150</Paragraphs>
  <ScaleCrop>false</ScaleCrop>
  <Company>Author-it Software Corporation Ltd.</Company>
  <LinksUpToDate>false</LinksUpToDate>
  <CharactersWithSpaces>9315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NWP408A Investigate and plan the optimisation of sedimentation and clarification processes</dc:title>
  <dc:subject>Approved</dc:subject>
  <dc:creator>Government Skills Australia</dc:creator>
  <cp:keywords>Release: 2</cp:keywords>
  <dc:description>Copyright © 1996-2007 Author-it Software Corporation Ltd., all rights reserved.</dc:description>
  <cp:lastModifiedBy>TPCMS</cp:lastModifiedBy>
  <cp:revision>3</cp:revision>
  <dcterms:created xsi:type="dcterms:W3CDTF">2012-10-10T09:35:00Z</dcterms:created>
  <dcterms:modified xsi:type="dcterms:W3CDTF">2012-10-10T09:35:00Z</dcterms:modified>
</cp:coreProperties>
</file>