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1E4C" w:rsidP="00F41E4C">
      <w:pPr>
        <w:pStyle w:val="Title"/>
      </w:pPr>
      <w:r>
        <w:fldChar w:fldCharType="begin"/>
      </w:r>
      <w:r>
        <w:instrText xml:space="preserve"> TITLE   \* MERGEFORMAT </w:instrText>
      </w:r>
      <w:r>
        <w:fldChar w:fldCharType="separate"/>
      </w:r>
      <w:r>
        <w:t>NWP370 Perform water industry calculations</w:t>
      </w:r>
      <w:r>
        <w:fldChar w:fldCharType="end"/>
      </w:r>
    </w:p>
    <w:p w:rsidR="00F41E4C" w:rsidP="00F41E4C">
      <w:pPr>
        <w:pStyle w:val="Version"/>
        <w:sectPr w:rsidSect="00E20D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0DE0" w:rsidP="00E20DE0">
      <w:pPr>
        <w:pStyle w:val="SuperHeading"/>
      </w:pPr>
      <w:r w:rsidRPr="00E20DE0">
        <w:t>NWP370 Perform water industry calculations</w:t>
      </w:r>
    </w:p>
    <w:p w:rsidR="00000000" w:rsidRPr="00E20DE0" w:rsidP="00E20DE0">
      <w:pPr>
        <w:pStyle w:val="Heading1"/>
      </w:pPr>
      <w:bookmarkStart w:id="1" w:name="O_402814"/>
      <w:bookmarkEnd w:id="1"/>
      <w:r w:rsidRPr="00E20DE0">
        <w:t>Modification History</w:t>
      </w:r>
    </w:p>
    <w:p w:rsidR="00000000" w:rsidRPr="00E20DE0" w:rsidP="00E20DE0">
      <w:pPr>
        <w:pStyle w:val="BodyText"/>
      </w:pPr>
      <w:r w:rsidRPr="00E20DE0">
        <w:t>NWP370 Release 1:</w:t>
      </w:r>
      <w:r w:rsidRPr="00E20DE0">
        <w:tab/>
        <w:t>Primary release.</w:t>
      </w:r>
    </w:p>
    <w:p w:rsidR="00000000" w:rsidRPr="00E20DE0" w:rsidP="00E20DE0">
      <w:pPr>
        <w:pStyle w:val="AllowPageBreak"/>
      </w:pPr>
    </w:p>
    <w:p w:rsidR="00000000" w:rsidRPr="00E20DE0" w:rsidP="00E20DE0">
      <w:pPr>
        <w:pStyle w:val="Heading1"/>
      </w:pPr>
      <w:bookmarkStart w:id="2" w:name="O_402815"/>
      <w:bookmarkEnd w:id="2"/>
      <w:r w:rsidRPr="00E20DE0">
        <w:t>Unit Descriptor</w:t>
      </w:r>
    </w:p>
    <w:p w:rsidR="00000000" w:rsidRPr="00E20DE0" w:rsidP="00E20DE0">
      <w:pPr>
        <w:pStyle w:val="BodyText"/>
      </w:pPr>
      <w:r w:rsidRPr="00E20DE0">
        <w:t>This unit of competency describes the outcomes required to perform calculations for water industry relat</w:t>
      </w:r>
      <w:r w:rsidRPr="00E20DE0">
        <w:t>ed operations. This unit includes producing and interpreting charts and graphs.</w:t>
      </w:r>
    </w:p>
    <w:p w:rsidR="00000000" w:rsidRPr="00E20DE0" w:rsidP="00E20DE0">
      <w:pPr>
        <w:pStyle w:val="AllowPageBreak"/>
      </w:pPr>
    </w:p>
    <w:p w:rsidR="00000000" w:rsidRPr="00E20DE0" w:rsidP="00E20DE0">
      <w:pPr>
        <w:pStyle w:val="Heading1"/>
      </w:pPr>
      <w:bookmarkStart w:id="3" w:name="O_402816"/>
      <w:bookmarkEnd w:id="3"/>
      <w:r w:rsidRPr="00E20DE0">
        <w:t>Application of the Unit</w:t>
      </w:r>
    </w:p>
    <w:p w:rsidR="00000000" w:rsidRPr="00E20DE0" w:rsidP="00E20DE0">
      <w:pPr>
        <w:pStyle w:val="BodyText"/>
      </w:pPr>
      <w:r w:rsidRPr="00E20DE0">
        <w:t>This unit supports the attainment of skills and knowledge required for field and operational staff with specific responsibility for per</w:t>
      </w:r>
      <w:r w:rsidRPr="00E20DE0">
        <w:t>forming routine process calculations.</w:t>
      </w:r>
    </w:p>
    <w:p w:rsidR="00000000" w:rsidRPr="00E20DE0" w:rsidP="00E20DE0">
      <w:pPr>
        <w:pStyle w:val="AllowPageBreak"/>
      </w:pPr>
    </w:p>
    <w:p w:rsidR="00000000" w:rsidRPr="00E20DE0" w:rsidP="00E20DE0">
      <w:pPr>
        <w:pStyle w:val="Heading1"/>
      </w:pPr>
      <w:bookmarkStart w:id="4" w:name="O_402817"/>
      <w:bookmarkEnd w:id="4"/>
      <w:r w:rsidRPr="00E20DE0">
        <w:t>Licensing/Regulatory Information</w:t>
      </w:r>
    </w:p>
    <w:p w:rsidR="00000000" w:rsidRPr="00E20DE0" w:rsidP="00E20DE0">
      <w:pPr>
        <w:pStyle w:val="BodyText"/>
      </w:pPr>
      <w:r w:rsidRPr="00E20DE0">
        <w:t>Not applicable.</w:t>
      </w:r>
    </w:p>
    <w:p w:rsidR="00000000" w:rsidRPr="00E20DE0" w:rsidP="00E20DE0">
      <w:pPr>
        <w:pStyle w:val="AllowPageBreak"/>
      </w:pPr>
    </w:p>
    <w:p w:rsidR="00000000" w:rsidRPr="00E20DE0" w:rsidP="00E20DE0">
      <w:pPr>
        <w:pStyle w:val="Heading1"/>
      </w:pPr>
      <w:bookmarkStart w:id="5" w:name="O_402818"/>
      <w:bookmarkEnd w:id="5"/>
      <w:r w:rsidRPr="00E20DE0">
        <w:t>Pre-Requisites</w:t>
      </w:r>
    </w:p>
    <w:p w:rsidR="00000000" w:rsidRPr="00E20DE0" w:rsidP="00E20DE0">
      <w:pPr>
        <w:pStyle w:val="BodyText"/>
      </w:pPr>
      <w:r w:rsidRPr="00E20DE0">
        <w:t>Not applicable.</w:t>
      </w:r>
    </w:p>
    <w:p w:rsidR="00000000" w:rsidRPr="00E20DE0" w:rsidP="00E20DE0">
      <w:pPr>
        <w:pStyle w:val="AllowPageBreak"/>
      </w:pPr>
    </w:p>
    <w:p w:rsidR="00000000" w:rsidRPr="00E20DE0" w:rsidP="00E20DE0">
      <w:pPr>
        <w:pStyle w:val="Heading1"/>
      </w:pPr>
      <w:bookmarkStart w:id="6" w:name="O_402819"/>
      <w:bookmarkEnd w:id="6"/>
      <w:r w:rsidRPr="00E20DE0">
        <w:t>Employability Skills Information</w:t>
      </w:r>
    </w:p>
    <w:p w:rsidR="00000000" w:rsidRPr="00E20DE0" w:rsidP="00E20DE0">
      <w:pPr>
        <w:pStyle w:val="BodyText"/>
      </w:pPr>
      <w:r w:rsidRPr="00E20DE0">
        <w:t>This unit contains employability skills.</w:t>
      </w:r>
    </w:p>
    <w:p w:rsidR="00000000" w:rsidRPr="00E20DE0" w:rsidP="00E20DE0">
      <w:pPr>
        <w:pStyle w:val="AllowPageBreak"/>
      </w:pPr>
    </w:p>
    <w:p w:rsidR="00000000" w:rsidRPr="00E20DE0" w:rsidP="00E20DE0">
      <w:pPr>
        <w:pStyle w:val="Heading1"/>
      </w:pPr>
      <w:bookmarkStart w:id="7" w:name="O_402820"/>
      <w:bookmarkEnd w:id="7"/>
      <w:r w:rsidRPr="00E20DE0">
        <w:t>Elements and Performance Criteria Pre-Content</w:t>
      </w:r>
    </w:p>
    <w:tbl>
      <w:tblPr>
        <w:tblW w:w="9275" w:type="dxa"/>
        <w:tblLayout w:type="fixed"/>
        <w:tblCellMar>
          <w:left w:w="62" w:type="dxa"/>
          <w:right w:w="62" w:type="dxa"/>
        </w:tblCellMar>
        <w:tblLook w:val="0000"/>
      </w:tblPr>
      <w:tblGrid>
        <w:gridCol w:w="1812"/>
        <w:gridCol w:w="7463"/>
      </w:tblGrid>
      <w:tr w:rsidTr="00E20DE0">
        <w:tblPrEx>
          <w:tblW w:w="9275"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20DE0">
            <w:pPr>
              <w:pStyle w:val="BodyText"/>
              <w:rPr>
                <w:lang w:val="en-NZ"/>
              </w:rPr>
            </w:pPr>
            <w:r w:rsidRPr="00E20DE0">
              <w:t>Elements describe the essential outcomes of a unit of competency.</w:t>
            </w:r>
          </w:p>
        </w:tc>
        <w:tc>
          <w:tcPr>
            <w:tcW w:w="7463" w:type="dxa"/>
            <w:tcBorders>
              <w:top w:val="nil"/>
              <w:left w:val="nil"/>
              <w:bottom w:val="nil"/>
              <w:right w:val="nil"/>
            </w:tcBorders>
            <w:tcMar>
              <w:top w:w="0" w:type="dxa"/>
              <w:left w:w="62" w:type="dxa"/>
              <w:bottom w:w="0" w:type="dxa"/>
              <w:right w:w="62" w:type="dxa"/>
            </w:tcMar>
          </w:tcPr>
          <w:p w:rsidR="00000000" w:rsidRPr="00E20DE0" w:rsidP="00E20DE0">
            <w:pPr>
              <w:pStyle w:val="BodyText"/>
            </w:pPr>
            <w:r w:rsidRPr="00E20DE0">
              <w:t xml:space="preserve">Performance criteria describe the required performance needed to demonstrate achievement of the element. Where </w:t>
            </w:r>
            <w:r w:rsidRPr="00E20DE0">
              <w:rPr>
                <w:rStyle w:val="BoldandItalics"/>
              </w:rPr>
              <w:t>bold italicised</w:t>
            </w:r>
            <w:r w:rsidRPr="00E20DE0">
              <w:t xml:space="preserve"> text is used, further information is detailed in the range statement. Assessment of performance is to be consistent with the evidence guide.</w:t>
            </w:r>
          </w:p>
        </w:tc>
      </w:tr>
    </w:tbl>
    <w:p w:rsidR="00000000" w:rsidRPr="00E20DE0" w:rsidP="00E20DE0">
      <w:pPr>
        <w:pStyle w:val="BodyText"/>
      </w:pPr>
    </w:p>
    <w:p w:rsidR="00000000" w:rsidRPr="00E20DE0" w:rsidP="00E20DE0">
      <w:pPr>
        <w:pStyle w:val="AllowPageBreak"/>
      </w:pPr>
    </w:p>
    <w:p w:rsidR="00000000" w:rsidRPr="00E20DE0" w:rsidP="00E20DE0">
      <w:pPr>
        <w:pStyle w:val="Heading1"/>
      </w:pPr>
      <w:bookmarkStart w:id="8" w:name="O_402821"/>
      <w:bookmarkEnd w:id="8"/>
      <w:r w:rsidRPr="00E20DE0">
        <w:t>Elements and Performance Criteria</w:t>
      </w:r>
    </w:p>
    <w:tbl>
      <w:tblPr>
        <w:tblW w:w="9275" w:type="dxa"/>
        <w:tblLayout w:type="fixed"/>
        <w:tblCellMar>
          <w:left w:w="62" w:type="dxa"/>
          <w:right w:w="62" w:type="dxa"/>
        </w:tblCellMar>
        <w:tblLook w:val="0000"/>
      </w:tblPr>
      <w:tblGrid>
        <w:gridCol w:w="1812"/>
        <w:gridCol w:w="7463"/>
      </w:tblGrid>
      <w:tr w:rsidTr="00E20DE0">
        <w:tblPrEx>
          <w:tblW w:w="9275"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20DE0">
            <w:pPr>
              <w:pStyle w:val="List"/>
              <w:rPr>
                <w:lang w:val="en-NZ"/>
              </w:rPr>
            </w:pPr>
            <w:r w:rsidRPr="00E20DE0">
              <w:rPr>
                <w:rStyle w:val="SpecialBold"/>
              </w:rPr>
              <w:t>1</w:t>
            </w:r>
            <w:r w:rsidRPr="00E20DE0">
              <w:rPr>
                <w:rStyle w:val="SpecialBold"/>
              </w:rPr>
              <w:tab/>
              <w:t>Identify and Interpret formulae for process calculations</w:t>
            </w:r>
          </w:p>
        </w:tc>
        <w:tc>
          <w:tcPr>
            <w:tcW w:w="7463" w:type="dxa"/>
            <w:tcBorders>
              <w:top w:val="nil"/>
              <w:left w:val="nil"/>
              <w:bottom w:val="nil"/>
              <w:right w:val="nil"/>
            </w:tcBorders>
            <w:tcMar>
              <w:top w:w="0" w:type="dxa"/>
              <w:left w:w="62" w:type="dxa"/>
              <w:bottom w:w="0" w:type="dxa"/>
              <w:right w:w="62" w:type="dxa"/>
            </w:tcMar>
          </w:tcPr>
          <w:p w:rsidR="00000000" w:rsidRPr="00E20DE0" w:rsidP="00E20DE0">
            <w:pPr>
              <w:pStyle w:val="List"/>
            </w:pPr>
            <w:r w:rsidRPr="00E20DE0">
              <w:t>1.</w:t>
            </w:r>
            <w:r w:rsidRPr="00E20DE0">
              <w:t>1</w:t>
            </w:r>
            <w:r w:rsidRPr="00E20DE0">
              <w:tab/>
              <w:t xml:space="preserve">Required calculation method is identified to suit the application, including selection of relevant </w:t>
            </w:r>
            <w:r w:rsidRPr="00E20DE0">
              <w:rPr>
                <w:rStyle w:val="BoldandItalics"/>
              </w:rPr>
              <w:t>arithmetic operations</w:t>
            </w:r>
            <w:r w:rsidRPr="00E20DE0">
              <w:rPr>
                <w:rStyle w:val="Emphasis"/>
              </w:rPr>
              <w:t xml:space="preserve"> </w:t>
            </w:r>
            <w:r w:rsidRPr="00E20DE0">
              <w:t>and/or formulae.</w:t>
            </w:r>
          </w:p>
          <w:p w:rsidR="00000000" w:rsidP="00E20DE0">
            <w:pPr>
              <w:pStyle w:val="List"/>
              <w:rPr>
                <w:lang w:val="en-NZ"/>
              </w:rPr>
            </w:pPr>
            <w:r w:rsidRPr="00E20DE0">
              <w:t>1.2</w:t>
            </w:r>
            <w:r w:rsidRPr="00E20DE0">
              <w:tab/>
            </w:r>
            <w:r w:rsidRPr="00E20DE0">
              <w:rPr>
                <w:rStyle w:val="BoldandItalics"/>
              </w:rPr>
              <w:t>Units of measurement</w:t>
            </w:r>
            <w:r w:rsidRPr="00E20DE0">
              <w:t xml:space="preserve"> are identified and used correctly.</w:t>
            </w:r>
          </w:p>
        </w:tc>
      </w:tr>
      <w:tr w:rsidTr="00E20DE0">
        <w:tblPrEx>
          <w:tblW w:w="9275"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20DE0">
            <w:pPr>
              <w:pStyle w:val="List"/>
              <w:rPr>
                <w:lang w:val="en-NZ"/>
              </w:rPr>
            </w:pPr>
            <w:r w:rsidRPr="00E20DE0">
              <w:rPr>
                <w:rStyle w:val="SpecialBold"/>
              </w:rPr>
              <w:t>2</w:t>
            </w:r>
            <w:r w:rsidRPr="00E20DE0">
              <w:rPr>
                <w:rStyle w:val="SpecialBold"/>
              </w:rPr>
              <w:tab/>
              <w:t>Interpret and present graphical representations of ma</w:t>
            </w:r>
            <w:r w:rsidRPr="00E20DE0">
              <w:rPr>
                <w:rStyle w:val="SpecialBold"/>
              </w:rPr>
              <w:t>thematical information</w:t>
            </w:r>
          </w:p>
        </w:tc>
        <w:tc>
          <w:tcPr>
            <w:tcW w:w="7463" w:type="dxa"/>
            <w:tcBorders>
              <w:top w:val="nil"/>
              <w:left w:val="nil"/>
              <w:bottom w:val="nil"/>
              <w:right w:val="nil"/>
            </w:tcBorders>
            <w:tcMar>
              <w:top w:w="0" w:type="dxa"/>
              <w:left w:w="62" w:type="dxa"/>
              <w:bottom w:w="0" w:type="dxa"/>
              <w:right w:w="62" w:type="dxa"/>
            </w:tcMar>
          </w:tcPr>
          <w:p w:rsidR="00000000" w:rsidRPr="00E20DE0" w:rsidP="00E20DE0">
            <w:pPr>
              <w:pStyle w:val="List"/>
            </w:pPr>
            <w:r w:rsidRPr="00E20DE0">
              <w:t>2.1</w:t>
            </w:r>
            <w:r w:rsidRPr="00E20DE0">
              <w:tab/>
              <w:t>Information presented in mathematical symbols, graphs and charts is correctly interpreted.</w:t>
            </w:r>
            <w:r w:rsidRPr="00E20DE0">
              <w:rPr>
                <w:rStyle w:val="BoldandItalics"/>
              </w:rPr>
              <w:t xml:space="preserve"> </w:t>
            </w:r>
          </w:p>
          <w:p w:rsidR="00000000" w:rsidP="00E20DE0">
            <w:pPr>
              <w:pStyle w:val="List"/>
              <w:rPr>
                <w:lang w:val="en-NZ"/>
              </w:rPr>
            </w:pPr>
            <w:r w:rsidRPr="00E20DE0">
              <w:t xml:space="preserve">2.2 </w:t>
            </w:r>
            <w:r w:rsidRPr="00E20DE0">
              <w:tab/>
              <w:t xml:space="preserve">Information is presented clearly using mathematical symbols, </w:t>
            </w:r>
            <w:r w:rsidRPr="00E20DE0">
              <w:rPr>
                <w:rStyle w:val="BoldandItalics"/>
              </w:rPr>
              <w:t>graphs and charts</w:t>
            </w:r>
            <w:r w:rsidRPr="00E20DE0">
              <w:t>.</w:t>
            </w:r>
          </w:p>
        </w:tc>
      </w:tr>
      <w:tr w:rsidTr="00E20DE0">
        <w:tblPrEx>
          <w:tblW w:w="9275"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E20DE0">
            <w:pPr>
              <w:pStyle w:val="List"/>
              <w:rPr>
                <w:lang w:val="en-NZ"/>
              </w:rPr>
            </w:pPr>
            <w:r w:rsidRPr="00E20DE0">
              <w:rPr>
                <w:rStyle w:val="SpecialBold"/>
              </w:rPr>
              <w:t>3</w:t>
            </w:r>
            <w:r w:rsidRPr="00E20DE0">
              <w:rPr>
                <w:rStyle w:val="SpecialBold"/>
              </w:rPr>
              <w:tab/>
              <w:t>Perform calculations</w:t>
            </w:r>
          </w:p>
        </w:tc>
        <w:tc>
          <w:tcPr>
            <w:tcW w:w="7463" w:type="dxa"/>
            <w:tcBorders>
              <w:top w:val="nil"/>
              <w:left w:val="nil"/>
              <w:bottom w:val="nil"/>
              <w:right w:val="nil"/>
            </w:tcBorders>
            <w:tcMar>
              <w:top w:w="0" w:type="dxa"/>
              <w:left w:w="62" w:type="dxa"/>
              <w:bottom w:w="0" w:type="dxa"/>
              <w:right w:w="62" w:type="dxa"/>
            </w:tcMar>
          </w:tcPr>
          <w:p w:rsidR="00000000" w:rsidRPr="00E20DE0" w:rsidP="00E20DE0">
            <w:pPr>
              <w:pStyle w:val="List"/>
            </w:pPr>
            <w:r w:rsidRPr="00E20DE0">
              <w:t>3.1</w:t>
            </w:r>
            <w:r w:rsidRPr="00E20DE0">
              <w:tab/>
            </w:r>
            <w:r w:rsidRPr="00E20DE0">
              <w:t>Formulae are used correctly to perform</w:t>
            </w:r>
            <w:r w:rsidRPr="00E20DE0">
              <w:rPr>
                <w:rStyle w:val="BoldandItalics"/>
              </w:rPr>
              <w:t xml:space="preserve"> calculations.</w:t>
            </w:r>
          </w:p>
          <w:p w:rsidR="00000000" w:rsidRPr="00E20DE0" w:rsidP="00E20DE0">
            <w:pPr>
              <w:pStyle w:val="List"/>
            </w:pPr>
            <w:r w:rsidRPr="00E20DE0">
              <w:t>3.2</w:t>
            </w:r>
            <w:r w:rsidRPr="00E20DE0">
              <w:tab/>
              <w:t>Use electronic calculators or spreadsheets to perform water industry calculations.</w:t>
            </w:r>
          </w:p>
        </w:tc>
      </w:tr>
    </w:tbl>
    <w:p w:rsidR="00000000" w:rsidRPr="00E20DE0" w:rsidP="00E20DE0">
      <w:pPr>
        <w:pStyle w:val="BodyText"/>
      </w:pPr>
    </w:p>
    <w:p w:rsidR="00000000" w:rsidRPr="00E20DE0" w:rsidP="00E20DE0">
      <w:pPr>
        <w:pStyle w:val="AllowPageBreak"/>
      </w:pPr>
    </w:p>
    <w:p w:rsidR="00000000" w:rsidRPr="00E20DE0" w:rsidP="00E20DE0">
      <w:pPr>
        <w:pStyle w:val="Heading1"/>
      </w:pPr>
      <w:bookmarkStart w:id="9" w:name="O_402822"/>
      <w:bookmarkEnd w:id="9"/>
      <w:r w:rsidRPr="00E20DE0">
        <w:t>Required Skills and Knowledge</w:t>
      </w:r>
    </w:p>
    <w:tbl>
      <w:tblPr>
        <w:tblW w:w="9275" w:type="dxa"/>
        <w:tblLayout w:type="fixed"/>
        <w:tblCellMar>
          <w:left w:w="62" w:type="dxa"/>
          <w:right w:w="62" w:type="dxa"/>
        </w:tblCellMar>
        <w:tblLook w:val="0000"/>
      </w:tblPr>
      <w:tblGrid>
        <w:gridCol w:w="9275"/>
      </w:tblGrid>
      <w:tr w:rsidTr="00E20DE0">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P="00E20DE0">
            <w:pPr>
              <w:pStyle w:val="BodyText"/>
              <w:rPr>
                <w:lang w:val="en-NZ"/>
              </w:rPr>
            </w:pPr>
            <w:r w:rsidRPr="00E20DE0">
              <w:t xml:space="preserve">This describes the essential skills and knowledge and their level, </w:t>
            </w:r>
            <w:r w:rsidRPr="00E20DE0">
              <w:t>required for this unit.</w:t>
            </w:r>
          </w:p>
        </w:tc>
      </w:tr>
      <w:tr w:rsidTr="00E20DE0">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RPr="00E20DE0" w:rsidP="00E20DE0">
            <w:pPr>
              <w:pStyle w:val="BodyText"/>
            </w:pPr>
            <w:r w:rsidRPr="00E20DE0">
              <w:rPr>
                <w:rStyle w:val="SpecialBold"/>
              </w:rPr>
              <w:t>Required skills:</w:t>
            </w:r>
          </w:p>
          <w:p w:rsidR="00000000" w:rsidRPr="00E20DE0" w:rsidP="00E20DE0">
            <w:pPr>
              <w:pStyle w:val="ListBullet"/>
            </w:pPr>
            <w:r w:rsidRPr="00E20DE0">
              <w:t>perform calculations using the  basic arithmetic operations - addition, subtraction, multiplication and division</w:t>
            </w:r>
          </w:p>
          <w:p w:rsidR="00000000" w:rsidRPr="00E20DE0" w:rsidP="00E20DE0">
            <w:pPr>
              <w:pStyle w:val="ListBullet"/>
            </w:pPr>
            <w:r w:rsidRPr="00E20DE0">
              <w:t>use electronic calculators or spreadsheets to perform calculations</w:t>
            </w:r>
          </w:p>
          <w:p w:rsidR="00000000" w:rsidRPr="00E20DE0" w:rsidP="00E20DE0">
            <w:pPr>
              <w:pStyle w:val="ListBullet"/>
            </w:pPr>
            <w:r w:rsidRPr="00E20DE0">
              <w:t>select and use the appropriate formulae for a given application</w:t>
            </w:r>
          </w:p>
          <w:p w:rsidR="00000000" w:rsidRPr="00E20DE0" w:rsidP="00E20DE0">
            <w:pPr>
              <w:pStyle w:val="ListBullet"/>
            </w:pPr>
            <w:r w:rsidRPr="00E20DE0">
              <w:t>check calculated answer for accuracy</w:t>
            </w:r>
          </w:p>
          <w:p w:rsidR="00000000" w:rsidRPr="00E20DE0" w:rsidP="00E20DE0">
            <w:pPr>
              <w:pStyle w:val="ListBullet"/>
            </w:pPr>
            <w:r w:rsidRPr="00E20DE0">
              <w:t>estimate answers</w:t>
            </w:r>
          </w:p>
          <w:p w:rsidR="00000000" w:rsidRPr="00E20DE0" w:rsidP="00E20DE0">
            <w:pPr>
              <w:pStyle w:val="ListBullet"/>
            </w:pPr>
            <w:r w:rsidRPr="00E20DE0">
              <w:t>produce simple charts or graphs from given information or observations made</w:t>
            </w:r>
          </w:p>
          <w:p w:rsidR="00000000" w:rsidP="00E20DE0">
            <w:pPr>
              <w:pStyle w:val="ListBullet"/>
              <w:rPr>
                <w:lang w:val="en-NZ"/>
              </w:rPr>
            </w:pPr>
            <w:r w:rsidRPr="00E20DE0">
              <w:t>interpret graphical information</w:t>
            </w:r>
          </w:p>
        </w:tc>
      </w:tr>
      <w:tr w:rsidTr="00E20DE0">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RPr="00E20DE0" w:rsidP="00E20DE0">
            <w:pPr>
              <w:pStyle w:val="BodyText"/>
            </w:pPr>
            <w:r w:rsidRPr="00E20DE0">
              <w:rPr>
                <w:rStyle w:val="SpecialBold"/>
              </w:rPr>
              <w:t>Required knowledge:</w:t>
            </w:r>
          </w:p>
          <w:p w:rsidR="00000000" w:rsidRPr="00E20DE0" w:rsidP="00E20DE0">
            <w:pPr>
              <w:pStyle w:val="ListBullet"/>
            </w:pPr>
            <w:r w:rsidRPr="00E20DE0">
              <w:t>basic ar</w:t>
            </w:r>
            <w:r w:rsidRPr="00E20DE0">
              <w:t xml:space="preserve">ithmetic operations </w:t>
            </w:r>
          </w:p>
          <w:p w:rsidR="00000000" w:rsidRPr="00E20DE0" w:rsidP="00E20DE0">
            <w:pPr>
              <w:pStyle w:val="ListBullet"/>
            </w:pPr>
            <w:r w:rsidRPr="00E20DE0">
              <w:t>BODMAS principle – order of operation</w:t>
            </w:r>
          </w:p>
          <w:p w:rsidR="00000000" w:rsidRPr="00E20DE0" w:rsidP="00E20DE0">
            <w:pPr>
              <w:pStyle w:val="ListBullet"/>
            </w:pPr>
            <w:r w:rsidRPr="00E20DE0">
              <w:t>metric units and conversions</w:t>
            </w:r>
          </w:p>
          <w:p w:rsidR="00000000" w:rsidRPr="00E20DE0" w:rsidP="00E20DE0">
            <w:pPr>
              <w:pStyle w:val="ListBullet"/>
            </w:pPr>
            <w:r w:rsidRPr="00E20DE0">
              <w:t>percentages</w:t>
            </w:r>
          </w:p>
          <w:p w:rsidR="00000000" w:rsidRPr="00E20DE0" w:rsidP="00E20DE0">
            <w:pPr>
              <w:pStyle w:val="ListBullet"/>
            </w:pPr>
            <w:r w:rsidRPr="00E20DE0">
              <w:t>ratio and proportions</w:t>
            </w:r>
          </w:p>
          <w:p w:rsidR="00000000" w:rsidRPr="00E20DE0" w:rsidP="00E20DE0">
            <w:pPr>
              <w:pStyle w:val="ListBullet"/>
            </w:pPr>
            <w:r w:rsidRPr="00E20DE0">
              <w:t>averages</w:t>
            </w:r>
          </w:p>
          <w:p w:rsidR="00000000" w:rsidRPr="00E20DE0" w:rsidP="00E20DE0">
            <w:pPr>
              <w:pStyle w:val="ListBullet"/>
            </w:pPr>
            <w:r w:rsidRPr="00E20DE0">
              <w:t>decimals and fractions</w:t>
            </w:r>
          </w:p>
          <w:p w:rsidR="00000000" w:rsidRPr="00E20DE0" w:rsidP="00E20DE0">
            <w:pPr>
              <w:pStyle w:val="ListBullet"/>
            </w:pPr>
            <w:r w:rsidRPr="00E20DE0">
              <w:t>rounding off and estimations</w:t>
            </w:r>
          </w:p>
          <w:p w:rsidR="00000000" w:rsidRPr="00E20DE0" w:rsidP="00E20DE0">
            <w:pPr>
              <w:pStyle w:val="ListBullet"/>
            </w:pPr>
            <w:r w:rsidRPr="00E20DE0">
              <w:t>reasons f</w:t>
            </w:r>
            <w:r w:rsidRPr="00E20DE0">
              <w:t>or ensuring that the units of each term are consistent with the formulae selected</w:t>
            </w:r>
          </w:p>
          <w:p w:rsidR="00000000" w:rsidRPr="00E20DE0" w:rsidP="00E20DE0">
            <w:pPr>
              <w:pStyle w:val="ListBullet"/>
            </w:pPr>
            <w:r w:rsidRPr="00E20DE0">
              <w:t>techniques for estimating approximate answers</w:t>
            </w:r>
          </w:p>
          <w:p w:rsidR="00000000" w:rsidRPr="00E20DE0" w:rsidP="00E20DE0">
            <w:pPr>
              <w:pStyle w:val="ListBullet"/>
            </w:pPr>
            <w:r w:rsidRPr="00E20DE0">
              <w:t>graphical representation of data</w:t>
            </w:r>
          </w:p>
          <w:p w:rsidR="00000000" w:rsidRPr="00E20DE0" w:rsidP="00E20DE0">
            <w:pPr>
              <w:pStyle w:val="ListBullet"/>
            </w:pPr>
            <w:r w:rsidRPr="00E20DE0">
              <w:t>procedures for drawing "lines of best fit"</w:t>
            </w:r>
          </w:p>
          <w:p w:rsidR="00000000" w:rsidRPr="00E20DE0" w:rsidP="00E20DE0">
            <w:pPr>
              <w:pStyle w:val="ListBullet"/>
            </w:pPr>
            <w:r w:rsidRPr="00E20DE0">
              <w:t>trends indicated by graphs or charts drawn including</w:t>
            </w:r>
            <w:r w:rsidRPr="00E20DE0">
              <w:t xml:space="preserve"> upper and lower limits</w:t>
            </w:r>
          </w:p>
        </w:tc>
      </w:tr>
    </w:tbl>
    <w:p w:rsidR="00000000" w:rsidRPr="00E20DE0" w:rsidP="00E20DE0">
      <w:pPr>
        <w:pStyle w:val="BodyText"/>
      </w:pPr>
    </w:p>
    <w:p w:rsidR="00000000" w:rsidRPr="00E20DE0" w:rsidP="00E20DE0">
      <w:pPr>
        <w:pStyle w:val="AllowPageBreak"/>
      </w:pPr>
    </w:p>
    <w:p w:rsidR="00000000" w:rsidRPr="00E20DE0" w:rsidP="00E20DE0">
      <w:pPr>
        <w:pStyle w:val="Heading1"/>
      </w:pPr>
      <w:bookmarkStart w:id="10" w:name="O_402823"/>
      <w:bookmarkEnd w:id="10"/>
      <w:r w:rsidRPr="00E20DE0">
        <w:t>Evidence Guide</w:t>
      </w:r>
    </w:p>
    <w:tbl>
      <w:tblPr>
        <w:tblW w:w="0" w:type="auto"/>
        <w:tblLayout w:type="fixed"/>
        <w:tblCellMar>
          <w:left w:w="62" w:type="dxa"/>
          <w:right w:w="62" w:type="dxa"/>
        </w:tblCellMar>
        <w:tblLook w:val="0000"/>
      </w:tblPr>
      <w:tblGrid>
        <w:gridCol w:w="2401"/>
        <w:gridCol w:w="5554"/>
      </w:tblGrid>
      <w:tr w:rsidTr="00E20DE0">
        <w:tblPrEx>
          <w:tblW w:w="0" w:type="auto"/>
          <w:tblLayout w:type="fixed"/>
          <w:tblCellMar>
            <w:left w:w="62" w:type="dxa"/>
            <w:right w:w="62" w:type="dxa"/>
          </w:tblCellMar>
          <w:tblLook w:val="0000"/>
        </w:tblPrEx>
        <w:tc>
          <w:tcPr>
            <w:tcW w:w="7955" w:type="dxa"/>
            <w:gridSpan w:val="2"/>
            <w:tcBorders>
              <w:top w:val="nil"/>
              <w:left w:val="nil"/>
              <w:bottom w:val="nil"/>
              <w:right w:val="nil"/>
            </w:tcBorders>
            <w:tcMar>
              <w:top w:w="0" w:type="dxa"/>
              <w:left w:w="62" w:type="dxa"/>
              <w:bottom w:w="0" w:type="dxa"/>
              <w:right w:w="62" w:type="dxa"/>
            </w:tcMar>
          </w:tcPr>
          <w:p w:rsidR="00000000" w:rsidP="00E20DE0">
            <w:pPr>
              <w:pStyle w:val="BodyText"/>
              <w:rPr>
                <w:lang w:val="en-NZ"/>
              </w:rPr>
            </w:pPr>
            <w:r w:rsidRPr="00E20DE0">
              <w:t>The evidence guide provides advice on assessment and must be read in conjunction with the Performance Criteria, Required Skills and Knowledge, the Range Statement and the Assessment Guidelines for t</w:t>
            </w:r>
            <w:r w:rsidRPr="00E20DE0">
              <w:t>he Training Package.</w:t>
            </w:r>
          </w:p>
        </w:tc>
      </w:tr>
      <w:tr w:rsidTr="00E20DE0">
        <w:tblPrEx>
          <w:tblW w:w="0" w:type="auto"/>
          <w:tblLayout w:type="fixed"/>
          <w:tblCellMar>
            <w:left w:w="62" w:type="dxa"/>
            <w:right w:w="62" w:type="dxa"/>
          </w:tblCellMar>
          <w:tblLook w:val="0000"/>
        </w:tblPrEx>
        <w:tc>
          <w:tcPr>
            <w:tcW w:w="2401" w:type="dxa"/>
            <w:tcBorders>
              <w:top w:val="nil"/>
              <w:left w:val="nil"/>
              <w:bottom w:val="nil"/>
              <w:right w:val="nil"/>
            </w:tcBorders>
            <w:tcMar>
              <w:top w:w="0" w:type="dxa"/>
              <w:left w:w="62" w:type="dxa"/>
              <w:bottom w:w="0" w:type="dxa"/>
              <w:right w:w="62" w:type="dxa"/>
            </w:tcMar>
          </w:tcPr>
          <w:p w:rsidR="00000000" w:rsidP="00E20DE0">
            <w:pPr>
              <w:pStyle w:val="BodyText"/>
              <w:rPr>
                <w:lang w:val="en-NZ"/>
              </w:rPr>
            </w:pPr>
            <w:r w:rsidRPr="00E20DE0">
              <w:rPr>
                <w:rStyle w:val="SpecialBold"/>
              </w:rPr>
              <w:t>Critical aspects for assessment and evidence required to demonstrate competency in this unit</w:t>
            </w:r>
          </w:p>
        </w:tc>
        <w:tc>
          <w:tcPr>
            <w:tcW w:w="5554" w:type="dxa"/>
            <w:tcBorders>
              <w:top w:val="nil"/>
              <w:left w:val="nil"/>
              <w:bottom w:val="nil"/>
              <w:right w:val="nil"/>
            </w:tcBorders>
            <w:tcMar>
              <w:top w:w="0" w:type="dxa"/>
              <w:left w:w="62" w:type="dxa"/>
              <w:bottom w:w="0" w:type="dxa"/>
              <w:right w:w="62" w:type="dxa"/>
            </w:tcMar>
          </w:tcPr>
          <w:p w:rsidR="00000000" w:rsidRPr="00E20DE0" w:rsidP="00E20DE0">
            <w:pPr>
              <w:pStyle w:val="BodyText"/>
            </w:pPr>
            <w:r w:rsidRPr="00E20DE0">
              <w:t>The candidate</w:t>
            </w:r>
            <w:r w:rsidRPr="00E20DE0">
              <w:rPr>
                <w:rStyle w:val="SpecialBold"/>
              </w:rPr>
              <w:t xml:space="preserve"> </w:t>
            </w:r>
            <w:r w:rsidRPr="00E20DE0">
              <w:t>should demonstrate the ability to:</w:t>
            </w:r>
          </w:p>
          <w:p w:rsidR="00000000" w:rsidRPr="00E20DE0" w:rsidP="00E20DE0">
            <w:pPr>
              <w:pStyle w:val="ListBullet"/>
            </w:pPr>
            <w:r w:rsidRPr="00E20DE0">
              <w:t>select appropriate mathematical processes for workplace tasks</w:t>
            </w:r>
          </w:p>
          <w:p w:rsidR="00000000" w:rsidRPr="00E20DE0" w:rsidP="00E20DE0">
            <w:pPr>
              <w:pStyle w:val="ListBullet"/>
            </w:pPr>
            <w:r w:rsidRPr="00E20DE0">
              <w:t>select and use appropriate electronic aids including calculators or computers</w:t>
            </w:r>
          </w:p>
          <w:p w:rsidR="00000000" w:rsidRPr="00E20DE0" w:rsidP="00E20DE0">
            <w:pPr>
              <w:pStyle w:val="ListBullet"/>
            </w:pPr>
            <w:r w:rsidRPr="00E20DE0">
              <w:t>carry out calculations</w:t>
            </w:r>
          </w:p>
          <w:p w:rsidR="00000000" w:rsidRPr="00E20DE0" w:rsidP="00E20DE0">
            <w:pPr>
              <w:pStyle w:val="ListBullet"/>
            </w:pPr>
            <w:r w:rsidRPr="00E20DE0">
              <w:t>estimate answers</w:t>
            </w:r>
          </w:p>
          <w:p w:rsidR="00000000" w:rsidP="00E20DE0">
            <w:pPr>
              <w:pStyle w:val="ListBullet"/>
              <w:rPr>
                <w:lang w:val="en-NZ"/>
              </w:rPr>
            </w:pPr>
            <w:r w:rsidRPr="00E20DE0">
              <w:t>interpret graphical representations of mathematical information</w:t>
            </w:r>
          </w:p>
        </w:tc>
      </w:tr>
      <w:tr w:rsidTr="00E20DE0">
        <w:tblPrEx>
          <w:tblW w:w="0" w:type="auto"/>
          <w:tblLayout w:type="fixed"/>
          <w:tblCellMar>
            <w:left w:w="62" w:type="dxa"/>
            <w:right w:w="62" w:type="dxa"/>
          </w:tblCellMar>
          <w:tblLook w:val="0000"/>
        </w:tblPrEx>
        <w:tc>
          <w:tcPr>
            <w:tcW w:w="2401" w:type="dxa"/>
            <w:tcBorders>
              <w:top w:val="nil"/>
              <w:left w:val="nil"/>
              <w:bottom w:val="nil"/>
              <w:right w:val="nil"/>
            </w:tcBorders>
            <w:tcMar>
              <w:top w:w="0" w:type="dxa"/>
              <w:left w:w="62" w:type="dxa"/>
              <w:bottom w:w="0" w:type="dxa"/>
              <w:right w:w="62" w:type="dxa"/>
            </w:tcMar>
          </w:tcPr>
          <w:p w:rsidR="00000000" w:rsidP="00E20DE0">
            <w:pPr>
              <w:pStyle w:val="BodyText"/>
              <w:rPr>
                <w:lang w:val="en-NZ"/>
              </w:rPr>
            </w:pPr>
            <w:r w:rsidRPr="00E20DE0">
              <w:rPr>
                <w:rStyle w:val="SpecialBold"/>
              </w:rPr>
              <w:t>Context of and specific resources for assessment</w:t>
            </w:r>
          </w:p>
        </w:tc>
        <w:tc>
          <w:tcPr>
            <w:tcW w:w="5554" w:type="dxa"/>
            <w:tcBorders>
              <w:top w:val="nil"/>
              <w:left w:val="nil"/>
              <w:bottom w:val="nil"/>
              <w:right w:val="nil"/>
            </w:tcBorders>
            <w:tcMar>
              <w:top w:w="0" w:type="dxa"/>
              <w:left w:w="62" w:type="dxa"/>
              <w:bottom w:w="0" w:type="dxa"/>
              <w:right w:w="62" w:type="dxa"/>
            </w:tcMar>
          </w:tcPr>
          <w:p w:rsidR="00000000" w:rsidRPr="00E20DE0" w:rsidP="00E20DE0">
            <w:pPr>
              <w:pStyle w:val="BodyText"/>
            </w:pPr>
            <w:r w:rsidRPr="00E20DE0">
              <w:t xml:space="preserve">Access to the workplace </w:t>
            </w:r>
            <w:r w:rsidRPr="00E20DE0">
              <w:t xml:space="preserve">and resources including: </w:t>
            </w:r>
          </w:p>
          <w:p w:rsidR="00000000" w:rsidRPr="00E20DE0" w:rsidP="00E20DE0">
            <w:pPr>
              <w:pStyle w:val="ListBullet"/>
            </w:pPr>
            <w:r w:rsidRPr="00E20DE0">
              <w:t>documentation that should normally be available in a water industry organisation</w:t>
            </w:r>
          </w:p>
          <w:p w:rsidR="00000000" w:rsidRPr="00E20DE0" w:rsidP="00E20DE0">
            <w:pPr>
              <w:pStyle w:val="ListBullet"/>
            </w:pPr>
            <w:r w:rsidRPr="00E20DE0">
              <w:t>relevant codes, standards, and government regulations.</w:t>
            </w:r>
          </w:p>
          <w:p w:rsidR="00000000" w:rsidRPr="00E20DE0" w:rsidP="00E20DE0">
            <w:pPr>
              <w:pStyle w:val="BodyText"/>
            </w:pPr>
            <w:r w:rsidRPr="00E20DE0">
              <w:t>Where applicable, physical resources should include equipment modified for people with disabilities.</w:t>
            </w:r>
          </w:p>
          <w:p w:rsidR="00000000" w:rsidRPr="00E20DE0" w:rsidP="00E20DE0">
            <w:pPr>
              <w:pStyle w:val="BodyText"/>
            </w:pPr>
            <w:r w:rsidRPr="00E20DE0">
              <w:t>Access must be provided to appropriate learning and/or assessment support when required.</w:t>
            </w:r>
          </w:p>
          <w:p w:rsidR="00000000" w:rsidRPr="00E20DE0" w:rsidP="00E20DE0">
            <w:pPr>
              <w:pStyle w:val="BodyText"/>
            </w:pPr>
            <w:r w:rsidRPr="00E20DE0">
              <w:t>Assessment processes and techniques must be culturally appropriate</w:t>
            </w:r>
            <w:r w:rsidRPr="00E20DE0">
              <w:t xml:space="preserve">, and appropriate to the language and literacy capacity of the candidate and the work being performed. </w:t>
            </w:r>
          </w:p>
          <w:p w:rsidR="00000000" w:rsidRPr="00E20DE0" w:rsidP="00E20DE0">
            <w:pPr>
              <w:pStyle w:val="BodyText"/>
            </w:pPr>
            <w:r w:rsidRPr="00E20DE0">
              <w:t>Validity and sufficiency of evidence requires that:</w:t>
            </w:r>
          </w:p>
          <w:p w:rsidR="00000000" w:rsidRPr="00E20DE0" w:rsidP="00E20DE0">
            <w:pPr>
              <w:pStyle w:val="ListBullet"/>
            </w:pPr>
            <w:r w:rsidRPr="00E20DE0">
              <w:t xml:space="preserve">competency will need to be demonstrated over a period of time reflecting the scope of the role and </w:t>
            </w:r>
            <w:r w:rsidRPr="00E20DE0">
              <w:t>the practical requirements of the workplace</w:t>
            </w:r>
          </w:p>
          <w:p w:rsidR="00000000" w:rsidRPr="00E20DE0" w:rsidP="00E20DE0">
            <w:pPr>
              <w:pStyle w:val="ListBullet"/>
            </w:pPr>
            <w:r w:rsidRPr="00E20DE0">
              <w:t>where the assessment is part of a structured learning experience the evidence collected must relate to a number of performances assessed at different points in time and separated by further learning and practice</w:t>
            </w:r>
          </w:p>
          <w:p w:rsidR="00000000" w:rsidRPr="00E20DE0" w:rsidP="00E20DE0">
            <w:pPr>
              <w:pStyle w:val="ListBullet"/>
            </w:pPr>
            <w:r w:rsidRPr="00E20DE0">
              <w:t>a decision of competence only taken at the point when the assessor has complete confidence in the person’s competence over time and in various contexts</w:t>
            </w:r>
          </w:p>
          <w:p w:rsidR="00000000" w:rsidRPr="00E20DE0" w:rsidP="00E20DE0">
            <w:pPr>
              <w:pStyle w:val="ListBullet"/>
            </w:pPr>
            <w:r w:rsidRPr="00E20DE0">
              <w:t>all assessment that is part of a structured learning experience must include a combination of direct, in</w:t>
            </w:r>
            <w:r w:rsidRPr="00E20DE0">
              <w:t>direct and supplementary evidence</w:t>
            </w:r>
          </w:p>
          <w:p w:rsidR="00000000" w:rsidRPr="00E20DE0" w:rsidP="00E20DE0">
            <w:pPr>
              <w:pStyle w:val="ListBullet"/>
            </w:pPr>
            <w:r w:rsidRPr="00E20DE0">
              <w:t>where assessment is for the purpose of recognition (RCC/RPL), the evidence provided will need to be authenticated and show that it represents competency demonstrated over a period of time</w:t>
            </w:r>
          </w:p>
          <w:p w:rsidR="00000000" w:rsidRPr="00E20DE0" w:rsidP="00E20DE0">
            <w:pPr>
              <w:pStyle w:val="ListBullet"/>
            </w:pPr>
            <w:r w:rsidRPr="00E20DE0">
              <w:t>assessment can be through simulate</w:t>
            </w:r>
            <w:r w:rsidRPr="00E20DE0">
              <w:t>d project-based activity and must include evidence relating to each of the elements in this unit.</w:t>
            </w:r>
          </w:p>
          <w:p w:rsidR="00000000" w:rsidP="00E20DE0">
            <w:pPr>
              <w:pStyle w:val="BodyText"/>
              <w:rPr>
                <w:lang w:val="en-NZ"/>
              </w:rPr>
            </w:pPr>
            <w:r w:rsidRPr="00E20DE0">
              <w:t>In all cases where practical assessment is used it will be combined with targeted questioning to assess the underpinning knowledge. Questioning will be undert</w:t>
            </w:r>
            <w:r w:rsidRPr="00E20DE0">
              <w:t>aken in a manner appropriate to the skill levels of the operator, any cultural issues that may affect responses to the questions, and reflecting the requirements of the competency and the work being performed.</w:t>
            </w:r>
          </w:p>
        </w:tc>
      </w:tr>
      <w:tr w:rsidTr="00E20DE0">
        <w:tblPrEx>
          <w:tblW w:w="0" w:type="auto"/>
          <w:tblLayout w:type="fixed"/>
          <w:tblCellMar>
            <w:left w:w="62" w:type="dxa"/>
            <w:right w:w="62" w:type="dxa"/>
          </w:tblCellMar>
          <w:tblLook w:val="0000"/>
        </w:tblPrEx>
        <w:tc>
          <w:tcPr>
            <w:tcW w:w="2401" w:type="dxa"/>
            <w:tcBorders>
              <w:top w:val="nil"/>
              <w:left w:val="nil"/>
              <w:bottom w:val="nil"/>
              <w:right w:val="nil"/>
            </w:tcBorders>
            <w:tcMar>
              <w:top w:w="0" w:type="dxa"/>
              <w:left w:w="62" w:type="dxa"/>
              <w:bottom w:w="0" w:type="dxa"/>
              <w:right w:w="62" w:type="dxa"/>
            </w:tcMar>
          </w:tcPr>
          <w:p w:rsidR="00000000" w:rsidP="00E20DE0">
            <w:pPr>
              <w:pStyle w:val="BodyText"/>
              <w:rPr>
                <w:lang w:val="en-NZ"/>
              </w:rPr>
            </w:pPr>
            <w:r w:rsidRPr="00E20DE0">
              <w:rPr>
                <w:rStyle w:val="SpecialBold"/>
              </w:rPr>
              <w:t>For consistency of assessment</w:t>
            </w:r>
          </w:p>
        </w:tc>
        <w:tc>
          <w:tcPr>
            <w:tcW w:w="5554" w:type="dxa"/>
            <w:tcBorders>
              <w:top w:val="nil"/>
              <w:left w:val="nil"/>
              <w:bottom w:val="nil"/>
              <w:right w:val="nil"/>
            </w:tcBorders>
            <w:tcMar>
              <w:top w:w="0" w:type="dxa"/>
              <w:left w:w="62" w:type="dxa"/>
              <w:bottom w:w="0" w:type="dxa"/>
              <w:right w:w="62" w:type="dxa"/>
            </w:tcMar>
          </w:tcPr>
          <w:p w:rsidR="00000000" w:rsidRPr="00E20DE0" w:rsidP="00E20DE0">
            <w:pPr>
              <w:pStyle w:val="BodyText"/>
            </w:pPr>
            <w:r w:rsidRPr="00E20DE0">
              <w:t>Evidence must be gathered over time in a range of contexts to ensure the person can achieve the unit outcome and apply the competency in different situations or environments</w:t>
            </w:r>
          </w:p>
        </w:tc>
      </w:tr>
    </w:tbl>
    <w:p w:rsidR="00F41E4C" w:rsidP="00E20DE0">
      <w:pPr>
        <w:pStyle w:val="BodyText"/>
      </w:pPr>
    </w:p>
    <w:p w:rsidR="00F41E4C" w:rsidP="00E20DE0">
      <w:pPr>
        <w:pStyle w:val="BodyText"/>
      </w:pPr>
    </w:p>
    <w:p w:rsidR="00000000" w:rsidRPr="00E20DE0" w:rsidP="00E20DE0">
      <w:pPr>
        <w:pStyle w:val="Heading1"/>
      </w:pPr>
      <w:bookmarkStart w:id="11" w:name="O_402824"/>
      <w:bookmarkEnd w:id="11"/>
      <w:r w:rsidRPr="00E20DE0">
        <w:t>Range Statement</w:t>
      </w:r>
    </w:p>
    <w:tbl>
      <w:tblPr>
        <w:tblW w:w="9292" w:type="dxa"/>
        <w:tblLayout w:type="fixed"/>
        <w:tblCellMar>
          <w:left w:w="62" w:type="dxa"/>
          <w:right w:w="62" w:type="dxa"/>
        </w:tblCellMar>
        <w:tblLook w:val="0000"/>
      </w:tblPr>
      <w:tblGrid>
        <w:gridCol w:w="2596"/>
        <w:gridCol w:w="6696"/>
      </w:tblGrid>
      <w:tr w:rsidTr="00E20DE0">
        <w:tblPrEx>
          <w:tblW w:w="9292" w:type="dxa"/>
          <w:tblLayout w:type="fixed"/>
          <w:tblCellMar>
            <w:left w:w="62" w:type="dxa"/>
            <w:right w:w="62" w:type="dxa"/>
          </w:tblCellMar>
          <w:tblLook w:val="0000"/>
        </w:tblPrEx>
        <w:tc>
          <w:tcPr>
            <w:tcW w:w="9292" w:type="dxa"/>
            <w:gridSpan w:val="2"/>
            <w:tcBorders>
              <w:top w:val="nil"/>
              <w:left w:val="nil"/>
              <w:bottom w:val="nil"/>
              <w:right w:val="nil"/>
            </w:tcBorders>
            <w:tcMar>
              <w:top w:w="0" w:type="dxa"/>
              <w:left w:w="62" w:type="dxa"/>
              <w:bottom w:w="0" w:type="dxa"/>
              <w:right w:w="62" w:type="dxa"/>
            </w:tcMar>
          </w:tcPr>
          <w:p w:rsidR="00000000" w:rsidP="00E20DE0">
            <w:pPr>
              <w:pStyle w:val="BodyText"/>
              <w:rPr>
                <w:lang w:val="en-NZ"/>
              </w:rPr>
            </w:pPr>
            <w:r w:rsidRPr="00E20DE0">
              <w:t>The range statement relates to the unit of com</w:t>
            </w:r>
            <w:r w:rsidRPr="00E20DE0">
              <w:t xml:space="preserve">petency as a whole. It allows for different work environments and situations that may affect performance. </w:t>
            </w:r>
            <w:r w:rsidRPr="00E20DE0">
              <w:rPr>
                <w:rStyle w:val="BoldandItalics"/>
              </w:rPr>
              <w:t>Bold italicised</w:t>
            </w:r>
            <w:r w:rsidRPr="00E20DE0">
              <w:t xml:space="preserve"> wording, if used in the Performance Criteria, is detailed below. Add any essential operating conditions that may be present with train</w:t>
            </w:r>
            <w:r w:rsidRPr="00E20DE0">
              <w:t>ing and assessment depending on the work situation, needs if the candidate, accessibility of the item, and local industry and regional contexts.</w:t>
            </w:r>
          </w:p>
        </w:tc>
      </w:tr>
      <w:tr w:rsidTr="00E20DE0">
        <w:tblPrEx>
          <w:tblW w:w="9292" w:type="dxa"/>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E20DE0">
            <w:pPr>
              <w:pStyle w:val="BodyTextRight"/>
              <w:rPr>
                <w:lang w:val="en-NZ"/>
              </w:rPr>
            </w:pPr>
            <w:r w:rsidRPr="00E20DE0">
              <w:rPr>
                <w:rStyle w:val="BoldandItalics"/>
              </w:rPr>
              <w:t xml:space="preserve">Arithmetic operations </w:t>
            </w:r>
            <w:r w:rsidRPr="00E20DE0">
              <w:t>may include:</w:t>
            </w:r>
          </w:p>
        </w:tc>
        <w:tc>
          <w:tcPr>
            <w:tcW w:w="6696" w:type="dxa"/>
            <w:tcBorders>
              <w:top w:val="nil"/>
              <w:left w:val="nil"/>
              <w:bottom w:val="nil"/>
              <w:right w:val="nil"/>
            </w:tcBorders>
            <w:tcMar>
              <w:top w:w="0" w:type="dxa"/>
              <w:left w:w="62" w:type="dxa"/>
              <w:bottom w:w="0" w:type="dxa"/>
              <w:right w:w="62" w:type="dxa"/>
            </w:tcMar>
          </w:tcPr>
          <w:p w:rsidR="00000000" w:rsidRPr="00E20DE0" w:rsidP="00E20DE0">
            <w:pPr>
              <w:pStyle w:val="ListBullet"/>
            </w:pPr>
            <w:r w:rsidRPr="00E20DE0">
              <w:t>addition, subtraction, multiplication and division</w:t>
            </w:r>
          </w:p>
          <w:p w:rsidR="00000000" w:rsidRPr="00E20DE0" w:rsidP="00E20DE0">
            <w:pPr>
              <w:pStyle w:val="ListBullet"/>
            </w:pPr>
            <w:r w:rsidRPr="00E20DE0">
              <w:t>manipulation of decimals, fractions and mixed numbers</w:t>
            </w:r>
          </w:p>
          <w:p w:rsidR="00000000" w:rsidRPr="00E20DE0" w:rsidP="00E20DE0">
            <w:pPr>
              <w:pStyle w:val="ListBullet"/>
            </w:pPr>
            <w:r w:rsidRPr="00E20DE0">
              <w:t>percentages</w:t>
            </w:r>
          </w:p>
          <w:p w:rsidR="00000000" w:rsidP="00E20DE0">
            <w:pPr>
              <w:pStyle w:val="ListBullet"/>
              <w:rPr>
                <w:lang w:val="en-NZ"/>
              </w:rPr>
            </w:pPr>
            <w:r w:rsidRPr="00E20DE0">
              <w:t>proportions and ratios</w:t>
            </w:r>
          </w:p>
        </w:tc>
      </w:tr>
      <w:tr w:rsidTr="00E20DE0">
        <w:tblPrEx>
          <w:tblW w:w="9292" w:type="dxa"/>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E20DE0">
            <w:pPr>
              <w:pStyle w:val="BodyTextRight"/>
              <w:rPr>
                <w:lang w:val="en-NZ"/>
              </w:rPr>
            </w:pPr>
            <w:r w:rsidRPr="00E20DE0">
              <w:rPr>
                <w:rStyle w:val="BoldandItalics"/>
              </w:rPr>
              <w:t>Units of measurement</w:t>
            </w:r>
            <w:r w:rsidRPr="00E20DE0">
              <w:t xml:space="preserve"> may include:</w:t>
            </w:r>
          </w:p>
        </w:tc>
        <w:tc>
          <w:tcPr>
            <w:tcW w:w="6696" w:type="dxa"/>
            <w:tcBorders>
              <w:top w:val="nil"/>
              <w:left w:val="nil"/>
              <w:bottom w:val="nil"/>
              <w:right w:val="nil"/>
            </w:tcBorders>
            <w:tcMar>
              <w:top w:w="0" w:type="dxa"/>
              <w:left w:w="62" w:type="dxa"/>
              <w:bottom w:w="0" w:type="dxa"/>
              <w:right w:w="62" w:type="dxa"/>
            </w:tcMar>
          </w:tcPr>
          <w:p w:rsidR="00000000" w:rsidRPr="00E20DE0" w:rsidP="00E20DE0">
            <w:pPr>
              <w:pStyle w:val="ListBullet"/>
            </w:pPr>
            <w:r w:rsidRPr="00E20DE0">
              <w:t>time - second</w:t>
            </w:r>
          </w:p>
          <w:p w:rsidR="00000000" w:rsidRPr="00E20DE0" w:rsidP="00E20DE0">
            <w:pPr>
              <w:pStyle w:val="ListBullet"/>
            </w:pPr>
            <w:r w:rsidRPr="00E20DE0">
              <w:t>length -metre</w:t>
            </w:r>
          </w:p>
          <w:p w:rsidR="00000000" w:rsidRPr="00E20DE0" w:rsidP="00E20DE0">
            <w:pPr>
              <w:pStyle w:val="ListBullet"/>
            </w:pPr>
            <w:r w:rsidRPr="00E20DE0">
              <w:t>mass – kilogram</w:t>
            </w:r>
          </w:p>
          <w:p w:rsidR="00000000" w:rsidRPr="00E20DE0" w:rsidP="00E20DE0">
            <w:pPr>
              <w:pStyle w:val="ListBullet"/>
            </w:pPr>
            <w:r w:rsidRPr="00E20DE0">
              <w:t>volume – cubic metre</w:t>
            </w:r>
          </w:p>
          <w:p w:rsidR="00000000" w:rsidP="00E20DE0">
            <w:pPr>
              <w:pStyle w:val="ListBullet"/>
              <w:rPr>
                <w:lang w:val="en-NZ"/>
              </w:rPr>
            </w:pPr>
            <w:r w:rsidRPr="00E20DE0">
              <w:t>pressure - Pascal</w:t>
            </w:r>
          </w:p>
        </w:tc>
      </w:tr>
      <w:tr w:rsidTr="00E20DE0">
        <w:tblPrEx>
          <w:tblW w:w="9292" w:type="dxa"/>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P="00E20DE0">
            <w:pPr>
              <w:pStyle w:val="BodyTextRight"/>
              <w:rPr>
                <w:lang w:val="en-NZ"/>
              </w:rPr>
            </w:pPr>
            <w:r w:rsidRPr="00E20DE0">
              <w:rPr>
                <w:rStyle w:val="BoldandItalics"/>
              </w:rPr>
              <w:t xml:space="preserve">Calculations </w:t>
            </w:r>
            <w:r w:rsidRPr="00E20DE0">
              <w:t>may include:</w:t>
            </w:r>
          </w:p>
        </w:tc>
        <w:tc>
          <w:tcPr>
            <w:tcW w:w="6696" w:type="dxa"/>
            <w:tcBorders>
              <w:top w:val="nil"/>
              <w:left w:val="nil"/>
              <w:bottom w:val="nil"/>
              <w:right w:val="nil"/>
            </w:tcBorders>
            <w:tcMar>
              <w:top w:w="0" w:type="dxa"/>
              <w:left w:w="62" w:type="dxa"/>
              <w:bottom w:w="0" w:type="dxa"/>
              <w:right w:w="62" w:type="dxa"/>
            </w:tcMar>
          </w:tcPr>
          <w:p w:rsidR="00000000" w:rsidRPr="00E20DE0" w:rsidP="00E20DE0">
            <w:pPr>
              <w:pStyle w:val="ListBullet"/>
            </w:pPr>
            <w:r w:rsidRPr="00E20DE0">
              <w:t xml:space="preserve">areas and volumes </w:t>
            </w:r>
          </w:p>
          <w:p w:rsidR="00000000" w:rsidRPr="00E20DE0" w:rsidP="00E20DE0">
            <w:pPr>
              <w:pStyle w:val="ListBullet"/>
            </w:pPr>
            <w:r w:rsidRPr="00E20DE0">
              <w:t>p</w:t>
            </w:r>
            <w:r w:rsidRPr="00E20DE0">
              <w:t>erimeter and circumference</w:t>
            </w:r>
          </w:p>
          <w:p w:rsidR="00000000" w:rsidRPr="00E20DE0" w:rsidP="00E20DE0">
            <w:pPr>
              <w:pStyle w:val="ListBullet"/>
            </w:pPr>
            <w:r w:rsidRPr="00E20DE0">
              <w:t>detention time</w:t>
            </w:r>
          </w:p>
          <w:p w:rsidR="00000000" w:rsidRPr="00E20DE0" w:rsidP="00E20DE0">
            <w:pPr>
              <w:pStyle w:val="ListBullet"/>
            </w:pPr>
            <w:r w:rsidRPr="00E20DE0">
              <w:t>flow rate</w:t>
            </w:r>
          </w:p>
          <w:p w:rsidR="00000000" w:rsidRPr="00E20DE0" w:rsidP="00E20DE0">
            <w:pPr>
              <w:pStyle w:val="ListBullet"/>
            </w:pPr>
            <w:r w:rsidRPr="00E20DE0">
              <w:t>loading rates</w:t>
            </w:r>
          </w:p>
          <w:p w:rsidR="00000000" w:rsidRPr="00E20DE0" w:rsidP="00E20DE0">
            <w:pPr>
              <w:pStyle w:val="ListBullet"/>
            </w:pPr>
            <w:r w:rsidRPr="00E20DE0">
              <w:t>chemical dosages</w:t>
            </w:r>
          </w:p>
          <w:p w:rsidR="00000000" w:rsidP="00E20DE0">
            <w:pPr>
              <w:pStyle w:val="ListBullet"/>
              <w:rPr>
                <w:lang w:val="en-NZ"/>
              </w:rPr>
            </w:pPr>
            <w:r w:rsidRPr="00E20DE0">
              <w:t>laboratory results</w:t>
            </w:r>
          </w:p>
        </w:tc>
      </w:tr>
      <w:tr w:rsidTr="00E20DE0">
        <w:tblPrEx>
          <w:tblW w:w="9292" w:type="dxa"/>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rsidRPr="00E20DE0" w:rsidP="00E20DE0">
            <w:pPr>
              <w:pStyle w:val="BodyTextRight"/>
            </w:pPr>
            <w:r w:rsidRPr="00E20DE0">
              <w:rPr>
                <w:rStyle w:val="BoldandItalics"/>
              </w:rPr>
              <w:t>Graphs and charts</w:t>
            </w:r>
            <w:r w:rsidRPr="00E20DE0">
              <w:t xml:space="preserve"> may include: </w:t>
            </w:r>
          </w:p>
          <w:p w:rsidR="00000000" w:rsidP="00E20DE0">
            <w:pPr>
              <w:pStyle w:val="BodyTextRight"/>
              <w:rPr>
                <w:lang w:val="en-NZ"/>
              </w:rPr>
            </w:pPr>
          </w:p>
        </w:tc>
        <w:tc>
          <w:tcPr>
            <w:tcW w:w="6696" w:type="dxa"/>
            <w:tcBorders>
              <w:top w:val="nil"/>
              <w:left w:val="nil"/>
              <w:bottom w:val="nil"/>
              <w:right w:val="nil"/>
            </w:tcBorders>
            <w:tcMar>
              <w:top w:w="0" w:type="dxa"/>
              <w:left w:w="62" w:type="dxa"/>
              <w:bottom w:w="0" w:type="dxa"/>
              <w:right w:w="62" w:type="dxa"/>
            </w:tcMar>
          </w:tcPr>
          <w:p w:rsidR="00000000" w:rsidRPr="00E20DE0" w:rsidP="00E20DE0">
            <w:pPr>
              <w:pStyle w:val="ListBullet"/>
            </w:pPr>
            <w:r w:rsidRPr="00E20DE0">
              <w:t>bar and line graphs</w:t>
            </w:r>
          </w:p>
          <w:p w:rsidR="00000000" w:rsidRPr="00E20DE0" w:rsidP="00E20DE0">
            <w:pPr>
              <w:pStyle w:val="ListBullet"/>
            </w:pPr>
            <w:r w:rsidRPr="00E20DE0">
              <w:t>multi parameter graphs</w:t>
            </w:r>
          </w:p>
          <w:p w:rsidR="00000000" w:rsidRPr="00E20DE0" w:rsidP="00E20DE0">
            <w:pPr>
              <w:pStyle w:val="ListBullet"/>
            </w:pPr>
            <w:r w:rsidRPr="00E20DE0">
              <w:t>pie charts</w:t>
            </w:r>
          </w:p>
          <w:p w:rsidR="00000000" w:rsidRPr="00E20DE0" w:rsidP="00E20DE0">
            <w:pPr>
              <w:pStyle w:val="ListBullet"/>
            </w:pPr>
            <w:r w:rsidRPr="00E20DE0">
              <w:t>control charts</w:t>
            </w:r>
          </w:p>
        </w:tc>
      </w:tr>
    </w:tbl>
    <w:p w:rsidR="00000000" w:rsidRPr="00E20DE0" w:rsidP="00E20DE0">
      <w:pPr>
        <w:pStyle w:val="BodyText"/>
      </w:pPr>
    </w:p>
    <w:p w:rsidR="00000000" w:rsidRPr="00E20DE0" w:rsidP="00E20DE0">
      <w:pPr>
        <w:pStyle w:val="AllowPageBreak"/>
      </w:pPr>
    </w:p>
    <w:p w:rsidR="00000000" w:rsidRPr="00E20DE0" w:rsidP="00E20DE0">
      <w:pPr>
        <w:pStyle w:val="Heading1"/>
      </w:pPr>
      <w:bookmarkStart w:id="12" w:name="O_402825"/>
      <w:bookmarkEnd w:id="12"/>
      <w:r w:rsidRPr="00E20DE0">
        <w:t>Unit Sector(s)</w:t>
      </w:r>
    </w:p>
    <w:p w:rsidR="00000000" w:rsidRPr="00E20DE0" w:rsidP="00E20DE0">
      <w:pPr>
        <w:pStyle w:val="BodyText"/>
      </w:pPr>
      <w:r w:rsidRPr="00E20DE0">
        <w:t>Not applicable.</w:t>
      </w:r>
    </w:p>
    <w:p w:rsidR="00000000" w:rsidRPr="00E20DE0" w:rsidP="00E20DE0">
      <w:pPr>
        <w:pStyle w:val="AllowPageBreak"/>
      </w:pPr>
    </w:p>
    <w:p w:rsidR="00000000" w:rsidRPr="00E20DE0" w:rsidP="00E20DE0">
      <w:pPr>
        <w:pStyle w:val="Heading1"/>
      </w:pPr>
      <w:bookmarkStart w:id="13" w:name="O_433760"/>
      <w:bookmarkEnd w:id="13"/>
      <w:r w:rsidRPr="00E20DE0">
        <w:t>Competency Field</w:t>
      </w:r>
    </w:p>
    <w:p w:rsidR="00000000" w:rsidRPr="00E20DE0" w:rsidP="00E20DE0">
      <w:pPr>
        <w:pStyle w:val="BodyText"/>
      </w:pPr>
      <w:r w:rsidRPr="00E20DE0">
        <w:t>Common.</w:t>
      </w:r>
    </w:p>
    <w:p w:rsidR="00000000" w:rsidRPr="00E20DE0" w:rsidP="00E20DE0"/>
    <w:sectPr w:rsidSect="00E20D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D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1E4C" w:rsidP="00F41E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D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E4C" w:rsidP="00E20D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41E4C" w:rsidP="00E20D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41E4C" w:rsidP="00E20D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D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1E4C" w:rsidP="00F41E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D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E4C" w:rsidP="00E20DE0">
    <w:pPr>
      <w:pStyle w:val="Header"/>
      <w:framePr w:wrap="around"/>
    </w:pPr>
    <w:r>
      <w:fldChar w:fldCharType="begin"/>
    </w:r>
    <w:r>
      <w:instrText xml:space="preserve"> TITLE   \* MERGEFORMAT </w:instrText>
    </w:r>
    <w:r>
      <w:fldChar w:fldCharType="separate"/>
    </w:r>
    <w:r>
      <w:t>NWP370 Perform water industry calculations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1E4C" w:rsidP="00E20D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F039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424D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D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0DE0"/>
    <w:pPr>
      <w:spacing w:before="360" w:after="60"/>
      <w:outlineLvl w:val="0"/>
    </w:pPr>
    <w:rPr>
      <w:sz w:val="32"/>
    </w:rPr>
  </w:style>
  <w:style w:type="paragraph" w:styleId="Heading2">
    <w:name w:val="heading 2"/>
    <w:basedOn w:val="HeadingBase"/>
    <w:next w:val="BodyText"/>
    <w:link w:val="Heading2Char"/>
    <w:qFormat/>
    <w:rsid w:val="00E20DE0"/>
    <w:pPr>
      <w:keepLines/>
      <w:spacing w:before="240" w:after="120"/>
      <w:outlineLvl w:val="1"/>
    </w:pPr>
    <w:rPr>
      <w:sz w:val="28"/>
      <w:szCs w:val="40"/>
    </w:rPr>
  </w:style>
  <w:style w:type="paragraph" w:styleId="Heading3">
    <w:name w:val="heading 3"/>
    <w:basedOn w:val="HeadingBase"/>
    <w:next w:val="BodyText"/>
    <w:link w:val="Heading3Char"/>
    <w:qFormat/>
    <w:rsid w:val="00E20DE0"/>
    <w:pPr>
      <w:spacing w:before="180" w:after="120"/>
      <w:outlineLvl w:val="2"/>
    </w:pPr>
    <w:rPr>
      <w:spacing w:val="-10"/>
      <w:kern w:val="32"/>
    </w:rPr>
  </w:style>
  <w:style w:type="paragraph" w:styleId="Heading4">
    <w:name w:val="heading 4"/>
    <w:basedOn w:val="HeadingBase"/>
    <w:next w:val="BodyText"/>
    <w:link w:val="Heading4Char"/>
    <w:qFormat/>
    <w:rsid w:val="00E20DE0"/>
    <w:pPr>
      <w:spacing w:before="160" w:after="120"/>
      <w:outlineLvl w:val="3"/>
    </w:pPr>
    <w:rPr>
      <w:sz w:val="22"/>
    </w:rPr>
  </w:style>
  <w:style w:type="paragraph" w:styleId="Heading5">
    <w:name w:val="heading 5"/>
    <w:basedOn w:val="HeadingBase"/>
    <w:next w:val="Normal"/>
    <w:link w:val="Heading5Char"/>
    <w:qFormat/>
    <w:rsid w:val="00E20DE0"/>
    <w:pPr>
      <w:spacing w:before="80"/>
      <w:outlineLvl w:val="4"/>
    </w:pPr>
    <w:rPr>
      <w:color w:val="918585"/>
      <w:sz w:val="20"/>
    </w:rPr>
  </w:style>
  <w:style w:type="paragraph" w:styleId="Heading6">
    <w:name w:val="heading 6"/>
    <w:basedOn w:val="HeadingBase"/>
    <w:next w:val="Normal"/>
    <w:link w:val="Heading6Char"/>
    <w:qFormat/>
    <w:rsid w:val="00E20DE0"/>
    <w:pPr>
      <w:spacing w:before="60"/>
      <w:outlineLvl w:val="5"/>
    </w:pPr>
    <w:rPr>
      <w:color w:val="918585"/>
      <w:sz w:val="20"/>
    </w:rPr>
  </w:style>
  <w:style w:type="paragraph" w:styleId="Heading7">
    <w:name w:val="heading 7"/>
    <w:basedOn w:val="Normal"/>
    <w:next w:val="Normal"/>
    <w:link w:val="Heading7Char"/>
    <w:qFormat/>
    <w:rsid w:val="00E20DE0"/>
    <w:pPr>
      <w:ind w:left="720"/>
      <w:outlineLvl w:val="6"/>
    </w:pPr>
    <w:rPr>
      <w:i/>
    </w:rPr>
  </w:style>
  <w:style w:type="paragraph" w:styleId="Heading8">
    <w:name w:val="heading 8"/>
    <w:basedOn w:val="Normal"/>
    <w:next w:val="Normal"/>
    <w:link w:val="Heading8Char"/>
    <w:qFormat/>
    <w:rsid w:val="00E20DE0"/>
    <w:pPr>
      <w:ind w:left="720"/>
      <w:outlineLvl w:val="7"/>
    </w:pPr>
    <w:rPr>
      <w:i/>
    </w:rPr>
  </w:style>
  <w:style w:type="paragraph" w:styleId="Heading9">
    <w:name w:val="heading 9"/>
    <w:basedOn w:val="Normal"/>
    <w:next w:val="Normal"/>
    <w:link w:val="Heading9Char"/>
    <w:qFormat/>
    <w:rsid w:val="00E20DE0"/>
    <w:pPr>
      <w:ind w:left="720"/>
      <w:outlineLvl w:val="8"/>
    </w:pPr>
    <w:rPr>
      <w:i/>
    </w:rPr>
  </w:style>
  <w:style w:type="character" w:default="1" w:styleId="DefaultParagraphFont">
    <w:name w:val="Default Paragraph Font"/>
    <w:uiPriority w:val="1"/>
    <w:unhideWhenUsed/>
    <w:rsid w:val="00E20D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DE0"/>
  </w:style>
  <w:style w:type="character" w:customStyle="1" w:styleId="Heading1Char">
    <w:name w:val="Heading 1 Char"/>
    <w:basedOn w:val="DefaultParagraphFont"/>
    <w:link w:val="Heading1"/>
    <w:rsid w:val="00E20DE0"/>
    <w:rPr>
      <w:rFonts w:ascii="Times New Roman" w:eastAsia="Times New Roman" w:hAnsi="Times New Roman" w:cs="Times New Roman"/>
      <w:b/>
      <w:sz w:val="32"/>
      <w:szCs w:val="20"/>
      <w:lang w:eastAsia="en-US"/>
    </w:rPr>
  </w:style>
  <w:style w:type="paragraph" w:styleId="BodyText">
    <w:name w:val="Body Text"/>
    <w:basedOn w:val="Normal"/>
    <w:link w:val="BodyTextChar"/>
    <w:rsid w:val="00E20D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0DE0"/>
    <w:rPr>
      <w:rFonts w:ascii="Times New Roman" w:eastAsia="Times New Roman" w:hAnsi="Times New Roman" w:cs="Times New Roman"/>
      <w:sz w:val="24"/>
      <w:lang w:val="en-US" w:eastAsia="en-US"/>
    </w:rPr>
  </w:style>
  <w:style w:type="paragraph" w:styleId="Footer">
    <w:name w:val="footer"/>
    <w:basedOn w:val="Normal"/>
    <w:link w:val="FooterChar"/>
    <w:rsid w:val="00E20D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DE0"/>
    <w:rPr>
      <w:rFonts w:ascii="Times New Roman" w:eastAsia="Times New Roman" w:hAnsi="Times New Roman" w:cs="Times New Roman"/>
      <w:sz w:val="16"/>
      <w:lang w:val="en-US" w:eastAsia="en-US"/>
    </w:rPr>
  </w:style>
  <w:style w:type="paragraph" w:styleId="List">
    <w:name w:val="List"/>
    <w:basedOn w:val="BodyText"/>
    <w:next w:val="BodyText"/>
    <w:rsid w:val="00E20DE0"/>
    <w:pPr>
      <w:tabs>
        <w:tab w:val="left" w:pos="340"/>
      </w:tabs>
      <w:spacing w:before="60" w:after="60"/>
      <w:ind w:left="340" w:hanging="340"/>
    </w:pPr>
  </w:style>
  <w:style w:type="paragraph" w:styleId="ListBullet">
    <w:name w:val="List Bullet"/>
    <w:basedOn w:val="List"/>
    <w:rsid w:val="00E20DE0"/>
    <w:pPr>
      <w:numPr>
        <w:numId w:val="12"/>
      </w:numPr>
      <w:tabs>
        <w:tab w:val="clear" w:pos="340"/>
      </w:tabs>
      <w:spacing w:before="40" w:after="40"/>
    </w:pPr>
  </w:style>
  <w:style w:type="character" w:customStyle="1" w:styleId="SpecialBold">
    <w:name w:val="Special Bold"/>
    <w:basedOn w:val="DefaultParagraphFont"/>
    <w:rsid w:val="00E20DE0"/>
    <w:rPr>
      <w:b/>
      <w:spacing w:val="0"/>
    </w:rPr>
  </w:style>
  <w:style w:type="paragraph" w:styleId="Header">
    <w:name w:val="header"/>
    <w:basedOn w:val="Normal"/>
    <w:link w:val="HeaderChar"/>
    <w:rsid w:val="00E20D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DE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20DE0"/>
    <w:rPr>
      <w:i/>
    </w:rPr>
  </w:style>
  <w:style w:type="paragraph" w:customStyle="1" w:styleId="SuperHeading">
    <w:name w:val="SuperHeading"/>
    <w:basedOn w:val="Normal"/>
    <w:rsid w:val="00E20DE0"/>
    <w:pPr>
      <w:spacing w:before="240" w:after="120"/>
      <w:outlineLvl w:val="0"/>
    </w:pPr>
    <w:rPr>
      <w:rFonts w:ascii="Times New Roman" w:hAnsi="Times New Roman"/>
      <w:b/>
      <w:sz w:val="28"/>
    </w:rPr>
  </w:style>
  <w:style w:type="paragraph" w:customStyle="1" w:styleId="BodyTextRight">
    <w:name w:val="Body Text Right"/>
    <w:basedOn w:val="BodyText"/>
    <w:rsid w:val="00E20DE0"/>
    <w:pPr>
      <w:spacing w:before="0" w:after="0"/>
      <w:jc w:val="right"/>
    </w:pPr>
  </w:style>
  <w:style w:type="paragraph" w:customStyle="1" w:styleId="AllowPageBreak">
    <w:name w:val="AllowPageBreak"/>
    <w:rsid w:val="00E20D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20DE0"/>
    <w:rPr>
      <w:b/>
      <w:i/>
      <w:u w:val="none"/>
    </w:rPr>
  </w:style>
  <w:style w:type="character" w:customStyle="1" w:styleId="Heading2Char">
    <w:name w:val="Heading 2 Char"/>
    <w:basedOn w:val="DefaultParagraphFont"/>
    <w:link w:val="Heading2"/>
    <w:rsid w:val="00E20D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D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0D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0D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D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D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0D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0DE0"/>
    <w:rPr>
      <w:rFonts w:ascii="Courier New" w:eastAsia="Times New Roman" w:hAnsi="Courier New" w:cs="Times New Roman"/>
      <w:i/>
      <w:szCs w:val="20"/>
      <w:lang w:val="en-US" w:eastAsia="en-US"/>
    </w:rPr>
  </w:style>
  <w:style w:type="paragraph" w:customStyle="1" w:styleId="HeadingBase">
    <w:name w:val="Heading Base"/>
    <w:rsid w:val="00E20D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DE0"/>
    <w:pPr>
      <w:tabs>
        <w:tab w:val="right" w:leader="dot" w:pos="9072"/>
      </w:tabs>
      <w:ind w:left="567"/>
    </w:pPr>
    <w:rPr>
      <w:szCs w:val="22"/>
    </w:rPr>
  </w:style>
  <w:style w:type="paragraph" w:customStyle="1" w:styleId="TOCBase">
    <w:name w:val="TOC Base"/>
    <w:rsid w:val="00E20D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DE0"/>
    <w:pPr>
      <w:tabs>
        <w:tab w:val="right" w:leader="dot" w:pos="9072"/>
      </w:tabs>
      <w:spacing w:before="40" w:after="40"/>
      <w:ind w:left="284"/>
    </w:pPr>
    <w:rPr>
      <w:rFonts w:ascii="Times New Roman" w:hAnsi="Times New Roman"/>
    </w:rPr>
  </w:style>
  <w:style w:type="paragraph" w:styleId="TOC1">
    <w:name w:val="toc 1"/>
    <w:basedOn w:val="TOCBase"/>
    <w:next w:val="Normal"/>
    <w:rsid w:val="00E20D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0DE0"/>
    <w:pPr>
      <w:spacing w:before="5040"/>
      <w:jc w:val="center"/>
    </w:pPr>
    <w:rPr>
      <w:sz w:val="48"/>
      <w:szCs w:val="72"/>
      <w:lang w:val="en-US"/>
    </w:rPr>
  </w:style>
  <w:style w:type="character" w:customStyle="1" w:styleId="TitleChar">
    <w:name w:val="Title Char"/>
    <w:basedOn w:val="DefaultParagraphFont"/>
    <w:link w:val="Title"/>
    <w:rsid w:val="00E20D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DE0"/>
    <w:pPr>
      <w:tabs>
        <w:tab w:val="left" w:pos="3600"/>
        <w:tab w:val="left" w:pos="3958"/>
      </w:tabs>
    </w:pPr>
  </w:style>
  <w:style w:type="paragraph" w:customStyle="1" w:styleId="Note">
    <w:name w:val="Note"/>
    <w:basedOn w:val="BodyText"/>
    <w:rsid w:val="00E20D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DE0"/>
    <w:pPr>
      <w:framePr w:wrap="auto" w:hAnchor="text" w:y="6049"/>
    </w:pPr>
    <w:rPr>
      <w:color w:val="000000"/>
      <w:sz w:val="40"/>
    </w:rPr>
  </w:style>
  <w:style w:type="paragraph" w:customStyle="1" w:styleId="TOCTitle">
    <w:name w:val="TOCTitle"/>
    <w:basedOn w:val="Heading1"/>
    <w:rsid w:val="00E20DE0"/>
    <w:pPr>
      <w:spacing w:after="240"/>
      <w:jc w:val="center"/>
      <w:outlineLvl w:val="9"/>
    </w:pPr>
    <w:rPr>
      <w:caps/>
    </w:rPr>
  </w:style>
  <w:style w:type="paragraph" w:customStyle="1" w:styleId="Version">
    <w:name w:val="Version"/>
    <w:rsid w:val="00E20D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0DE0"/>
    <w:pPr>
      <w:numPr>
        <w:numId w:val="13"/>
      </w:numPr>
      <w:tabs>
        <w:tab w:val="clear" w:pos="680"/>
      </w:tabs>
    </w:pPr>
  </w:style>
  <w:style w:type="paragraph" w:styleId="Index1">
    <w:name w:val="index 1"/>
    <w:basedOn w:val="Normal"/>
    <w:next w:val="Normal"/>
    <w:semiHidden/>
    <w:rsid w:val="00E20DE0"/>
    <w:pPr>
      <w:keepNext w:val="0"/>
      <w:tabs>
        <w:tab w:val="right" w:pos="4176"/>
      </w:tabs>
      <w:ind w:left="198" w:hanging="198"/>
    </w:pPr>
    <w:rPr>
      <w:rFonts w:ascii="Garamond" w:hAnsi="Garamond"/>
    </w:rPr>
  </w:style>
  <w:style w:type="paragraph" w:styleId="IndexHeading">
    <w:name w:val="index heading"/>
    <w:basedOn w:val="Normal"/>
    <w:next w:val="Index1"/>
    <w:semiHidden/>
    <w:rsid w:val="00E20DE0"/>
    <w:pPr>
      <w:spacing w:before="120" w:after="120"/>
    </w:pPr>
    <w:rPr>
      <w:rFonts w:ascii="Arial" w:hAnsi="Arial"/>
      <w:b/>
      <w:color w:val="918585"/>
      <w:sz w:val="24"/>
    </w:rPr>
  </w:style>
  <w:style w:type="paragraph" w:customStyle="1" w:styleId="Chapter">
    <w:name w:val="Chapter"/>
    <w:basedOn w:val="Normal"/>
    <w:rsid w:val="00E20DE0"/>
    <w:pPr>
      <w:spacing w:before="240"/>
    </w:pPr>
    <w:rPr>
      <w:rFonts w:ascii="Times New Roman" w:hAnsi="Times New Roman"/>
      <w:smallCaps/>
      <w:spacing w:val="80"/>
      <w:sz w:val="28"/>
    </w:rPr>
  </w:style>
  <w:style w:type="paragraph" w:customStyle="1" w:styleId="InChapter">
    <w:name w:val="InChapter"/>
    <w:basedOn w:val="Heading3"/>
    <w:rsid w:val="00E20DE0"/>
    <w:pPr>
      <w:spacing w:after="240"/>
      <w:outlineLvl w:val="9"/>
    </w:pPr>
    <w:rPr>
      <w:noProof/>
    </w:rPr>
  </w:style>
  <w:style w:type="paragraph" w:styleId="Index2">
    <w:name w:val="index 2"/>
    <w:basedOn w:val="Normal"/>
    <w:next w:val="Normal"/>
    <w:semiHidden/>
    <w:rsid w:val="00E20DE0"/>
    <w:pPr>
      <w:tabs>
        <w:tab w:val="right" w:pos="4176"/>
      </w:tabs>
      <w:ind w:left="568" w:hanging="284"/>
    </w:pPr>
    <w:rPr>
      <w:rFonts w:ascii="Garamond" w:hAnsi="Garamond"/>
    </w:rPr>
  </w:style>
  <w:style w:type="paragraph" w:customStyle="1" w:styleId="Byline">
    <w:name w:val="Byline"/>
    <w:rsid w:val="00E20D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DE0"/>
    <w:pPr>
      <w:tabs>
        <w:tab w:val="clear" w:pos="3600"/>
        <w:tab w:val="clear" w:pos="3958"/>
      </w:tabs>
      <w:jc w:val="right"/>
    </w:pPr>
  </w:style>
  <w:style w:type="paragraph" w:styleId="Caption">
    <w:name w:val="caption"/>
    <w:basedOn w:val="BodyText"/>
    <w:next w:val="Normal"/>
    <w:qFormat/>
    <w:rsid w:val="00E20DE0"/>
    <w:pPr>
      <w:framePr w:w="2268" w:hSpace="181" w:vSpace="181" w:wrap="around" w:vAnchor="text" w:hAnchor="page" w:x="1135" w:y="285" w:anchorLock="1"/>
    </w:pPr>
    <w:rPr>
      <w:i/>
    </w:rPr>
  </w:style>
  <w:style w:type="paragraph" w:customStyle="1" w:styleId="MiniTOCTitle">
    <w:name w:val="MiniTOCTitle"/>
    <w:basedOn w:val="Heading4"/>
    <w:rsid w:val="00E20DE0"/>
    <w:pPr>
      <w:spacing w:before="240"/>
      <w:outlineLvl w:val="9"/>
    </w:pPr>
    <w:rPr>
      <w:noProof/>
      <w:sz w:val="24"/>
    </w:rPr>
  </w:style>
  <w:style w:type="paragraph" w:customStyle="1" w:styleId="MiniTOCItem">
    <w:name w:val="MiniTOCItem"/>
    <w:basedOn w:val="ListBullet"/>
    <w:rsid w:val="00E20DE0"/>
    <w:pPr>
      <w:numPr>
        <w:numId w:val="0"/>
      </w:numPr>
      <w:tabs>
        <w:tab w:val="right" w:leader="dot" w:pos="6521"/>
      </w:tabs>
      <w:spacing w:before="0" w:after="0"/>
    </w:pPr>
  </w:style>
  <w:style w:type="paragraph" w:customStyle="1" w:styleId="TOFTitle">
    <w:name w:val="TOFTitle"/>
    <w:basedOn w:val="TOCTitle"/>
    <w:rsid w:val="00E20DE0"/>
  </w:style>
  <w:style w:type="paragraph" w:styleId="TableofFigures">
    <w:name w:val="table of figures"/>
    <w:basedOn w:val="Normal"/>
    <w:next w:val="Normal"/>
    <w:semiHidden/>
    <w:rsid w:val="00E20DE0"/>
    <w:pPr>
      <w:tabs>
        <w:tab w:val="right" w:leader="dot" w:pos="9072"/>
      </w:tabs>
      <w:ind w:left="970" w:hanging="403"/>
    </w:pPr>
    <w:rPr>
      <w:rFonts w:ascii="Times New Roman" w:hAnsi="Times New Roman"/>
      <w:b/>
    </w:rPr>
  </w:style>
  <w:style w:type="paragraph" w:styleId="ListNumber">
    <w:name w:val="List Number"/>
    <w:basedOn w:val="List"/>
    <w:rsid w:val="00E20DE0"/>
    <w:pPr>
      <w:numPr>
        <w:numId w:val="10"/>
      </w:numPr>
    </w:pPr>
  </w:style>
  <w:style w:type="character" w:customStyle="1" w:styleId="WingdingSymbols">
    <w:name w:val="Wingding Symbols"/>
    <w:rsid w:val="00E20DE0"/>
    <w:rPr>
      <w:rFonts w:ascii="Wingdings" w:hAnsi="Wingdings"/>
    </w:rPr>
  </w:style>
  <w:style w:type="paragraph" w:customStyle="1" w:styleId="TableHeading">
    <w:name w:val="Table Heading"/>
    <w:basedOn w:val="HeadingBase"/>
    <w:rsid w:val="00E20DE0"/>
    <w:pPr>
      <w:keepLines/>
      <w:pBdr>
        <w:bottom w:val="single" w:sz="6" w:space="1" w:color="918585"/>
      </w:pBdr>
      <w:spacing w:before="240"/>
    </w:pPr>
  </w:style>
  <w:style w:type="character" w:customStyle="1" w:styleId="HotSpot">
    <w:name w:val="HotSpot"/>
    <w:rsid w:val="00E20DE0"/>
    <w:rPr>
      <w:color w:val="0033CC"/>
      <w:u w:val="none"/>
    </w:rPr>
  </w:style>
  <w:style w:type="paragraph" w:styleId="Index3">
    <w:name w:val="index 3"/>
    <w:basedOn w:val="ListNumber2"/>
    <w:next w:val="Normal"/>
    <w:semiHidden/>
    <w:rsid w:val="00E20DE0"/>
    <w:pPr>
      <w:numPr>
        <w:numId w:val="0"/>
      </w:numPr>
      <w:tabs>
        <w:tab w:val="right" w:leader="dot" w:pos="4176"/>
      </w:tabs>
    </w:pPr>
  </w:style>
  <w:style w:type="paragraph" w:styleId="ListNumber2">
    <w:name w:val="List Number 2"/>
    <w:basedOn w:val="List2"/>
    <w:rsid w:val="00E20DE0"/>
    <w:pPr>
      <w:numPr>
        <w:numId w:val="9"/>
      </w:numPr>
      <w:tabs>
        <w:tab w:val="clear" w:pos="1060"/>
      </w:tabs>
    </w:pPr>
  </w:style>
  <w:style w:type="paragraph" w:customStyle="1" w:styleId="MarginNote">
    <w:name w:val="Margin Note"/>
    <w:basedOn w:val="BodyText"/>
    <w:rsid w:val="00E20D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D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D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0DE0"/>
    <w:rPr>
      <w:sz w:val="32"/>
    </w:rPr>
  </w:style>
  <w:style w:type="paragraph" w:customStyle="1" w:styleId="HeadingProcedure">
    <w:name w:val="Heading Procedure"/>
    <w:basedOn w:val="HeadingBase"/>
    <w:next w:val="Normal"/>
    <w:rsid w:val="00E20DE0"/>
    <w:pPr>
      <w:tabs>
        <w:tab w:val="left" w:pos="0"/>
      </w:tabs>
      <w:spacing w:before="120" w:after="60"/>
    </w:pPr>
    <w:rPr>
      <w:i/>
      <w:color w:val="918585"/>
      <w:sz w:val="22"/>
    </w:rPr>
  </w:style>
  <w:style w:type="paragraph" w:customStyle="1" w:styleId="TableBodyText">
    <w:name w:val="Table Body Text"/>
    <w:basedOn w:val="BodyText"/>
    <w:rsid w:val="00E20DE0"/>
    <w:pPr>
      <w:spacing w:before="60" w:after="60"/>
    </w:pPr>
  </w:style>
  <w:style w:type="paragraph" w:styleId="ListContinue">
    <w:name w:val="List Continue"/>
    <w:basedOn w:val="List"/>
    <w:rsid w:val="00E20DE0"/>
    <w:pPr>
      <w:ind w:firstLine="0"/>
    </w:pPr>
  </w:style>
  <w:style w:type="paragraph" w:customStyle="1" w:styleId="ListNote">
    <w:name w:val="List Note"/>
    <w:basedOn w:val="List"/>
    <w:rsid w:val="00E20DE0"/>
    <w:pPr>
      <w:pBdr>
        <w:top w:val="single" w:sz="6" w:space="2" w:color="918585"/>
        <w:bottom w:val="single" w:sz="6" w:space="2" w:color="918585"/>
      </w:pBdr>
      <w:tabs>
        <w:tab w:val="left" w:pos="1021"/>
      </w:tabs>
      <w:ind w:firstLine="0"/>
    </w:pPr>
  </w:style>
  <w:style w:type="paragraph" w:customStyle="1" w:styleId="Warning">
    <w:name w:val="Warning"/>
    <w:basedOn w:val="BodyText"/>
    <w:rsid w:val="00E20DE0"/>
    <w:pPr>
      <w:shd w:val="clear" w:color="auto" w:fill="D9D9D9"/>
      <w:tabs>
        <w:tab w:val="left" w:pos="992"/>
      </w:tabs>
      <w:ind w:left="119" w:right="119"/>
    </w:pPr>
    <w:rPr>
      <w:sz w:val="20"/>
    </w:rPr>
  </w:style>
  <w:style w:type="paragraph" w:customStyle="1" w:styleId="MarginIcons">
    <w:name w:val="Margin Icons"/>
    <w:basedOn w:val="BodyText"/>
    <w:rsid w:val="00E20D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DE0"/>
    <w:rPr>
      <w:rFonts w:ascii="Courier New" w:hAnsi="Courier New"/>
    </w:rPr>
  </w:style>
  <w:style w:type="paragraph" w:customStyle="1" w:styleId="NoteBullet">
    <w:name w:val="Note Bullet"/>
    <w:basedOn w:val="Note"/>
    <w:rsid w:val="00E20DE0"/>
    <w:pPr>
      <w:tabs>
        <w:tab w:val="clear" w:pos="680"/>
      </w:tabs>
      <w:spacing w:before="60" w:after="60"/>
    </w:pPr>
  </w:style>
  <w:style w:type="paragraph" w:customStyle="1" w:styleId="SubHeading2">
    <w:name w:val="SubHeading2"/>
    <w:basedOn w:val="HeadingBase"/>
    <w:rsid w:val="00E20DE0"/>
    <w:pPr>
      <w:spacing w:before="240" w:after="60"/>
    </w:pPr>
    <w:rPr>
      <w:sz w:val="20"/>
    </w:rPr>
  </w:style>
  <w:style w:type="paragraph" w:customStyle="1" w:styleId="SubHeading1">
    <w:name w:val="SubHeading1"/>
    <w:basedOn w:val="HeadingBase"/>
    <w:rsid w:val="00E20DE0"/>
    <w:pPr>
      <w:spacing w:before="240" w:after="60"/>
    </w:pPr>
    <w:rPr>
      <w:color w:val="918585"/>
      <w:sz w:val="22"/>
    </w:rPr>
  </w:style>
  <w:style w:type="paragraph" w:customStyle="1" w:styleId="SideHeading">
    <w:name w:val="Side Heading"/>
    <w:basedOn w:val="HeadingBase"/>
    <w:rsid w:val="00E20D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DE0"/>
    <w:pPr>
      <w:tabs>
        <w:tab w:val="num" w:pos="360"/>
      </w:tabs>
    </w:pPr>
  </w:style>
  <w:style w:type="paragraph" w:styleId="PlainText">
    <w:name w:val="Plain Text"/>
    <w:basedOn w:val="Normal"/>
    <w:link w:val="PlainTextChar"/>
    <w:rsid w:val="00E20DE0"/>
    <w:rPr>
      <w:sz w:val="20"/>
    </w:rPr>
  </w:style>
  <w:style w:type="character" w:customStyle="1" w:styleId="PlainTextChar">
    <w:name w:val="Plain Text Char"/>
    <w:basedOn w:val="DefaultParagraphFont"/>
    <w:link w:val="PlainText"/>
    <w:rsid w:val="00E20D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0DE0"/>
    <w:rPr>
      <w:b/>
      <w:smallCaps/>
    </w:rPr>
  </w:style>
  <w:style w:type="paragraph" w:customStyle="1" w:styleId="TableListNumber">
    <w:name w:val="Table List Number"/>
    <w:basedOn w:val="ListNumber"/>
    <w:rsid w:val="00E20DE0"/>
    <w:pPr>
      <w:numPr>
        <w:numId w:val="0"/>
      </w:numPr>
    </w:pPr>
  </w:style>
  <w:style w:type="paragraph" w:styleId="TOC4">
    <w:name w:val="toc 4"/>
    <w:basedOn w:val="TOCBase"/>
    <w:next w:val="Normal"/>
    <w:semiHidden/>
    <w:rsid w:val="00E20DE0"/>
    <w:pPr>
      <w:tabs>
        <w:tab w:val="right" w:leader="dot" w:pos="9071"/>
      </w:tabs>
      <w:ind w:left="1701"/>
    </w:pPr>
  </w:style>
  <w:style w:type="paragraph" w:customStyle="1" w:styleId="ListAlpha">
    <w:name w:val="List Alpha"/>
    <w:basedOn w:val="List"/>
    <w:rsid w:val="00E20DE0"/>
    <w:pPr>
      <w:numPr>
        <w:numId w:val="8"/>
      </w:numPr>
    </w:pPr>
  </w:style>
  <w:style w:type="paragraph" w:customStyle="1" w:styleId="ListAlpha2">
    <w:name w:val="List Alpha 2"/>
    <w:basedOn w:val="List2"/>
    <w:rsid w:val="00E20DE0"/>
    <w:pPr>
      <w:numPr>
        <w:numId w:val="7"/>
      </w:numPr>
    </w:pPr>
  </w:style>
  <w:style w:type="paragraph" w:styleId="List2">
    <w:name w:val="List 2"/>
    <w:basedOn w:val="BodyText"/>
    <w:rsid w:val="00E20DE0"/>
    <w:pPr>
      <w:tabs>
        <w:tab w:val="left" w:pos="680"/>
      </w:tabs>
      <w:spacing w:before="60" w:after="60"/>
      <w:ind w:left="680" w:hanging="340"/>
    </w:pPr>
  </w:style>
  <w:style w:type="paragraph" w:styleId="List3">
    <w:name w:val="List 3"/>
    <w:basedOn w:val="BodyText"/>
    <w:rsid w:val="00E20DE0"/>
    <w:pPr>
      <w:tabs>
        <w:tab w:val="left" w:pos="1021"/>
      </w:tabs>
      <w:spacing w:before="60" w:after="60"/>
      <w:ind w:left="1020" w:hanging="340"/>
    </w:pPr>
  </w:style>
  <w:style w:type="paragraph" w:styleId="List4">
    <w:name w:val="List 4"/>
    <w:basedOn w:val="BodyText"/>
    <w:rsid w:val="00E20DE0"/>
    <w:pPr>
      <w:tabs>
        <w:tab w:val="left" w:pos="1361"/>
      </w:tabs>
      <w:spacing w:before="60" w:after="60"/>
      <w:ind w:left="1361" w:hanging="340"/>
    </w:pPr>
  </w:style>
  <w:style w:type="paragraph" w:styleId="List5">
    <w:name w:val="List 5"/>
    <w:basedOn w:val="BodyText"/>
    <w:rsid w:val="00E20DE0"/>
    <w:pPr>
      <w:tabs>
        <w:tab w:val="left" w:pos="1701"/>
      </w:tabs>
      <w:spacing w:before="60" w:after="60"/>
      <w:ind w:left="1701" w:hanging="340"/>
    </w:pPr>
  </w:style>
  <w:style w:type="paragraph" w:styleId="ListBullet3">
    <w:name w:val="List Bullet 3"/>
    <w:basedOn w:val="List3"/>
    <w:rsid w:val="00E20DE0"/>
    <w:pPr>
      <w:numPr>
        <w:numId w:val="14"/>
      </w:numPr>
      <w:tabs>
        <w:tab w:val="clear" w:pos="1021"/>
      </w:tabs>
      <w:ind w:left="1037" w:hanging="357"/>
    </w:pPr>
  </w:style>
  <w:style w:type="paragraph" w:styleId="ListBullet4">
    <w:name w:val="List Bullet 4"/>
    <w:basedOn w:val="List4"/>
    <w:rsid w:val="00E20DE0"/>
    <w:pPr>
      <w:numPr>
        <w:numId w:val="2"/>
      </w:numPr>
    </w:pPr>
  </w:style>
  <w:style w:type="paragraph" w:styleId="ListBullet5">
    <w:name w:val="List Bullet 5"/>
    <w:basedOn w:val="List5"/>
    <w:rsid w:val="00E20DE0"/>
    <w:pPr>
      <w:numPr>
        <w:numId w:val="3"/>
      </w:numPr>
    </w:pPr>
  </w:style>
  <w:style w:type="paragraph" w:styleId="ListContinue2">
    <w:name w:val="List Continue 2"/>
    <w:basedOn w:val="List2"/>
    <w:rsid w:val="00E20DE0"/>
    <w:pPr>
      <w:ind w:firstLine="0"/>
    </w:pPr>
  </w:style>
  <w:style w:type="paragraph" w:styleId="ListContinue3">
    <w:name w:val="List Continue 3"/>
    <w:basedOn w:val="List3"/>
    <w:rsid w:val="00E20DE0"/>
    <w:pPr>
      <w:ind w:left="1021" w:firstLine="0"/>
    </w:pPr>
  </w:style>
  <w:style w:type="paragraph" w:styleId="ListContinue4">
    <w:name w:val="List Continue 4"/>
    <w:basedOn w:val="List4"/>
    <w:rsid w:val="00E20DE0"/>
    <w:pPr>
      <w:ind w:firstLine="0"/>
    </w:pPr>
  </w:style>
  <w:style w:type="paragraph" w:styleId="ListContinue5">
    <w:name w:val="List Continue 5"/>
    <w:basedOn w:val="List5"/>
    <w:rsid w:val="00E20DE0"/>
    <w:pPr>
      <w:ind w:firstLine="0"/>
    </w:pPr>
  </w:style>
  <w:style w:type="paragraph" w:styleId="ListNumber3">
    <w:name w:val="List Number 3"/>
    <w:basedOn w:val="List3"/>
    <w:rsid w:val="00E20DE0"/>
    <w:pPr>
      <w:numPr>
        <w:numId w:val="4"/>
      </w:numPr>
    </w:pPr>
  </w:style>
  <w:style w:type="paragraph" w:styleId="ListNumber4">
    <w:name w:val="List Number 4"/>
    <w:basedOn w:val="List4"/>
    <w:rsid w:val="00E20DE0"/>
    <w:pPr>
      <w:numPr>
        <w:numId w:val="5"/>
      </w:numPr>
    </w:pPr>
  </w:style>
  <w:style w:type="paragraph" w:styleId="ListNumber5">
    <w:name w:val="List Number 5"/>
    <w:basedOn w:val="List5"/>
    <w:rsid w:val="00E20DE0"/>
    <w:pPr>
      <w:numPr>
        <w:numId w:val="6"/>
      </w:numPr>
    </w:pPr>
  </w:style>
  <w:style w:type="paragraph" w:styleId="BlockText">
    <w:name w:val="Block Text"/>
    <w:basedOn w:val="Normal"/>
    <w:rsid w:val="00E20DE0"/>
    <w:pPr>
      <w:spacing w:after="120"/>
      <w:ind w:left="1440" w:right="1440"/>
    </w:pPr>
  </w:style>
  <w:style w:type="character" w:customStyle="1" w:styleId="Subscript">
    <w:name w:val="Subscript"/>
    <w:basedOn w:val="DefaultParagraphFont"/>
    <w:rsid w:val="00E20DE0"/>
    <w:rPr>
      <w:sz w:val="16"/>
      <w:vertAlign w:val="subscript"/>
    </w:rPr>
  </w:style>
  <w:style w:type="character" w:customStyle="1" w:styleId="Superscript">
    <w:name w:val="Superscript"/>
    <w:basedOn w:val="DefaultParagraphFont"/>
    <w:rsid w:val="00E20DE0"/>
    <w:rPr>
      <w:sz w:val="16"/>
      <w:vertAlign w:val="superscript"/>
    </w:rPr>
  </w:style>
  <w:style w:type="character" w:customStyle="1" w:styleId="Symbols">
    <w:name w:val="Symbols"/>
    <w:basedOn w:val="DefaultParagraphFont"/>
    <w:rsid w:val="00E20DE0"/>
    <w:rPr>
      <w:rFonts w:ascii="Symbol" w:hAnsi="Symbol"/>
    </w:rPr>
  </w:style>
  <w:style w:type="character" w:customStyle="1" w:styleId="MenuOptions">
    <w:name w:val="Menu Options"/>
    <w:basedOn w:val="DefaultParagraphFont"/>
    <w:rsid w:val="00E20DE0"/>
    <w:rPr>
      <w:rFonts w:ascii="Arial Narrow" w:hAnsi="Arial Narrow"/>
      <w:smallCaps/>
    </w:rPr>
  </w:style>
  <w:style w:type="character" w:customStyle="1" w:styleId="Buttons">
    <w:name w:val="Buttons"/>
    <w:basedOn w:val="DefaultParagraphFont"/>
    <w:rsid w:val="00E20DE0"/>
    <w:rPr>
      <w:b/>
    </w:rPr>
  </w:style>
  <w:style w:type="character" w:customStyle="1" w:styleId="Underlined">
    <w:name w:val="Underlined"/>
    <w:basedOn w:val="DefaultParagraphFont"/>
    <w:rsid w:val="00E20DE0"/>
    <w:rPr>
      <w:u w:val="single"/>
    </w:rPr>
  </w:style>
  <w:style w:type="paragraph" w:customStyle="1" w:styleId="TableBodyTextRight">
    <w:name w:val="Table Body Text Right"/>
    <w:basedOn w:val="TableBodyText"/>
    <w:rsid w:val="00E20DE0"/>
    <w:pPr>
      <w:widowControl w:val="0"/>
      <w:autoSpaceDE w:val="0"/>
      <w:autoSpaceDN w:val="0"/>
      <w:adjustRightInd w:val="0"/>
      <w:jc w:val="right"/>
    </w:pPr>
    <w:rPr>
      <w:rFonts w:cs="Arial"/>
      <w:szCs w:val="18"/>
    </w:rPr>
  </w:style>
  <w:style w:type="paragraph" w:customStyle="1" w:styleId="CopyrightText">
    <w:name w:val="Copyright Text"/>
    <w:basedOn w:val="BodyText"/>
    <w:rsid w:val="00E20DE0"/>
    <w:rPr>
      <w:sz w:val="18"/>
    </w:rPr>
  </w:style>
  <w:style w:type="paragraph" w:customStyle="1" w:styleId="BodySmallRight">
    <w:name w:val="Body Small Right"/>
    <w:basedOn w:val="BodyTextRight"/>
    <w:rsid w:val="00E20DE0"/>
    <w:rPr>
      <w:sz w:val="18"/>
      <w:szCs w:val="18"/>
    </w:rPr>
  </w:style>
  <w:style w:type="paragraph" w:customStyle="1" w:styleId="MarginEdition">
    <w:name w:val="Margin Edition"/>
    <w:basedOn w:val="MarginNote"/>
    <w:rsid w:val="00E20DE0"/>
    <w:pPr>
      <w:spacing w:before="0" w:after="0"/>
    </w:pPr>
    <w:rPr>
      <w:rFonts w:ascii="Times New Roman" w:hAnsi="Times New Roman"/>
      <w:color w:val="999999"/>
    </w:rPr>
  </w:style>
  <w:style w:type="paragraph" w:customStyle="1" w:styleId="Spacer">
    <w:name w:val="Spacer"/>
    <w:basedOn w:val="Normal"/>
    <w:rsid w:val="00E20DE0"/>
    <w:rPr>
      <w:sz w:val="2"/>
      <w:szCs w:val="2"/>
    </w:rPr>
  </w:style>
  <w:style w:type="character" w:customStyle="1" w:styleId="Small">
    <w:name w:val="Small"/>
    <w:basedOn w:val="DefaultParagraphFont"/>
    <w:rsid w:val="00E20DE0"/>
    <w:rPr>
      <w:sz w:val="16"/>
    </w:rPr>
  </w:style>
  <w:style w:type="paragraph" w:customStyle="1" w:styleId="WideTable">
    <w:name w:val="Wide Table"/>
    <w:basedOn w:val="Normal"/>
    <w:rsid w:val="00E20DE0"/>
    <w:pPr>
      <w:ind w:left="-1418"/>
    </w:pPr>
    <w:rPr>
      <w:sz w:val="2"/>
      <w:szCs w:val="2"/>
    </w:rPr>
  </w:style>
  <w:style w:type="character" w:styleId="PageNumber">
    <w:name w:val="page number"/>
    <w:basedOn w:val="DefaultParagraphFont"/>
    <w:rsid w:val="00E20DE0"/>
  </w:style>
  <w:style w:type="paragraph" w:styleId="Quote">
    <w:name w:val="Quote"/>
    <w:basedOn w:val="Heading1"/>
    <w:link w:val="QuoteChar"/>
    <w:qFormat/>
    <w:rsid w:val="00E20DE0"/>
    <w:rPr>
      <w:b w:val="0"/>
      <w:sz w:val="72"/>
      <w:szCs w:val="72"/>
      <w:lang w:val="en-NZ"/>
    </w:rPr>
  </w:style>
  <w:style w:type="character" w:customStyle="1" w:styleId="QuoteChar">
    <w:name w:val="Quote Char"/>
    <w:basedOn w:val="DefaultParagraphFont"/>
    <w:link w:val="Quote"/>
    <w:rsid w:val="00E20D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DE0"/>
    <w:pPr>
      <w:pageBreakBefore/>
    </w:pPr>
  </w:style>
  <w:style w:type="paragraph" w:customStyle="1" w:styleId="Border">
    <w:name w:val="Border"/>
    <w:basedOn w:val="Normal"/>
    <w:qFormat/>
    <w:rsid w:val="00E20D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DE0"/>
    <w:rPr>
      <w:b/>
      <w:bCs/>
      <w:i/>
      <w:iCs/>
      <w:color w:val="auto"/>
    </w:rPr>
  </w:style>
  <w:style w:type="paragraph" w:styleId="IntenseQuote">
    <w:name w:val="Intense Quote"/>
    <w:basedOn w:val="Normal"/>
    <w:next w:val="Normal"/>
    <w:link w:val="IntenseQuoteChar"/>
    <w:uiPriority w:val="30"/>
    <w:qFormat/>
    <w:rsid w:val="00E20D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D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0DE0"/>
    <w:rPr>
      <w:smallCaps/>
      <w:color w:val="auto"/>
      <w:u w:val="single"/>
    </w:rPr>
  </w:style>
  <w:style w:type="character" w:styleId="IntenseReference">
    <w:name w:val="Intense Reference"/>
    <w:basedOn w:val="DefaultParagraphFont"/>
    <w:uiPriority w:val="32"/>
    <w:qFormat/>
    <w:rsid w:val="00E20DE0"/>
    <w:rPr>
      <w:b/>
      <w:bCs/>
      <w:smallCaps/>
      <w:color w:val="auto"/>
      <w:spacing w:val="5"/>
      <w:u w:val="single"/>
    </w:rPr>
  </w:style>
  <w:style w:type="paragraph" w:customStyle="1" w:styleId="2ColumnHeading">
    <w:name w:val="2Column Heading"/>
    <w:basedOn w:val="BodyText"/>
    <w:qFormat/>
    <w:rsid w:val="00E20DE0"/>
    <w:pPr>
      <w:spacing w:after="60"/>
      <w:ind w:left="-2268"/>
    </w:pPr>
    <w:rPr>
      <w:b/>
    </w:rPr>
  </w:style>
  <w:style w:type="paragraph" w:customStyle="1" w:styleId="Heading1TOC">
    <w:name w:val="Heading1 TOC"/>
    <w:basedOn w:val="Normal"/>
    <w:qFormat/>
    <w:rsid w:val="00E20DE0"/>
    <w:pPr>
      <w:spacing w:before="240" w:after="120"/>
    </w:pPr>
    <w:rPr>
      <w:rFonts w:ascii="Times New Roman" w:hAnsi="Times New Roman"/>
      <w:b/>
      <w:sz w:val="32"/>
    </w:rPr>
  </w:style>
  <w:style w:type="paragraph" w:customStyle="1" w:styleId="Heading2TOC">
    <w:name w:val="Heading2 TOC"/>
    <w:basedOn w:val="Normal"/>
    <w:qFormat/>
    <w:rsid w:val="00E20DE0"/>
    <w:pPr>
      <w:spacing w:before="240" w:after="60"/>
    </w:pPr>
    <w:rPr>
      <w:rFonts w:ascii="Times New Roman" w:hAnsi="Times New Roman"/>
      <w:b/>
      <w:sz w:val="28"/>
    </w:rPr>
  </w:style>
  <w:style w:type="character" w:customStyle="1" w:styleId="Underline">
    <w:name w:val="Underline"/>
    <w:basedOn w:val="DefaultParagraphFont"/>
    <w:qFormat/>
    <w:rsid w:val="00E20DE0"/>
    <w:rPr>
      <w:u w:val="single"/>
    </w:rPr>
  </w:style>
  <w:style w:type="paragraph" w:styleId="BalloonText">
    <w:name w:val="Balloon Text"/>
    <w:basedOn w:val="Normal"/>
    <w:link w:val="BalloonTextChar"/>
    <w:rsid w:val="00E20DE0"/>
    <w:rPr>
      <w:rFonts w:ascii="Tahoma" w:hAnsi="Tahoma" w:cs="Tahoma"/>
      <w:sz w:val="16"/>
      <w:szCs w:val="16"/>
    </w:rPr>
  </w:style>
  <w:style w:type="character" w:customStyle="1" w:styleId="BalloonTextChar">
    <w:name w:val="Balloon Text Char"/>
    <w:basedOn w:val="DefaultParagraphFont"/>
    <w:link w:val="BalloonText"/>
    <w:rsid w:val="00E20D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0D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0D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934</Words>
  <Characters>5821</Characters>
  <Application>Microsoft Office Word</Application>
  <DocSecurity>0</DocSecurity>
  <Lines>208</Lines>
  <Paragraphs>108</Paragraphs>
  <ScaleCrop>false</ScaleCrop>
  <Company>Author-it Software Corporation Ltd.</Company>
  <LinksUpToDate>false</LinksUpToDate>
  <CharactersWithSpaces>6710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NWP370 Perform water industry calculations</dc:title>
  <dc:subject>Approved</dc:subject>
  <dc:creator>Government Skills Australia</dc:creator>
  <cp:keywords>Release: 1</cp:keywords>
  <dc:description>Copyright © 1996-2007 Author-it Software Corporation Ltd., all rights reserved.</dc:description>
  <cp:lastModifiedBy>Craig Taylor</cp:lastModifiedBy>
  <cp:revision>3</cp:revision>
  <dcterms:created xsi:type="dcterms:W3CDTF">2012-05-27T12:52:00Z</dcterms:created>
  <dcterms:modified xsi:type="dcterms:W3CDTF">2012-05-27T12:52:00Z</dcterms:modified>
</cp:coreProperties>
</file>