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415" w:rsidP="009A3415">
      <w:pPr>
        <w:pStyle w:val="Title"/>
      </w:pPr>
      <w:r>
        <w:fldChar w:fldCharType="begin"/>
      </w:r>
      <w:r>
        <w:instrText xml:space="preserve"> TITLE   \* MERGEFORMAT </w:instrText>
      </w:r>
      <w:r>
        <w:fldChar w:fldCharType="separate"/>
      </w:r>
      <w:r>
        <w:t>NWP323B Monitor and coordinate catchment operations</w:t>
      </w:r>
      <w:r>
        <w:fldChar w:fldCharType="end"/>
      </w:r>
    </w:p>
    <w:p w:rsidR="009A3415" w:rsidP="009A3415">
      <w:pPr>
        <w:pStyle w:val="Version"/>
        <w:sectPr w:rsidSect="003D3A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D3AC0" w:rsidP="003D3AC0">
      <w:pPr>
        <w:pStyle w:val="SuperHeading"/>
      </w:pPr>
      <w:r w:rsidRPr="003D3AC0">
        <w:t>NWP323B Monitor and coordinate catchment operations</w:t>
      </w:r>
    </w:p>
    <w:p w:rsidR="00000000" w:rsidRPr="003D3AC0" w:rsidP="003D3AC0">
      <w:pPr>
        <w:pStyle w:val="SuperHeading"/>
      </w:pPr>
    </w:p>
    <w:p w:rsidR="00000000" w:rsidRPr="003D3AC0" w:rsidP="003D3AC0">
      <w:pPr>
        <w:pStyle w:val="Heading1"/>
      </w:pPr>
      <w:bookmarkStart w:id="1" w:name="O_405065"/>
      <w:bookmarkEnd w:id="1"/>
      <w:r w:rsidRPr="003D3AC0">
        <w:t>Modification History</w:t>
      </w:r>
    </w:p>
    <w:p w:rsidR="00000000" w:rsidRPr="003D3AC0" w:rsidP="003D3AC0">
      <w:pPr>
        <w:pStyle w:val="BodyText"/>
      </w:pPr>
      <w:r w:rsidRPr="003D3AC0">
        <w:t>NWP323B Release 2:</w:t>
      </w:r>
      <w:r w:rsidRPr="003D3AC0">
        <w:tab/>
        <w:t>Layout adjusted. No changes to content.</w:t>
      </w:r>
    </w:p>
    <w:p w:rsidR="00000000" w:rsidRPr="003D3AC0" w:rsidP="003D3AC0">
      <w:pPr>
        <w:pStyle w:val="BodyText"/>
      </w:pPr>
      <w:r w:rsidRPr="003D3AC0">
        <w:t>NWP323B Release 1:</w:t>
      </w:r>
      <w:r w:rsidRPr="003D3AC0">
        <w:tab/>
        <w:t>Primary release.</w:t>
      </w:r>
    </w:p>
    <w:p w:rsidR="00000000" w:rsidRPr="003D3AC0" w:rsidP="003D3AC0">
      <w:pPr>
        <w:pStyle w:val="AllowPageBreak"/>
      </w:pPr>
    </w:p>
    <w:p w:rsidR="00000000" w:rsidRPr="003D3AC0" w:rsidP="003D3AC0">
      <w:pPr>
        <w:pStyle w:val="Heading1"/>
      </w:pPr>
      <w:bookmarkStart w:id="2" w:name="O_405061"/>
      <w:bookmarkEnd w:id="2"/>
      <w:r w:rsidRPr="003D3AC0">
        <w:t>Unit Descriptor</w:t>
      </w:r>
    </w:p>
    <w:p w:rsidR="00000000" w:rsidRPr="003D3AC0" w:rsidP="003D3AC0">
      <w:pPr>
        <w:pStyle w:val="BodyText"/>
      </w:pPr>
      <w:r w:rsidRPr="003D3AC0">
        <w:t>This unit of competency describes t</w:t>
      </w:r>
      <w:r w:rsidRPr="003D3AC0">
        <w:t>he outcomes required to inspect and monitor catchment areas, monitor flows and coordinate catchment processes. The ability to collect data and samples, monitor and adjust regulatory systems, identify and investigate catchment problems and produce technical</w:t>
      </w:r>
      <w:r w:rsidRPr="003D3AC0">
        <w:t xml:space="preserve"> reports is essential to performance. </w:t>
      </w:r>
    </w:p>
    <w:p w:rsidR="00000000" w:rsidRPr="003D3AC0" w:rsidP="003D3AC0">
      <w:pPr>
        <w:pStyle w:val="AllowPageBreak"/>
      </w:pPr>
    </w:p>
    <w:p w:rsidR="00000000" w:rsidRPr="003D3AC0" w:rsidP="003D3AC0">
      <w:pPr>
        <w:pStyle w:val="Heading1"/>
      </w:pPr>
      <w:bookmarkStart w:id="3" w:name="O_405073"/>
      <w:bookmarkEnd w:id="3"/>
      <w:r w:rsidRPr="003D3AC0">
        <w:t>Application of the Unit</w:t>
      </w:r>
    </w:p>
    <w:p w:rsidR="00000000" w:rsidRPr="003D3AC0" w:rsidP="003D3AC0">
      <w:pPr>
        <w:pStyle w:val="BodyText"/>
      </w:pPr>
      <w:r w:rsidRPr="003D3AC0">
        <w:t>This unit supports the attainment of skills and knowledge required for field staff with a specific responsibility for monitoring and coordinating catchment operations. The leve</w:t>
      </w:r>
      <w:r w:rsidRPr="003D3AC0">
        <w:t>l of responsibility may vary according to the size and complexity of the catchment area.</w:t>
      </w:r>
    </w:p>
    <w:p w:rsidR="00000000" w:rsidRPr="003D3AC0" w:rsidP="003D3AC0">
      <w:pPr>
        <w:pStyle w:val="AllowPageBreak"/>
      </w:pPr>
    </w:p>
    <w:p w:rsidR="00000000" w:rsidRPr="003D3AC0" w:rsidP="003D3AC0">
      <w:pPr>
        <w:pStyle w:val="Heading1"/>
      </w:pPr>
      <w:bookmarkStart w:id="4" w:name="O_405066"/>
      <w:bookmarkEnd w:id="4"/>
      <w:r w:rsidRPr="003D3AC0">
        <w:t>Licensing/Regulatory Information</w:t>
      </w:r>
    </w:p>
    <w:p w:rsidR="00000000" w:rsidRPr="003D3AC0" w:rsidP="003D3AC0">
      <w:pPr>
        <w:pStyle w:val="BodyText"/>
      </w:pPr>
      <w:r w:rsidRPr="003D3AC0">
        <w:t>Not applicable.</w:t>
      </w:r>
    </w:p>
    <w:p w:rsidR="00000000" w:rsidRPr="003D3AC0" w:rsidP="003D3AC0">
      <w:pPr>
        <w:pStyle w:val="AllowPageBreak"/>
      </w:pPr>
    </w:p>
    <w:p w:rsidR="00000000" w:rsidRPr="003D3AC0" w:rsidP="003D3AC0">
      <w:pPr>
        <w:pStyle w:val="Heading1"/>
      </w:pPr>
      <w:bookmarkStart w:id="5" w:name="O_405064"/>
      <w:bookmarkEnd w:id="5"/>
      <w:r w:rsidRPr="003D3AC0">
        <w:t>Pre-Requisites</w:t>
      </w:r>
    </w:p>
    <w:p w:rsidR="00000000" w:rsidRPr="003D3AC0" w:rsidP="003D3AC0">
      <w:pPr>
        <w:pStyle w:val="BodyText"/>
      </w:pPr>
      <w:r w:rsidRPr="003D3AC0">
        <w:t>Not applicable.</w:t>
      </w:r>
    </w:p>
    <w:p w:rsidR="00000000" w:rsidRPr="003D3AC0" w:rsidP="003D3AC0">
      <w:pPr>
        <w:pStyle w:val="AllowPageBreak"/>
      </w:pPr>
    </w:p>
    <w:p w:rsidR="00000000" w:rsidRPr="003D3AC0" w:rsidP="003D3AC0">
      <w:pPr>
        <w:pStyle w:val="Heading1"/>
      </w:pPr>
      <w:bookmarkStart w:id="6" w:name="O_405069"/>
      <w:bookmarkEnd w:id="6"/>
      <w:r w:rsidRPr="003D3AC0">
        <w:t>Employability Skills Information</w:t>
      </w:r>
    </w:p>
    <w:p w:rsidR="00000000" w:rsidRPr="003D3AC0" w:rsidP="003D3AC0">
      <w:pPr>
        <w:pStyle w:val="BodyText"/>
      </w:pPr>
      <w:r w:rsidRPr="003D3AC0">
        <w:t>This unit contains employability skills.</w:t>
      </w:r>
    </w:p>
    <w:p w:rsidR="00000000" w:rsidRPr="003D3AC0" w:rsidP="003D3AC0">
      <w:pPr>
        <w:pStyle w:val="AllowPageBreak"/>
      </w:pPr>
    </w:p>
    <w:p w:rsidR="00000000" w:rsidRPr="003D3AC0" w:rsidP="003D3AC0">
      <w:pPr>
        <w:pStyle w:val="Heading1"/>
      </w:pPr>
      <w:bookmarkStart w:id="7" w:name="O_405070"/>
      <w:bookmarkEnd w:id="7"/>
      <w:r w:rsidRPr="003D3AC0">
        <w:t>Elements and Performance Criteria Pre-Content</w:t>
      </w:r>
    </w:p>
    <w:tbl>
      <w:tblPr>
        <w:tblW w:w="0" w:type="auto"/>
        <w:tblLayout w:type="fixed"/>
        <w:tblCellMar>
          <w:left w:w="62" w:type="dxa"/>
          <w:right w:w="62" w:type="dxa"/>
        </w:tblCellMar>
        <w:tblLook w:val="0000"/>
      </w:tblPr>
      <w:tblGrid>
        <w:gridCol w:w="2268"/>
        <w:gridCol w:w="6804"/>
      </w:tblGrid>
      <w:tr w:rsidTr="009A341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D3AC0">
            <w:pPr>
              <w:pStyle w:val="BodyText"/>
              <w:rPr>
                <w:lang w:val="en-NZ"/>
              </w:rPr>
            </w:pPr>
            <w:r w:rsidRPr="003D3AC0">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3D3AC0" w:rsidP="003D3AC0">
            <w:pPr>
              <w:pStyle w:val="BodyText"/>
            </w:pPr>
            <w:r w:rsidRPr="003D3AC0">
              <w:t>Performan</w:t>
            </w:r>
            <w:r w:rsidRPr="003D3AC0">
              <w:t xml:space="preserve">ce criteria describe the required performance needed to demonstrate achievement of the element. Where </w:t>
            </w:r>
            <w:r w:rsidRPr="003D3AC0">
              <w:rPr>
                <w:rStyle w:val="BoldandItalics"/>
              </w:rPr>
              <w:t>bold italicised</w:t>
            </w:r>
            <w:r w:rsidRPr="003D3AC0">
              <w:t xml:space="preserve"> text is used, further information is detailed in the range statement. Assessment of performance is to be consistent with the evidence guid</w:t>
            </w:r>
            <w:r w:rsidRPr="003D3AC0">
              <w:t>e.</w:t>
            </w:r>
          </w:p>
        </w:tc>
      </w:tr>
    </w:tbl>
    <w:p w:rsidR="00000000" w:rsidRPr="003D3AC0" w:rsidP="003D3AC0">
      <w:pPr>
        <w:pStyle w:val="BodyText"/>
      </w:pPr>
    </w:p>
    <w:p w:rsidR="00000000" w:rsidRPr="003D3AC0" w:rsidP="003D3AC0">
      <w:pPr>
        <w:pStyle w:val="AllowPageBreak"/>
      </w:pPr>
    </w:p>
    <w:p w:rsidR="00000000" w:rsidRPr="003D3AC0" w:rsidP="003D3AC0">
      <w:pPr>
        <w:pStyle w:val="Heading1"/>
      </w:pPr>
      <w:bookmarkStart w:id="8" w:name="O_405071"/>
      <w:bookmarkEnd w:id="8"/>
      <w:r w:rsidRPr="003D3AC0">
        <w:t>Elements and Performance Criteria</w:t>
      </w:r>
    </w:p>
    <w:tbl>
      <w:tblPr>
        <w:tblW w:w="0" w:type="auto"/>
        <w:tblLayout w:type="fixed"/>
        <w:tblCellMar>
          <w:left w:w="62" w:type="dxa"/>
          <w:right w:w="62" w:type="dxa"/>
        </w:tblCellMar>
        <w:tblLook w:val="0000"/>
      </w:tblPr>
      <w:tblGrid>
        <w:gridCol w:w="2268"/>
        <w:gridCol w:w="6804"/>
      </w:tblGrid>
      <w:tr w:rsidTr="009A341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3D3AC0" w:rsidP="003D3AC0">
            <w:pPr>
              <w:pStyle w:val="BodyText"/>
            </w:pPr>
            <w:r w:rsidRPr="003D3AC0">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3D3AC0">
            <w:pPr>
              <w:pStyle w:val="BodyText"/>
              <w:rPr>
                <w:lang w:val="en-NZ"/>
              </w:rPr>
            </w:pPr>
            <w:r w:rsidRPr="003D3AC0">
              <w:rPr>
                <w:rStyle w:val="SpecialBold"/>
              </w:rPr>
              <w:t>PERFORMANCE CRITERIA</w:t>
            </w:r>
          </w:p>
        </w:tc>
      </w:tr>
      <w:tr w:rsidTr="009A341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D3AC0">
            <w:pPr>
              <w:pStyle w:val="List"/>
              <w:rPr>
                <w:lang w:val="en-NZ"/>
              </w:rPr>
            </w:pPr>
            <w:r w:rsidRPr="003D3AC0">
              <w:rPr>
                <w:rStyle w:val="SpecialBold"/>
              </w:rPr>
              <w:t>1</w:t>
            </w:r>
            <w:r w:rsidRPr="003D3AC0">
              <w:tab/>
            </w:r>
            <w:r w:rsidRPr="003D3AC0">
              <w:rPr>
                <w:rStyle w:val="SpecialBold"/>
              </w:rPr>
              <w:t>Inspect and monitor catchment operations</w:t>
            </w:r>
            <w:r w:rsidRPr="003D3AC0">
              <w:t>.</w:t>
            </w:r>
          </w:p>
        </w:tc>
        <w:tc>
          <w:tcPr>
            <w:tcW w:w="6804" w:type="dxa"/>
            <w:tcBorders>
              <w:top w:val="nil"/>
              <w:left w:val="nil"/>
              <w:bottom w:val="nil"/>
              <w:right w:val="nil"/>
            </w:tcBorders>
            <w:tcMar>
              <w:top w:w="0" w:type="dxa"/>
              <w:left w:w="62" w:type="dxa"/>
              <w:bottom w:w="0" w:type="dxa"/>
              <w:right w:w="62" w:type="dxa"/>
            </w:tcMar>
          </w:tcPr>
          <w:p w:rsidR="00000000" w:rsidRPr="003D3AC0" w:rsidP="003D3AC0">
            <w:pPr>
              <w:pStyle w:val="List"/>
            </w:pPr>
            <w:r w:rsidRPr="003D3AC0">
              <w:t>1.1</w:t>
            </w:r>
            <w:r w:rsidRPr="003D3AC0">
              <w:tab/>
              <w:t xml:space="preserve">Schedule routine </w:t>
            </w:r>
            <w:r w:rsidRPr="003D3AC0">
              <w:rPr>
                <w:rStyle w:val="BoldandItalics"/>
              </w:rPr>
              <w:t>inspections</w:t>
            </w:r>
            <w:r w:rsidRPr="003D3AC0">
              <w:t xml:space="preserve"> of catchment areas to identify </w:t>
            </w:r>
            <w:r w:rsidRPr="003D3AC0">
              <w:rPr>
                <w:rStyle w:val="BoldandItalics"/>
              </w:rPr>
              <w:t>water quality risks</w:t>
            </w:r>
            <w:r w:rsidRPr="003D3AC0">
              <w:t xml:space="preserve"> according to </w:t>
            </w:r>
            <w:r w:rsidRPr="003D3AC0">
              <w:rPr>
                <w:rStyle w:val="BoldandItalics"/>
              </w:rPr>
              <w:t>organisational and statutory requirements</w:t>
            </w:r>
            <w:r w:rsidRPr="003D3AC0">
              <w:t>.</w:t>
            </w:r>
          </w:p>
          <w:p w:rsidR="00000000" w:rsidRPr="003D3AC0" w:rsidP="003D3AC0">
            <w:pPr>
              <w:pStyle w:val="List"/>
            </w:pPr>
            <w:r w:rsidRPr="003D3AC0">
              <w:t>1.2</w:t>
            </w:r>
            <w:r w:rsidRPr="003D3AC0">
              <w:tab/>
              <w:t xml:space="preserve">Collect, analyse and report </w:t>
            </w:r>
            <w:r w:rsidRPr="003D3AC0">
              <w:rPr>
                <w:rStyle w:val="BoldandItalics"/>
              </w:rPr>
              <w:t>catchment data</w:t>
            </w:r>
            <w:r w:rsidRPr="003D3AC0">
              <w:t xml:space="preserve"> according to organisational requirements.</w:t>
            </w:r>
          </w:p>
          <w:p w:rsidR="00000000" w:rsidRPr="003D3AC0" w:rsidP="003D3AC0">
            <w:pPr>
              <w:pStyle w:val="List"/>
            </w:pPr>
            <w:r w:rsidRPr="003D3AC0">
              <w:t>1.3</w:t>
            </w:r>
            <w:r w:rsidRPr="003D3AC0">
              <w:tab/>
              <w:t>Collect and record water samples according to organisational and statutory requirements.</w:t>
            </w:r>
          </w:p>
          <w:p w:rsidR="00000000" w:rsidRPr="003D3AC0" w:rsidP="003D3AC0">
            <w:pPr>
              <w:pStyle w:val="List"/>
            </w:pPr>
            <w:r w:rsidRPr="003D3AC0">
              <w:t>1.4</w:t>
            </w:r>
            <w:r w:rsidRPr="003D3AC0">
              <w:tab/>
              <w:t>Monitor and report on activ</w:t>
            </w:r>
            <w:r w:rsidRPr="003D3AC0">
              <w:t>ities within the catchment area according to organisational and statutory requirements.</w:t>
            </w:r>
          </w:p>
          <w:p w:rsidR="00000000" w:rsidP="003D3AC0">
            <w:pPr>
              <w:pStyle w:val="List"/>
              <w:rPr>
                <w:lang w:val="en-NZ"/>
              </w:rPr>
            </w:pPr>
            <w:r w:rsidRPr="003D3AC0">
              <w:t>1.5</w:t>
            </w:r>
            <w:r w:rsidRPr="003D3AC0">
              <w:tab/>
              <w:t>Correctly select, fit and use required safety equipment, including personal protective equipment.</w:t>
            </w:r>
          </w:p>
        </w:tc>
      </w:tr>
      <w:tr w:rsidTr="009A341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D3AC0">
            <w:pPr>
              <w:pStyle w:val="List"/>
              <w:rPr>
                <w:lang w:val="en-NZ"/>
              </w:rPr>
            </w:pPr>
            <w:r w:rsidRPr="003D3AC0">
              <w:rPr>
                <w:rStyle w:val="SpecialBold"/>
              </w:rPr>
              <w:t>2</w:t>
            </w:r>
            <w:r w:rsidRPr="003D3AC0">
              <w:tab/>
            </w:r>
            <w:r w:rsidRPr="003D3AC0">
              <w:rPr>
                <w:rStyle w:val="SpecialBold"/>
              </w:rPr>
              <w:t>Monitor inflows and outflows</w:t>
            </w:r>
            <w:r w:rsidRPr="003D3AC0">
              <w:t>.</w:t>
            </w:r>
          </w:p>
        </w:tc>
        <w:tc>
          <w:tcPr>
            <w:tcW w:w="6804" w:type="dxa"/>
            <w:tcBorders>
              <w:top w:val="nil"/>
              <w:left w:val="nil"/>
              <w:bottom w:val="nil"/>
              <w:right w:val="nil"/>
            </w:tcBorders>
            <w:tcMar>
              <w:top w:w="0" w:type="dxa"/>
              <w:left w:w="62" w:type="dxa"/>
              <w:bottom w:w="0" w:type="dxa"/>
              <w:right w:w="62" w:type="dxa"/>
            </w:tcMar>
          </w:tcPr>
          <w:p w:rsidR="00000000" w:rsidRPr="003D3AC0" w:rsidP="003D3AC0">
            <w:pPr>
              <w:pStyle w:val="List"/>
            </w:pPr>
            <w:r w:rsidRPr="003D3AC0">
              <w:t>2.1</w:t>
            </w:r>
            <w:r w:rsidRPr="003D3AC0">
              <w:tab/>
              <w:t xml:space="preserve">Inspect </w:t>
            </w:r>
            <w:r w:rsidRPr="003D3AC0">
              <w:rPr>
                <w:rStyle w:val="BoldandItalics"/>
              </w:rPr>
              <w:t>flow regulating syste</w:t>
            </w:r>
            <w:r w:rsidRPr="003D3AC0">
              <w:rPr>
                <w:rStyle w:val="BoldandItalics"/>
              </w:rPr>
              <w:t>ms</w:t>
            </w:r>
            <w:r w:rsidRPr="003D3AC0">
              <w:t xml:space="preserve"> and determine required adjustments to meet demand.</w:t>
            </w:r>
          </w:p>
          <w:p w:rsidR="00000000" w:rsidP="003D3AC0">
            <w:pPr>
              <w:pStyle w:val="List"/>
              <w:rPr>
                <w:lang w:val="en-NZ"/>
              </w:rPr>
            </w:pPr>
            <w:r w:rsidRPr="003D3AC0">
              <w:t>2.2</w:t>
            </w:r>
            <w:r w:rsidRPr="003D3AC0">
              <w:tab/>
              <w:t>Identify and report flows into and conditions of catchment areas according to organisational and statutory requirements.</w:t>
            </w:r>
          </w:p>
        </w:tc>
      </w:tr>
      <w:tr w:rsidTr="009A341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D3AC0">
            <w:pPr>
              <w:pStyle w:val="List"/>
              <w:rPr>
                <w:lang w:val="en-NZ"/>
              </w:rPr>
            </w:pPr>
            <w:r w:rsidRPr="003D3AC0">
              <w:rPr>
                <w:rStyle w:val="SpecialBold"/>
              </w:rPr>
              <w:t>3</w:t>
            </w:r>
            <w:r w:rsidRPr="003D3AC0">
              <w:tab/>
            </w:r>
            <w:r w:rsidRPr="003D3AC0">
              <w:rPr>
                <w:rStyle w:val="SpecialBold"/>
              </w:rPr>
              <w:t>Operate and coordinate catchment processes</w:t>
            </w:r>
            <w:r w:rsidRPr="003D3AC0">
              <w:t>.</w:t>
            </w:r>
          </w:p>
        </w:tc>
        <w:tc>
          <w:tcPr>
            <w:tcW w:w="6804" w:type="dxa"/>
            <w:tcBorders>
              <w:top w:val="nil"/>
              <w:left w:val="nil"/>
              <w:bottom w:val="nil"/>
              <w:right w:val="nil"/>
            </w:tcBorders>
            <w:tcMar>
              <w:top w:w="0" w:type="dxa"/>
              <w:left w:w="62" w:type="dxa"/>
              <w:bottom w:w="0" w:type="dxa"/>
              <w:right w:w="62" w:type="dxa"/>
            </w:tcMar>
          </w:tcPr>
          <w:p w:rsidR="00000000" w:rsidRPr="003D3AC0" w:rsidP="003D3AC0">
            <w:pPr>
              <w:pStyle w:val="List"/>
            </w:pPr>
            <w:r w:rsidRPr="003D3AC0">
              <w:t>3.1</w:t>
            </w:r>
            <w:r w:rsidRPr="003D3AC0">
              <w:tab/>
              <w:t xml:space="preserve">Identify, address and, if </w:t>
            </w:r>
            <w:r w:rsidRPr="003D3AC0">
              <w:t>appropriate, report problems within catchment areas according to organisational requirements.</w:t>
            </w:r>
          </w:p>
          <w:p w:rsidR="00000000" w:rsidRPr="003D3AC0" w:rsidP="003D3AC0">
            <w:pPr>
              <w:pStyle w:val="List"/>
            </w:pPr>
            <w:r w:rsidRPr="003D3AC0">
              <w:t>3.2</w:t>
            </w:r>
            <w:r w:rsidRPr="003D3AC0">
              <w:tab/>
              <w:t>Monitor and coordinate processes to maintain the parameters of operation.</w:t>
            </w:r>
          </w:p>
          <w:p w:rsidR="00000000" w:rsidP="003D3AC0">
            <w:pPr>
              <w:pStyle w:val="List"/>
              <w:rPr>
                <w:lang w:val="en-NZ"/>
              </w:rPr>
            </w:pPr>
            <w:r w:rsidRPr="003D3AC0">
              <w:t>3.3</w:t>
            </w:r>
            <w:r w:rsidRPr="003D3AC0">
              <w:tab/>
              <w:t>Integrate processes to improve source performance according to organisational re</w:t>
            </w:r>
            <w:r w:rsidRPr="003D3AC0">
              <w:t>quirements.</w:t>
            </w:r>
          </w:p>
        </w:tc>
      </w:tr>
      <w:tr w:rsidTr="009A341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D3AC0">
            <w:pPr>
              <w:pStyle w:val="List"/>
              <w:rPr>
                <w:lang w:val="en-NZ"/>
              </w:rPr>
            </w:pPr>
            <w:r w:rsidRPr="003D3AC0">
              <w:rPr>
                <w:rStyle w:val="SpecialBold"/>
              </w:rPr>
              <w:t>4</w:t>
            </w:r>
            <w:r w:rsidRPr="003D3AC0">
              <w:tab/>
            </w:r>
            <w:r w:rsidRPr="003D3AC0">
              <w:rPr>
                <w:rStyle w:val="SpecialBold"/>
              </w:rPr>
              <w:t>Complete documentation</w:t>
            </w:r>
            <w:r w:rsidRPr="003D3AC0">
              <w:t>.</w:t>
            </w:r>
          </w:p>
        </w:tc>
        <w:tc>
          <w:tcPr>
            <w:tcW w:w="6804" w:type="dxa"/>
            <w:tcBorders>
              <w:top w:val="nil"/>
              <w:left w:val="nil"/>
              <w:bottom w:val="nil"/>
              <w:right w:val="nil"/>
            </w:tcBorders>
            <w:tcMar>
              <w:top w:w="0" w:type="dxa"/>
              <w:left w:w="62" w:type="dxa"/>
              <w:bottom w:w="0" w:type="dxa"/>
              <w:right w:w="62" w:type="dxa"/>
            </w:tcMar>
          </w:tcPr>
          <w:p w:rsidR="00000000" w:rsidRPr="003D3AC0" w:rsidP="003D3AC0">
            <w:pPr>
              <w:pStyle w:val="List"/>
            </w:pPr>
            <w:r w:rsidRPr="003D3AC0">
              <w:t>4.1</w:t>
            </w:r>
            <w:r w:rsidRPr="003D3AC0">
              <w:tab/>
              <w:t>Review and action investigation results according to organisational requirements.</w:t>
            </w:r>
          </w:p>
          <w:p w:rsidR="00000000" w:rsidRPr="003D3AC0" w:rsidP="003D3AC0">
            <w:pPr>
              <w:pStyle w:val="List"/>
            </w:pPr>
            <w:r w:rsidRPr="003D3AC0">
              <w:t>4.2</w:t>
            </w:r>
            <w:r w:rsidRPr="003D3AC0">
              <w:tab/>
              <w:t>Compile reports from catchment inspections according to organisational requirements.</w:t>
            </w:r>
          </w:p>
        </w:tc>
      </w:tr>
    </w:tbl>
    <w:p w:rsidR="00000000" w:rsidRPr="003D3AC0" w:rsidP="003D3AC0">
      <w:pPr>
        <w:pStyle w:val="BodyText"/>
      </w:pPr>
    </w:p>
    <w:p w:rsidR="00000000" w:rsidRPr="003D3AC0" w:rsidP="003D3AC0">
      <w:pPr>
        <w:pStyle w:val="AllowPageBreak"/>
      </w:pPr>
    </w:p>
    <w:p w:rsidR="00000000" w:rsidRPr="003D3AC0" w:rsidP="003D3AC0">
      <w:pPr>
        <w:pStyle w:val="Heading1"/>
      </w:pPr>
      <w:bookmarkStart w:id="9" w:name="O_405062"/>
      <w:bookmarkEnd w:id="9"/>
      <w:r w:rsidRPr="003D3AC0">
        <w:t>Required Skills and Knowledge</w:t>
      </w:r>
    </w:p>
    <w:tbl>
      <w:tblPr>
        <w:tblW w:w="0" w:type="auto"/>
        <w:tblLayout w:type="fixed"/>
        <w:tblCellMar>
          <w:left w:w="62" w:type="dxa"/>
          <w:right w:w="62" w:type="dxa"/>
        </w:tblCellMar>
        <w:tblLook w:val="0000"/>
      </w:tblPr>
      <w:tblGrid>
        <w:gridCol w:w="9072"/>
      </w:tblGrid>
      <w:tr w:rsidTr="009A34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3AC0">
            <w:pPr>
              <w:pStyle w:val="BodyText"/>
              <w:rPr>
                <w:lang w:val="en-NZ"/>
              </w:rPr>
            </w:pPr>
            <w:r w:rsidRPr="003D3AC0">
              <w:t>This describes the essential skills and knowledge and their level, required for this unit.</w:t>
            </w:r>
          </w:p>
        </w:tc>
      </w:tr>
      <w:tr w:rsidTr="009A34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3AC0" w:rsidP="003D3AC0">
            <w:pPr>
              <w:pStyle w:val="BodyText"/>
            </w:pPr>
            <w:r w:rsidRPr="003D3AC0">
              <w:rPr>
                <w:rStyle w:val="SpecialBold"/>
              </w:rPr>
              <w:t>Required skills</w:t>
            </w:r>
            <w:r w:rsidRPr="003D3AC0">
              <w:t>:</w:t>
            </w:r>
          </w:p>
          <w:p w:rsidR="00000000" w:rsidRPr="003D3AC0" w:rsidP="003D3AC0">
            <w:pPr>
              <w:pStyle w:val="ListBullet"/>
            </w:pPr>
            <w:r w:rsidRPr="003D3AC0">
              <w:t>solve operational problems</w:t>
            </w:r>
          </w:p>
          <w:p w:rsidR="00000000" w:rsidRPr="003D3AC0" w:rsidP="003D3AC0">
            <w:pPr>
              <w:pStyle w:val="ListBullet"/>
            </w:pPr>
            <w:r w:rsidRPr="003D3AC0">
              <w:t>produce reports and logs</w:t>
            </w:r>
          </w:p>
          <w:p w:rsidR="00000000" w:rsidRPr="003D3AC0" w:rsidP="003D3AC0">
            <w:pPr>
              <w:pStyle w:val="ListBullet"/>
            </w:pPr>
            <w:r w:rsidRPr="003D3AC0">
              <w:t>use safety equipment and personal protective equipment</w:t>
            </w:r>
          </w:p>
          <w:p w:rsidR="00000000" w:rsidRPr="003D3AC0" w:rsidP="003D3AC0">
            <w:pPr>
              <w:pStyle w:val="ListBullet"/>
            </w:pPr>
            <w:r w:rsidRPr="003D3AC0">
              <w:t>use pest eradication equipment</w:t>
            </w:r>
          </w:p>
          <w:p w:rsidR="00000000" w:rsidRPr="003D3AC0" w:rsidP="003D3AC0">
            <w:pPr>
              <w:pStyle w:val="ListBullet"/>
            </w:pPr>
            <w:r w:rsidRPr="003D3AC0">
              <w:t>calculate flow and capacity</w:t>
            </w:r>
          </w:p>
          <w:p w:rsidR="00000000" w:rsidRPr="003D3AC0" w:rsidP="003D3AC0">
            <w:pPr>
              <w:pStyle w:val="ListBullet"/>
            </w:pPr>
            <w:r w:rsidRPr="003D3AC0">
              <w:t>coordinate safety surveillance</w:t>
            </w:r>
          </w:p>
          <w:p w:rsidR="00000000" w:rsidRPr="003D3AC0" w:rsidP="003D3AC0">
            <w:pPr>
              <w:pStyle w:val="ListBullet"/>
            </w:pPr>
            <w:r w:rsidRPr="003D3AC0">
              <w:t>interpret plans</w:t>
            </w:r>
          </w:p>
          <w:p w:rsidR="00000000" w:rsidRPr="003D3AC0" w:rsidP="003D3AC0">
            <w:pPr>
              <w:pStyle w:val="ListBullet"/>
            </w:pPr>
            <w:r w:rsidRPr="003D3AC0">
              <w:t>interpret policies and standard operating procedures</w:t>
            </w:r>
          </w:p>
          <w:p w:rsidR="00000000" w:rsidRPr="003D3AC0" w:rsidP="003D3AC0">
            <w:pPr>
              <w:pStyle w:val="ListBullet"/>
            </w:pPr>
            <w:r w:rsidRPr="003D3AC0">
              <w:t>communicate with employees and customers</w:t>
            </w:r>
          </w:p>
          <w:p w:rsidR="00000000" w:rsidRPr="003D3AC0" w:rsidP="003D3AC0">
            <w:pPr>
              <w:pStyle w:val="ListBullet"/>
            </w:pPr>
            <w:r w:rsidRPr="003D3AC0">
              <w:t>use communication equipment</w:t>
            </w:r>
          </w:p>
          <w:p w:rsidR="00000000" w:rsidRPr="003D3AC0" w:rsidP="003D3AC0">
            <w:pPr>
              <w:pStyle w:val="ListBullet"/>
            </w:pPr>
            <w:r w:rsidRPr="003D3AC0">
              <w:t>give and receive instruction</w:t>
            </w:r>
            <w:r w:rsidRPr="003D3AC0">
              <w:t>s</w:t>
            </w:r>
          </w:p>
          <w:p w:rsidR="00000000" w:rsidRPr="003D3AC0" w:rsidP="003D3AC0">
            <w:pPr>
              <w:pStyle w:val="ListBullet"/>
            </w:pPr>
            <w:r w:rsidRPr="003D3AC0">
              <w:t>identify control system faults</w:t>
            </w:r>
          </w:p>
          <w:p w:rsidR="00000000" w:rsidP="003D3AC0">
            <w:pPr>
              <w:pStyle w:val="ListBullet"/>
              <w:rPr>
                <w:lang w:val="en-NZ"/>
              </w:rPr>
            </w:pPr>
            <w:r w:rsidRPr="003D3AC0">
              <w:t>identify water quality risks and prepare protection strategies</w:t>
            </w:r>
          </w:p>
        </w:tc>
      </w:tr>
      <w:tr w:rsidTr="009A34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3AC0" w:rsidP="003D3AC0">
            <w:pPr>
              <w:pStyle w:val="BodyText"/>
            </w:pPr>
            <w:r w:rsidRPr="003D3AC0">
              <w:rPr>
                <w:rStyle w:val="SpecialBold"/>
              </w:rPr>
              <w:t>Required knowledge</w:t>
            </w:r>
            <w:r w:rsidRPr="003D3AC0">
              <w:t>:</w:t>
            </w:r>
          </w:p>
          <w:p w:rsidR="00000000" w:rsidRPr="003D3AC0" w:rsidP="003D3AC0">
            <w:pPr>
              <w:pStyle w:val="ListBullet"/>
            </w:pPr>
            <w:r w:rsidRPr="003D3AC0">
              <w:t>inspection of catchments</w:t>
            </w:r>
          </w:p>
          <w:p w:rsidR="00000000" w:rsidRPr="003D3AC0" w:rsidP="003D3AC0">
            <w:pPr>
              <w:pStyle w:val="ListBullet"/>
            </w:pPr>
            <w:r w:rsidRPr="003D3AC0">
              <w:t>coordination processes</w:t>
            </w:r>
          </w:p>
          <w:p w:rsidR="00000000" w:rsidRPr="003D3AC0" w:rsidP="003D3AC0">
            <w:pPr>
              <w:pStyle w:val="ListBullet"/>
            </w:pPr>
            <w:r w:rsidRPr="003D3AC0">
              <w:t>system layout</w:t>
            </w:r>
          </w:p>
          <w:p w:rsidR="00000000" w:rsidRPr="003D3AC0" w:rsidP="003D3AC0">
            <w:pPr>
              <w:pStyle w:val="ListBullet"/>
            </w:pPr>
            <w:r w:rsidRPr="003D3AC0">
              <w:t>system processes</w:t>
            </w:r>
          </w:p>
          <w:p w:rsidR="00000000" w:rsidRPr="003D3AC0" w:rsidP="003D3AC0">
            <w:pPr>
              <w:pStyle w:val="ListBullet"/>
            </w:pPr>
            <w:r w:rsidRPr="003D3AC0">
              <w:t>environmental aspects of catchment areas</w:t>
            </w:r>
          </w:p>
          <w:p w:rsidR="00000000" w:rsidRPr="003D3AC0" w:rsidP="003D3AC0">
            <w:pPr>
              <w:pStyle w:val="ListBullet"/>
            </w:pPr>
            <w:r w:rsidRPr="003D3AC0">
              <w:t>safety procedures</w:t>
            </w:r>
          </w:p>
          <w:p w:rsidR="00000000" w:rsidRPr="003D3AC0" w:rsidP="003D3AC0">
            <w:pPr>
              <w:pStyle w:val="ListBullet"/>
            </w:pPr>
            <w:r w:rsidRPr="003D3AC0">
              <w:t>policies and standard operating procedures</w:t>
            </w:r>
          </w:p>
          <w:p w:rsidR="00000000" w:rsidRPr="003D3AC0" w:rsidP="003D3AC0">
            <w:pPr>
              <w:pStyle w:val="ListBullet"/>
            </w:pPr>
            <w:r w:rsidRPr="003D3AC0">
              <w:t>a general understanding of water and wastewater treatment and the effect of floods on these systems</w:t>
            </w:r>
          </w:p>
          <w:p w:rsidR="00000000" w:rsidRPr="003D3AC0" w:rsidP="003D3AC0">
            <w:pPr>
              <w:pStyle w:val="ListBullet"/>
            </w:pPr>
            <w:r w:rsidRPr="003D3AC0">
              <w:t>Australian Drinking Water Guidelines</w:t>
            </w:r>
          </w:p>
          <w:p w:rsidR="00000000" w:rsidRPr="003D3AC0" w:rsidP="003D3AC0">
            <w:pPr>
              <w:pStyle w:val="ListBullet"/>
            </w:pPr>
            <w:r w:rsidRPr="003D3AC0">
              <w:t>hazardous substances handling</w:t>
            </w:r>
          </w:p>
          <w:p w:rsidR="00000000" w:rsidRPr="003D3AC0" w:rsidP="003D3AC0">
            <w:pPr>
              <w:pStyle w:val="ListBullet"/>
            </w:pPr>
            <w:r w:rsidRPr="003D3AC0">
              <w:t>communication systems</w:t>
            </w:r>
          </w:p>
          <w:p w:rsidR="00000000" w:rsidRPr="003D3AC0" w:rsidP="003D3AC0">
            <w:pPr>
              <w:pStyle w:val="ListBullet"/>
            </w:pPr>
            <w:r w:rsidRPr="003D3AC0">
              <w:t>risk factors and potenti</w:t>
            </w:r>
            <w:r w:rsidRPr="003D3AC0">
              <w:t>al hazards involved with catchment area processes, equipment operation, capacity and limitations</w:t>
            </w:r>
          </w:p>
          <w:p w:rsidR="00000000" w:rsidRPr="003D3AC0" w:rsidP="003D3AC0">
            <w:pPr>
              <w:pStyle w:val="ListBullet"/>
            </w:pPr>
            <w:r w:rsidRPr="003D3AC0">
              <w:t>effects of weather and conditions on operation of catchment areas</w:t>
            </w:r>
          </w:p>
          <w:p w:rsidR="00000000" w:rsidRPr="003D3AC0" w:rsidP="003D3AC0">
            <w:pPr>
              <w:pStyle w:val="ListBullet"/>
            </w:pPr>
            <w:r w:rsidRPr="003D3AC0">
              <w:t>pumping and valving systems</w:t>
            </w:r>
          </w:p>
          <w:p w:rsidR="00000000" w:rsidRPr="003D3AC0" w:rsidP="003D3AC0">
            <w:pPr>
              <w:pStyle w:val="ListBullet"/>
            </w:pPr>
            <w:r w:rsidRPr="003D3AC0">
              <w:t>control systems</w:t>
            </w:r>
          </w:p>
          <w:p w:rsidR="00000000" w:rsidRPr="003D3AC0" w:rsidP="003D3AC0">
            <w:pPr>
              <w:pStyle w:val="ListBullet"/>
            </w:pPr>
            <w:r w:rsidRPr="003D3AC0">
              <w:t>pest control specifications</w:t>
            </w:r>
          </w:p>
        </w:tc>
      </w:tr>
    </w:tbl>
    <w:p w:rsidR="00000000" w:rsidRPr="003D3AC0" w:rsidP="003D3AC0">
      <w:pPr>
        <w:pStyle w:val="BodyText"/>
      </w:pPr>
    </w:p>
    <w:p w:rsidR="00000000" w:rsidRPr="003D3AC0" w:rsidP="003D3AC0">
      <w:pPr>
        <w:pStyle w:val="AllowPageBreak"/>
      </w:pPr>
    </w:p>
    <w:p w:rsidR="00000000" w:rsidRPr="003D3AC0" w:rsidP="003D3AC0">
      <w:pPr>
        <w:pStyle w:val="Heading1"/>
      </w:pPr>
      <w:bookmarkStart w:id="10" w:name="O_405068"/>
      <w:bookmarkEnd w:id="10"/>
      <w:r w:rsidRPr="003D3AC0">
        <w:t>Evidence Guide</w:t>
      </w:r>
    </w:p>
    <w:tbl>
      <w:tblPr>
        <w:tblW w:w="0" w:type="auto"/>
        <w:tblLayout w:type="fixed"/>
        <w:tblCellMar>
          <w:left w:w="62" w:type="dxa"/>
          <w:right w:w="62" w:type="dxa"/>
        </w:tblCellMar>
        <w:tblLook w:val="0000"/>
      </w:tblPr>
      <w:tblGrid>
        <w:gridCol w:w="2968"/>
        <w:gridCol w:w="6104"/>
      </w:tblGrid>
      <w:tr w:rsidTr="009A34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3AC0">
            <w:pPr>
              <w:pStyle w:val="BodyText"/>
              <w:rPr>
                <w:lang w:val="en-NZ"/>
              </w:rPr>
            </w:pPr>
            <w:r w:rsidRPr="003D3AC0">
              <w:t>The evidence guide provides advice on assessment and must be read in conjunction with the Performance Criteria, Required Skills and Knowledge, the Range Statement and the Assessment Guidelines for the Training Package.</w:t>
            </w:r>
          </w:p>
        </w:tc>
      </w:tr>
      <w:tr w:rsidTr="009A341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D3AC0">
            <w:pPr>
              <w:pStyle w:val="BodyText"/>
              <w:rPr>
                <w:lang w:val="en-NZ"/>
              </w:rPr>
            </w:pPr>
            <w:r w:rsidRPr="003D3AC0">
              <w:rPr>
                <w:rStyle w:val="SpecialBold"/>
              </w:rPr>
              <w:t>Critical aspects for</w:t>
            </w:r>
            <w:r w:rsidRPr="003D3AC0">
              <w:rPr>
                <w:rStyle w:val="SpecialBold"/>
              </w:rPr>
              <w:t xml:space="preserve">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3D3AC0" w:rsidP="003D3AC0">
            <w:pPr>
              <w:pStyle w:val="BodyText"/>
            </w:pPr>
            <w:r w:rsidRPr="003D3AC0">
              <w:t>The candidate should demonstrate the ability to inspect and monitor catchment areas, monitor flows and coordinate catchment processes including:</w:t>
            </w:r>
          </w:p>
          <w:p w:rsidR="00000000" w:rsidRPr="003D3AC0" w:rsidP="003D3AC0">
            <w:pPr>
              <w:pStyle w:val="ListBullet"/>
            </w:pPr>
            <w:r w:rsidRPr="003D3AC0">
              <w:t>inspecting catchment areas and identi</w:t>
            </w:r>
            <w:r w:rsidRPr="003D3AC0">
              <w:t xml:space="preserve">fying water quality risks </w:t>
            </w:r>
          </w:p>
          <w:p w:rsidR="00000000" w:rsidRPr="003D3AC0" w:rsidP="003D3AC0">
            <w:pPr>
              <w:pStyle w:val="ListBullet"/>
            </w:pPr>
            <w:r w:rsidRPr="003D3AC0">
              <w:t xml:space="preserve">monitoring catchment and collecting and reporting catchment data </w:t>
            </w:r>
          </w:p>
          <w:p w:rsidR="00000000" w:rsidRPr="003D3AC0" w:rsidP="003D3AC0">
            <w:pPr>
              <w:pStyle w:val="ListBullet"/>
            </w:pPr>
            <w:r w:rsidRPr="003D3AC0">
              <w:t>collecting samples</w:t>
            </w:r>
          </w:p>
          <w:p w:rsidR="00000000" w:rsidRPr="003D3AC0" w:rsidP="003D3AC0">
            <w:pPr>
              <w:pStyle w:val="ListBullet"/>
            </w:pPr>
            <w:r w:rsidRPr="003D3AC0">
              <w:t>inspecting and adjusting flow regulating systems</w:t>
            </w:r>
          </w:p>
          <w:p w:rsidR="00000000" w:rsidRPr="003D3AC0" w:rsidP="003D3AC0">
            <w:pPr>
              <w:pStyle w:val="ListBullet"/>
            </w:pPr>
            <w:r w:rsidRPr="003D3AC0">
              <w:t>identifying and reporting on flows into the catchment area</w:t>
            </w:r>
          </w:p>
          <w:p w:rsidR="00000000" w:rsidRPr="003D3AC0" w:rsidP="003D3AC0">
            <w:pPr>
              <w:pStyle w:val="ListBullet"/>
            </w:pPr>
            <w:r w:rsidRPr="003D3AC0">
              <w:t>assessing and reporting on the condition of the catchment area</w:t>
            </w:r>
          </w:p>
          <w:p w:rsidR="00000000" w:rsidRPr="003D3AC0" w:rsidP="003D3AC0">
            <w:pPr>
              <w:pStyle w:val="ListBullet"/>
            </w:pPr>
            <w:r w:rsidRPr="003D3AC0">
              <w:t>identifying and addressing risks and hazards</w:t>
            </w:r>
          </w:p>
          <w:p w:rsidR="00000000" w:rsidRPr="003D3AC0" w:rsidP="003D3AC0">
            <w:pPr>
              <w:pStyle w:val="ListBullet"/>
            </w:pPr>
            <w:r w:rsidRPr="003D3AC0">
              <w:t>monitoring and integrating catchments processes</w:t>
            </w:r>
          </w:p>
          <w:p w:rsidR="00000000" w:rsidRPr="003D3AC0" w:rsidP="003D3AC0">
            <w:pPr>
              <w:pStyle w:val="ListBullet"/>
            </w:pPr>
            <w:r w:rsidRPr="003D3AC0">
              <w:t>completing documentations</w:t>
            </w:r>
          </w:p>
          <w:p w:rsidR="00000000" w:rsidP="003D3AC0">
            <w:pPr>
              <w:pStyle w:val="ListBullet"/>
              <w:rPr>
                <w:lang w:val="en-NZ"/>
              </w:rPr>
            </w:pPr>
            <w:r w:rsidRPr="003D3AC0">
              <w:t>implementing actions resulting from investigations</w:t>
            </w:r>
          </w:p>
        </w:tc>
      </w:tr>
      <w:tr w:rsidTr="009A341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D3AC0">
            <w:pPr>
              <w:pStyle w:val="BodyText"/>
              <w:rPr>
                <w:lang w:val="en-NZ"/>
              </w:rPr>
            </w:pPr>
            <w:r w:rsidRPr="003D3AC0">
              <w:rPr>
                <w:rStyle w:val="SpecialBold"/>
              </w:rPr>
              <w:t>Context of and specifi</w:t>
            </w:r>
            <w:r w:rsidRPr="003D3AC0">
              <w:rPr>
                <w:rStyle w:val="SpecialBold"/>
              </w:rPr>
              <w:t>c resources for assessment</w:t>
            </w:r>
          </w:p>
        </w:tc>
        <w:tc>
          <w:tcPr>
            <w:tcW w:w="6104" w:type="dxa"/>
            <w:tcBorders>
              <w:top w:val="nil"/>
              <w:left w:val="nil"/>
              <w:bottom w:val="nil"/>
              <w:right w:val="nil"/>
            </w:tcBorders>
            <w:tcMar>
              <w:top w:w="0" w:type="dxa"/>
              <w:left w:w="62" w:type="dxa"/>
              <w:bottom w:w="0" w:type="dxa"/>
              <w:right w:w="62" w:type="dxa"/>
            </w:tcMar>
          </w:tcPr>
          <w:p w:rsidR="00000000" w:rsidRPr="003D3AC0" w:rsidP="003D3AC0">
            <w:pPr>
              <w:pStyle w:val="BodyText"/>
            </w:pPr>
            <w:r w:rsidRPr="003D3AC0">
              <w:t xml:space="preserve">Access to the workplace and resources including: </w:t>
            </w:r>
          </w:p>
          <w:p w:rsidR="00000000" w:rsidRPr="003D3AC0" w:rsidP="003D3AC0">
            <w:pPr>
              <w:pStyle w:val="ListBullet"/>
            </w:pPr>
            <w:r w:rsidRPr="003D3AC0">
              <w:t>documentation that should normally be available in a water industry organisation</w:t>
            </w:r>
          </w:p>
          <w:p w:rsidR="00000000" w:rsidRPr="003D3AC0" w:rsidP="003D3AC0">
            <w:pPr>
              <w:pStyle w:val="ListBullet"/>
            </w:pPr>
            <w:r w:rsidRPr="003D3AC0">
              <w:t>relevant codes, standards, and government regulations</w:t>
            </w:r>
          </w:p>
          <w:p w:rsidR="00000000" w:rsidRPr="003D3AC0" w:rsidP="003D3AC0">
            <w:pPr>
              <w:pStyle w:val="BodyText"/>
            </w:pPr>
            <w:r w:rsidRPr="003D3AC0">
              <w:t>Where applicable, physical resources should</w:t>
            </w:r>
            <w:r w:rsidRPr="003D3AC0">
              <w:t xml:space="preserve"> include equipment modified for people with disabilities.</w:t>
            </w:r>
          </w:p>
          <w:p w:rsidR="00000000" w:rsidRPr="003D3AC0" w:rsidP="003D3AC0">
            <w:pPr>
              <w:pStyle w:val="BodyText"/>
            </w:pPr>
            <w:r w:rsidRPr="003D3AC0">
              <w:t>Access must be provided to appropriate learning and/or assessment support when required.</w:t>
            </w:r>
          </w:p>
          <w:p w:rsidR="00000000" w:rsidRPr="003D3AC0" w:rsidP="003D3AC0">
            <w:pPr>
              <w:pStyle w:val="BodyText"/>
            </w:pPr>
            <w:r w:rsidRPr="003D3AC0">
              <w:t xml:space="preserve">Assessment processes and techniques must be culturally appropriate, and appropriate to the language and literacy capacity of the candidate and the work being performed. </w:t>
            </w:r>
          </w:p>
          <w:p w:rsidR="00000000" w:rsidRPr="003D3AC0" w:rsidP="003D3AC0">
            <w:pPr>
              <w:pStyle w:val="BodyText"/>
            </w:pPr>
            <w:r w:rsidRPr="003D3AC0">
              <w:t>Validity and sufficiency of evidence requires that:</w:t>
            </w:r>
          </w:p>
          <w:p w:rsidR="00000000" w:rsidRPr="003D3AC0" w:rsidP="003D3AC0">
            <w:pPr>
              <w:pStyle w:val="ListBullet"/>
            </w:pPr>
            <w:r w:rsidRPr="003D3AC0">
              <w:t>competency will need to be demons</w:t>
            </w:r>
            <w:r w:rsidRPr="003D3AC0">
              <w:t>trated over a period of time reflecting the scope of the role and the practical requirements of the workplace</w:t>
            </w:r>
          </w:p>
          <w:p w:rsidR="00000000" w:rsidRPr="003D3AC0" w:rsidP="003D3AC0">
            <w:pPr>
              <w:pStyle w:val="ListBullet"/>
            </w:pPr>
            <w:r w:rsidRPr="003D3AC0">
              <w:t>where the assessment is part of a structured learning experience the evidence collected must relate to a number of performances assessed at differ</w:t>
            </w:r>
            <w:r w:rsidRPr="003D3AC0">
              <w:t>ent points in time and separated by further learning and practice</w:t>
            </w:r>
          </w:p>
          <w:p w:rsidR="00000000" w:rsidRPr="003D3AC0" w:rsidP="003D3AC0">
            <w:pPr>
              <w:pStyle w:val="ListBullet"/>
            </w:pPr>
            <w:r w:rsidRPr="003D3AC0">
              <w:t>a decision of competence only taken at the point when the assessor has complete confidence in the person's competence over time and in various contexts</w:t>
            </w:r>
          </w:p>
          <w:p w:rsidR="00000000" w:rsidRPr="003D3AC0" w:rsidP="003D3AC0">
            <w:pPr>
              <w:pStyle w:val="ListBullet"/>
            </w:pPr>
            <w:r w:rsidRPr="003D3AC0">
              <w:t>all assessment that is part of a struc</w:t>
            </w:r>
            <w:r w:rsidRPr="003D3AC0">
              <w:t>tured learning experience must include a combination of direct, indirect and supplementary evidence</w:t>
            </w:r>
          </w:p>
          <w:p w:rsidR="00000000" w:rsidRPr="003D3AC0" w:rsidP="003D3AC0">
            <w:pPr>
              <w:pStyle w:val="ListBullet"/>
            </w:pPr>
            <w:r w:rsidRPr="003D3AC0">
              <w:t>where assessment is for the purpose of recognition (RCC/RPL), the evidence provided will need to be authenticated and show that it represents competency dem</w:t>
            </w:r>
            <w:r w:rsidRPr="003D3AC0">
              <w:t>onstrated over a period of time</w:t>
            </w:r>
          </w:p>
          <w:p w:rsidR="00000000" w:rsidRPr="003D3AC0" w:rsidP="003D3AC0">
            <w:pPr>
              <w:pStyle w:val="ListBullet"/>
            </w:pPr>
            <w:r w:rsidRPr="003D3AC0">
              <w:t>assessment can be through simulated project-based activity and must include evidence relating to each of the elements in this unit</w:t>
            </w:r>
          </w:p>
          <w:p w:rsidR="00000000" w:rsidRPr="003D3AC0" w:rsidP="003D3AC0">
            <w:pPr>
              <w:pStyle w:val="BodyText"/>
            </w:pPr>
            <w:r w:rsidRPr="003D3AC0">
              <w:t>In all cases where practical assessment is used it will be combined with targeted questioning</w:t>
            </w:r>
            <w:r w:rsidRPr="003D3AC0">
              <w:t xml:space="preserve"> to assess the underpinning knowledge. Questioning will be undertaken in a manner appropriate to the skill levels of the operator, any cultural issues that may affect responses to the questions, and reflecting the requirements of the competency and the wor</w:t>
            </w:r>
            <w:r w:rsidRPr="003D3AC0">
              <w:t>k being performed.</w:t>
            </w:r>
          </w:p>
        </w:tc>
      </w:tr>
    </w:tbl>
    <w:p w:rsidR="00000000" w:rsidRPr="003D3AC0" w:rsidP="003D3AC0">
      <w:pPr>
        <w:pStyle w:val="BodyText"/>
      </w:pPr>
    </w:p>
    <w:p w:rsidR="00000000" w:rsidRPr="003D3AC0" w:rsidP="003D3AC0">
      <w:pPr>
        <w:pStyle w:val="AllowPageBreak"/>
      </w:pPr>
    </w:p>
    <w:p w:rsidR="00000000" w:rsidRPr="003D3AC0" w:rsidP="003D3AC0">
      <w:pPr>
        <w:pStyle w:val="Heading1"/>
      </w:pPr>
      <w:bookmarkStart w:id="11" w:name="O_405063"/>
      <w:bookmarkEnd w:id="11"/>
      <w:r w:rsidRPr="003D3AC0">
        <w:t>Range Statement</w:t>
      </w:r>
    </w:p>
    <w:tbl>
      <w:tblPr>
        <w:tblW w:w="0" w:type="auto"/>
        <w:tblLayout w:type="fixed"/>
        <w:tblCellMar>
          <w:left w:w="62" w:type="dxa"/>
          <w:right w:w="62" w:type="dxa"/>
        </w:tblCellMar>
        <w:tblLook w:val="0000"/>
      </w:tblPr>
      <w:tblGrid>
        <w:gridCol w:w="2968"/>
        <w:gridCol w:w="6104"/>
      </w:tblGrid>
      <w:tr w:rsidTr="009A34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3AC0">
            <w:pPr>
              <w:pStyle w:val="BodyText"/>
              <w:rPr>
                <w:lang w:val="en-NZ"/>
              </w:rPr>
            </w:pPr>
            <w:r w:rsidRPr="003D3AC0">
              <w:t xml:space="preserve">The range statement relates to the unit of competency as a whole. It allows for different work environments and situations that may affect performance. </w:t>
            </w:r>
            <w:r w:rsidRPr="003D3AC0">
              <w:rPr>
                <w:rStyle w:val="BoldandItalics"/>
              </w:rPr>
              <w:t>Bold italicised</w:t>
            </w:r>
            <w:r w:rsidRPr="003D3AC0">
              <w:t xml:space="preserve"> wording, if used in the Performance Criteria, is detailed below. Add any essential operating conditions that may be present with training and assessment depending on the work situation, needs if the candidate, accessibility of the item, and local industry</w:t>
            </w:r>
            <w:r w:rsidRPr="003D3AC0">
              <w:t xml:space="preserve"> and regional contexts.</w:t>
            </w:r>
          </w:p>
        </w:tc>
      </w:tr>
      <w:tr w:rsidTr="009A341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D3AC0">
            <w:pPr>
              <w:pStyle w:val="BodyText"/>
              <w:rPr>
                <w:lang w:val="en-NZ"/>
              </w:rPr>
            </w:pPr>
            <w:r w:rsidRPr="003D3AC0">
              <w:rPr>
                <w:rStyle w:val="BoldandItalics"/>
              </w:rPr>
              <w:t>Inspections</w:t>
            </w:r>
            <w:r w:rsidRPr="003D3AC0">
              <w:t xml:space="preserve"> may require:</w:t>
            </w:r>
          </w:p>
        </w:tc>
        <w:tc>
          <w:tcPr>
            <w:tcW w:w="6104" w:type="dxa"/>
            <w:tcBorders>
              <w:top w:val="nil"/>
              <w:left w:val="nil"/>
              <w:bottom w:val="nil"/>
              <w:right w:val="nil"/>
            </w:tcBorders>
            <w:tcMar>
              <w:top w:w="0" w:type="dxa"/>
              <w:left w:w="62" w:type="dxa"/>
              <w:bottom w:w="0" w:type="dxa"/>
              <w:right w:w="62" w:type="dxa"/>
            </w:tcMar>
          </w:tcPr>
          <w:p w:rsidR="00000000" w:rsidRPr="003D3AC0" w:rsidP="003D3AC0">
            <w:pPr>
              <w:pStyle w:val="ListBullet"/>
            </w:pPr>
            <w:r w:rsidRPr="003D3AC0">
              <w:t>interaction and communication with other employees, other authorities and the general public</w:t>
            </w:r>
          </w:p>
          <w:p w:rsidR="00000000" w:rsidRPr="003D3AC0" w:rsidP="003D3AC0">
            <w:pPr>
              <w:pStyle w:val="ListBullet"/>
            </w:pPr>
            <w:r w:rsidRPr="003D3AC0">
              <w:t>visual observation</w:t>
            </w:r>
          </w:p>
          <w:p w:rsidR="00000000" w:rsidRPr="003D3AC0" w:rsidP="003D3AC0">
            <w:pPr>
              <w:pStyle w:val="ListBullet"/>
            </w:pPr>
            <w:r w:rsidRPr="003D3AC0">
              <w:t xml:space="preserve">implementation of reporting procedures including: </w:t>
            </w:r>
          </w:p>
          <w:p w:rsidR="00000000" w:rsidRPr="003D3AC0" w:rsidP="003D3AC0">
            <w:pPr>
              <w:pStyle w:val="ListBullet2"/>
            </w:pPr>
            <w:r w:rsidRPr="003D3AC0">
              <w:t>procedures for the implementation of by-laws</w:t>
            </w:r>
          </w:p>
          <w:p w:rsidR="00000000" w:rsidRPr="003D3AC0" w:rsidP="003D3AC0">
            <w:pPr>
              <w:pStyle w:val="ListBullet2"/>
            </w:pPr>
            <w:r w:rsidRPr="003D3AC0">
              <w:t>organisational policies</w:t>
            </w:r>
          </w:p>
          <w:p w:rsidR="00000000" w:rsidRPr="003D3AC0" w:rsidP="003D3AC0">
            <w:pPr>
              <w:pStyle w:val="ListBullet2"/>
            </w:pPr>
            <w:r w:rsidRPr="003D3AC0">
              <w:t>standard operating procedures</w:t>
            </w:r>
          </w:p>
          <w:p w:rsidR="00000000" w:rsidP="003D3AC0">
            <w:pPr>
              <w:pStyle w:val="ListBullet2"/>
              <w:rPr>
                <w:lang w:val="en-NZ"/>
              </w:rPr>
            </w:pPr>
            <w:r w:rsidRPr="003D3AC0">
              <w:t>statutory requirements</w:t>
            </w:r>
          </w:p>
        </w:tc>
      </w:tr>
      <w:tr w:rsidTr="009A341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D3AC0">
            <w:pPr>
              <w:pStyle w:val="BodyText"/>
              <w:rPr>
                <w:lang w:val="en-NZ"/>
              </w:rPr>
            </w:pPr>
            <w:r w:rsidRPr="003D3AC0">
              <w:rPr>
                <w:rStyle w:val="BoldandItalics"/>
              </w:rPr>
              <w:t>Water quality risks</w:t>
            </w:r>
            <w:r w:rsidRPr="003D3AC0">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3D3AC0" w:rsidP="003D3AC0">
            <w:pPr>
              <w:pStyle w:val="ListBullet"/>
            </w:pPr>
            <w:r w:rsidRPr="003D3AC0">
              <w:t>herbicide run-off</w:t>
            </w:r>
          </w:p>
          <w:p w:rsidR="00000000" w:rsidRPr="003D3AC0" w:rsidP="003D3AC0">
            <w:pPr>
              <w:pStyle w:val="ListBullet"/>
            </w:pPr>
            <w:r w:rsidRPr="003D3AC0">
              <w:t>dead and decaying wildlife and stock animals</w:t>
            </w:r>
          </w:p>
          <w:p w:rsidR="00000000" w:rsidRPr="003D3AC0" w:rsidP="003D3AC0">
            <w:pPr>
              <w:pStyle w:val="ListBullet"/>
            </w:pPr>
            <w:r w:rsidRPr="003D3AC0">
              <w:t>animal and bird faeces</w:t>
            </w:r>
          </w:p>
          <w:p w:rsidR="00000000" w:rsidP="003D3AC0">
            <w:pPr>
              <w:pStyle w:val="ListBullet"/>
              <w:rPr>
                <w:lang w:val="en-NZ"/>
              </w:rPr>
            </w:pPr>
            <w:r w:rsidRPr="003D3AC0">
              <w:t>corrosion of plant and equipment</w:t>
            </w:r>
          </w:p>
        </w:tc>
      </w:tr>
      <w:tr w:rsidTr="009A341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D3AC0">
            <w:pPr>
              <w:pStyle w:val="BodyText"/>
              <w:rPr>
                <w:lang w:val="en-NZ"/>
              </w:rPr>
            </w:pPr>
            <w:r w:rsidRPr="003D3AC0">
              <w:rPr>
                <w:rStyle w:val="BoldandItalics"/>
              </w:rPr>
              <w:t>Organisational and statutory requirements</w:t>
            </w:r>
            <w:r w:rsidRPr="003D3AC0">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3D3AC0" w:rsidP="003D3AC0">
            <w:pPr>
              <w:pStyle w:val="ListBullet"/>
            </w:pPr>
            <w:r w:rsidRPr="003D3AC0">
              <w:t>by-laws and organisational policies</w:t>
            </w:r>
          </w:p>
          <w:p w:rsidR="00000000" w:rsidRPr="003D3AC0" w:rsidP="003D3AC0">
            <w:pPr>
              <w:pStyle w:val="ListBullet"/>
            </w:pPr>
            <w:r w:rsidRPr="003D3AC0">
              <w:t>standard operating procedures</w:t>
            </w:r>
          </w:p>
          <w:p w:rsidR="00000000" w:rsidRPr="003D3AC0" w:rsidP="003D3AC0">
            <w:pPr>
              <w:pStyle w:val="ListBullet"/>
            </w:pPr>
            <w:r w:rsidRPr="003D3AC0">
              <w:t>environment protection</w:t>
            </w:r>
          </w:p>
          <w:p w:rsidR="00000000" w:rsidRPr="003D3AC0" w:rsidP="003D3AC0">
            <w:pPr>
              <w:pStyle w:val="ListBullet"/>
            </w:pPr>
            <w:r w:rsidRPr="003D3AC0">
              <w:t>occupational health and safety, including use of personal protective equipmen</w:t>
            </w:r>
            <w:r w:rsidRPr="003D3AC0">
              <w:t>t</w:t>
            </w:r>
          </w:p>
          <w:p w:rsidR="00000000" w:rsidRPr="003D3AC0" w:rsidP="003D3AC0">
            <w:pPr>
              <w:pStyle w:val="ListBullet"/>
            </w:pPr>
            <w:r w:rsidRPr="003D3AC0">
              <w:t>dangerous goods and hazardous substances</w:t>
            </w:r>
          </w:p>
          <w:p w:rsidR="00000000" w:rsidRPr="003D3AC0" w:rsidP="003D3AC0">
            <w:pPr>
              <w:pStyle w:val="ListBullet"/>
            </w:pPr>
            <w:r w:rsidRPr="003D3AC0">
              <w:t>road signage</w:t>
            </w:r>
          </w:p>
          <w:p w:rsidR="00000000" w:rsidRPr="003D3AC0" w:rsidP="003D3AC0">
            <w:pPr>
              <w:pStyle w:val="ListBullet"/>
            </w:pPr>
            <w:r w:rsidRPr="003D3AC0">
              <w:t>electrical</w:t>
            </w:r>
          </w:p>
          <w:p w:rsidR="00000000" w:rsidRPr="003D3AC0" w:rsidP="003D3AC0">
            <w:pPr>
              <w:pStyle w:val="ListBullet"/>
            </w:pPr>
            <w:r w:rsidRPr="003D3AC0">
              <w:t>dangerous goods</w:t>
            </w:r>
          </w:p>
          <w:p w:rsidR="00000000" w:rsidRPr="003D3AC0" w:rsidP="003D3AC0">
            <w:pPr>
              <w:pStyle w:val="ListBullet"/>
            </w:pPr>
            <w:r w:rsidRPr="003D3AC0">
              <w:t>World Health Organisation standards</w:t>
            </w:r>
          </w:p>
          <w:p w:rsidR="00000000" w:rsidRPr="003D3AC0" w:rsidP="003D3AC0">
            <w:pPr>
              <w:pStyle w:val="ListBullet"/>
            </w:pPr>
            <w:r w:rsidRPr="003D3AC0">
              <w:t>Australian Drinking Water Guidelines</w:t>
            </w:r>
          </w:p>
          <w:p w:rsidR="00000000" w:rsidP="003D3AC0">
            <w:pPr>
              <w:pStyle w:val="ListBullet"/>
              <w:rPr>
                <w:lang w:val="en-NZ"/>
              </w:rPr>
            </w:pPr>
            <w:r w:rsidRPr="003D3AC0">
              <w:t>Australian National Committee on Large Dams guidelines</w:t>
            </w:r>
          </w:p>
        </w:tc>
      </w:tr>
      <w:tr w:rsidTr="009A341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D3AC0">
            <w:pPr>
              <w:pStyle w:val="BodyText"/>
              <w:rPr>
                <w:lang w:val="en-NZ"/>
              </w:rPr>
            </w:pPr>
            <w:r w:rsidRPr="003D3AC0">
              <w:rPr>
                <w:rStyle w:val="BoldandItalics"/>
              </w:rPr>
              <w:t>Catchment data</w:t>
            </w:r>
            <w:r w:rsidRPr="003D3AC0">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3D3AC0" w:rsidP="003D3AC0">
            <w:pPr>
              <w:pStyle w:val="ListBullet"/>
            </w:pPr>
            <w:r w:rsidRPr="003D3AC0">
              <w:t>aerial photographs</w:t>
            </w:r>
          </w:p>
          <w:p w:rsidR="00000000" w:rsidRPr="003D3AC0" w:rsidP="003D3AC0">
            <w:pPr>
              <w:pStyle w:val="ListBullet"/>
            </w:pPr>
            <w:r w:rsidRPr="003D3AC0">
              <w:t>satellite photographs</w:t>
            </w:r>
          </w:p>
          <w:p w:rsidR="00000000" w:rsidP="003D3AC0">
            <w:pPr>
              <w:pStyle w:val="ListBullet"/>
              <w:rPr>
                <w:lang w:val="en-NZ"/>
              </w:rPr>
            </w:pPr>
            <w:r w:rsidRPr="003D3AC0">
              <w:t>catchment officer/ranger reports</w:t>
            </w:r>
          </w:p>
        </w:tc>
      </w:tr>
      <w:tr w:rsidTr="009A341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D3AC0">
            <w:pPr>
              <w:pStyle w:val="BodyText"/>
              <w:rPr>
                <w:lang w:val="en-NZ"/>
              </w:rPr>
            </w:pPr>
            <w:r w:rsidRPr="003D3AC0">
              <w:rPr>
                <w:rStyle w:val="BoldandItalics"/>
              </w:rPr>
              <w:t>Flow regulating systems</w:t>
            </w:r>
            <w:r w:rsidRPr="003D3AC0">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3D3AC0" w:rsidP="003D3AC0">
            <w:pPr>
              <w:pStyle w:val="ListBullet"/>
            </w:pPr>
            <w:r w:rsidRPr="003D3AC0">
              <w:t>pumping systems</w:t>
            </w:r>
          </w:p>
          <w:p w:rsidR="00000000" w:rsidRPr="003D3AC0" w:rsidP="003D3AC0">
            <w:pPr>
              <w:pStyle w:val="ListBullet"/>
            </w:pPr>
            <w:r w:rsidRPr="003D3AC0">
              <w:t>valving systems</w:t>
            </w:r>
          </w:p>
          <w:p w:rsidR="00000000" w:rsidRPr="003D3AC0" w:rsidP="003D3AC0">
            <w:pPr>
              <w:pStyle w:val="ListBullet"/>
            </w:pPr>
            <w:r w:rsidRPr="003D3AC0">
              <w:t>control systems</w:t>
            </w:r>
          </w:p>
          <w:p w:rsidR="00000000" w:rsidRPr="003D3AC0" w:rsidP="003D3AC0">
            <w:pPr>
              <w:pStyle w:val="ListBullet"/>
            </w:pPr>
            <w:r w:rsidRPr="003D3AC0">
              <w:t>emergency overflow and diversion systems</w:t>
            </w:r>
          </w:p>
        </w:tc>
      </w:tr>
    </w:tbl>
    <w:p w:rsidR="009A3415" w:rsidP="003D3AC0">
      <w:pPr>
        <w:pStyle w:val="BodyText"/>
      </w:pPr>
    </w:p>
    <w:p w:rsidR="009A3415" w:rsidP="003D3AC0">
      <w:pPr>
        <w:pStyle w:val="BodyText"/>
      </w:pPr>
    </w:p>
    <w:p w:rsidR="00000000" w:rsidRPr="003D3AC0" w:rsidP="003D3AC0">
      <w:pPr>
        <w:pStyle w:val="Heading1"/>
      </w:pPr>
      <w:bookmarkStart w:id="12" w:name="O_405060"/>
      <w:bookmarkEnd w:id="12"/>
      <w:r w:rsidRPr="003D3AC0">
        <w:t>Unit Sector(s)</w:t>
      </w:r>
    </w:p>
    <w:p w:rsidR="00000000" w:rsidRPr="003D3AC0" w:rsidP="003D3AC0">
      <w:pPr>
        <w:pStyle w:val="BodyText"/>
      </w:pPr>
      <w:r w:rsidRPr="003D3AC0">
        <w:t>Not applicable.</w:t>
      </w:r>
    </w:p>
    <w:p w:rsidR="00000000" w:rsidRPr="003D3AC0" w:rsidP="003D3AC0">
      <w:pPr>
        <w:pStyle w:val="AllowPageBreak"/>
      </w:pPr>
    </w:p>
    <w:p w:rsidR="00000000" w:rsidRPr="003D3AC0" w:rsidP="003D3AC0">
      <w:pPr>
        <w:pStyle w:val="Heading1"/>
      </w:pPr>
      <w:bookmarkStart w:id="13" w:name="O_405072"/>
      <w:bookmarkEnd w:id="13"/>
      <w:r w:rsidRPr="003D3AC0">
        <w:t>Competency field</w:t>
      </w:r>
    </w:p>
    <w:p w:rsidR="00000000" w:rsidRPr="003D3AC0" w:rsidP="003D3AC0">
      <w:pPr>
        <w:pStyle w:val="BodyText"/>
      </w:pPr>
      <w:r w:rsidRPr="003D3AC0">
        <w:t>Collection and distribution.</w:t>
      </w:r>
    </w:p>
    <w:p w:rsidR="00000000" w:rsidRPr="003D3AC0" w:rsidP="003D3AC0"/>
    <w:sectPr w:rsidSect="003D3A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415" w:rsidP="009A34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15" w:rsidP="003D3A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A3415" w:rsidP="003D3A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A3415" w:rsidP="003D3A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415" w:rsidP="009A34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15" w:rsidP="003D3AC0">
    <w:pPr>
      <w:pStyle w:val="Header"/>
      <w:framePr w:wrap="around"/>
    </w:pPr>
    <w:r>
      <w:fldChar w:fldCharType="begin"/>
    </w:r>
    <w:r>
      <w:instrText xml:space="preserve"> TITLE   \* MERGEFORMAT </w:instrText>
    </w:r>
    <w:r>
      <w:fldChar w:fldCharType="separate"/>
    </w:r>
    <w:r>
      <w:t>NWP323B Monitor and coordinate catchment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3415" w:rsidP="003D3A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F26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CE50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5C8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A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3AC0"/>
    <w:pPr>
      <w:spacing w:before="360" w:after="60"/>
      <w:outlineLvl w:val="0"/>
    </w:pPr>
    <w:rPr>
      <w:sz w:val="32"/>
    </w:rPr>
  </w:style>
  <w:style w:type="paragraph" w:styleId="Heading2">
    <w:name w:val="heading 2"/>
    <w:basedOn w:val="HeadingBase"/>
    <w:next w:val="BodyText"/>
    <w:link w:val="Heading2Char"/>
    <w:qFormat/>
    <w:rsid w:val="003D3AC0"/>
    <w:pPr>
      <w:keepLines/>
      <w:spacing w:before="240" w:after="120"/>
      <w:outlineLvl w:val="1"/>
    </w:pPr>
    <w:rPr>
      <w:sz w:val="28"/>
      <w:szCs w:val="40"/>
    </w:rPr>
  </w:style>
  <w:style w:type="paragraph" w:styleId="Heading3">
    <w:name w:val="heading 3"/>
    <w:basedOn w:val="HeadingBase"/>
    <w:next w:val="BodyText"/>
    <w:link w:val="Heading3Char"/>
    <w:qFormat/>
    <w:rsid w:val="003D3AC0"/>
    <w:pPr>
      <w:spacing w:before="180" w:after="120"/>
      <w:outlineLvl w:val="2"/>
    </w:pPr>
    <w:rPr>
      <w:spacing w:val="-10"/>
      <w:kern w:val="32"/>
    </w:rPr>
  </w:style>
  <w:style w:type="paragraph" w:styleId="Heading4">
    <w:name w:val="heading 4"/>
    <w:basedOn w:val="HeadingBase"/>
    <w:next w:val="BodyText"/>
    <w:link w:val="Heading4Char"/>
    <w:qFormat/>
    <w:rsid w:val="003D3AC0"/>
    <w:pPr>
      <w:spacing w:before="160" w:after="120"/>
      <w:outlineLvl w:val="3"/>
    </w:pPr>
    <w:rPr>
      <w:sz w:val="22"/>
    </w:rPr>
  </w:style>
  <w:style w:type="paragraph" w:styleId="Heading5">
    <w:name w:val="heading 5"/>
    <w:basedOn w:val="HeadingBase"/>
    <w:next w:val="Normal"/>
    <w:link w:val="Heading5Char"/>
    <w:qFormat/>
    <w:rsid w:val="003D3AC0"/>
    <w:pPr>
      <w:spacing w:before="80"/>
      <w:outlineLvl w:val="4"/>
    </w:pPr>
    <w:rPr>
      <w:color w:val="918585"/>
      <w:sz w:val="20"/>
    </w:rPr>
  </w:style>
  <w:style w:type="paragraph" w:styleId="Heading6">
    <w:name w:val="heading 6"/>
    <w:basedOn w:val="HeadingBase"/>
    <w:next w:val="Normal"/>
    <w:link w:val="Heading6Char"/>
    <w:qFormat/>
    <w:rsid w:val="003D3AC0"/>
    <w:pPr>
      <w:spacing w:before="60"/>
      <w:outlineLvl w:val="5"/>
    </w:pPr>
    <w:rPr>
      <w:color w:val="918585"/>
      <w:sz w:val="20"/>
    </w:rPr>
  </w:style>
  <w:style w:type="paragraph" w:styleId="Heading7">
    <w:name w:val="heading 7"/>
    <w:basedOn w:val="Normal"/>
    <w:next w:val="Normal"/>
    <w:link w:val="Heading7Char"/>
    <w:qFormat/>
    <w:rsid w:val="003D3AC0"/>
    <w:pPr>
      <w:ind w:left="720"/>
      <w:outlineLvl w:val="6"/>
    </w:pPr>
    <w:rPr>
      <w:i/>
    </w:rPr>
  </w:style>
  <w:style w:type="paragraph" w:styleId="Heading8">
    <w:name w:val="heading 8"/>
    <w:basedOn w:val="Normal"/>
    <w:next w:val="Normal"/>
    <w:link w:val="Heading8Char"/>
    <w:qFormat/>
    <w:rsid w:val="003D3AC0"/>
    <w:pPr>
      <w:ind w:left="720"/>
      <w:outlineLvl w:val="7"/>
    </w:pPr>
    <w:rPr>
      <w:i/>
    </w:rPr>
  </w:style>
  <w:style w:type="paragraph" w:styleId="Heading9">
    <w:name w:val="heading 9"/>
    <w:basedOn w:val="Normal"/>
    <w:next w:val="Normal"/>
    <w:link w:val="Heading9Char"/>
    <w:qFormat/>
    <w:rsid w:val="003D3AC0"/>
    <w:pPr>
      <w:ind w:left="720"/>
      <w:outlineLvl w:val="8"/>
    </w:pPr>
    <w:rPr>
      <w:i/>
    </w:rPr>
  </w:style>
  <w:style w:type="character" w:default="1" w:styleId="DefaultParagraphFont">
    <w:name w:val="Default Paragraph Font"/>
    <w:uiPriority w:val="1"/>
    <w:unhideWhenUsed/>
    <w:rsid w:val="003D3A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AC0"/>
  </w:style>
  <w:style w:type="character" w:customStyle="1" w:styleId="Heading1Char">
    <w:name w:val="Heading 1 Char"/>
    <w:basedOn w:val="DefaultParagraphFont"/>
    <w:link w:val="Heading1"/>
    <w:rsid w:val="003D3AC0"/>
    <w:rPr>
      <w:rFonts w:ascii="Times New Roman" w:eastAsia="Times New Roman" w:hAnsi="Times New Roman" w:cs="Times New Roman"/>
      <w:b/>
      <w:sz w:val="32"/>
      <w:szCs w:val="20"/>
      <w:lang w:eastAsia="en-US"/>
    </w:rPr>
  </w:style>
  <w:style w:type="paragraph" w:styleId="BodyText">
    <w:name w:val="Body Text"/>
    <w:basedOn w:val="Normal"/>
    <w:link w:val="BodyTextChar"/>
    <w:rsid w:val="003D3A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3AC0"/>
    <w:rPr>
      <w:rFonts w:ascii="Times New Roman" w:eastAsia="Times New Roman" w:hAnsi="Times New Roman" w:cs="Times New Roman"/>
      <w:sz w:val="24"/>
      <w:lang w:val="en-US" w:eastAsia="en-US"/>
    </w:rPr>
  </w:style>
  <w:style w:type="paragraph" w:styleId="Footer">
    <w:name w:val="footer"/>
    <w:basedOn w:val="Normal"/>
    <w:link w:val="FooterChar"/>
    <w:rsid w:val="003D3A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AC0"/>
    <w:rPr>
      <w:rFonts w:ascii="Times New Roman" w:eastAsia="Times New Roman" w:hAnsi="Times New Roman" w:cs="Times New Roman"/>
      <w:sz w:val="16"/>
      <w:lang w:val="en-US" w:eastAsia="en-US"/>
    </w:rPr>
  </w:style>
  <w:style w:type="paragraph" w:styleId="List">
    <w:name w:val="List"/>
    <w:basedOn w:val="BodyText"/>
    <w:next w:val="BodyText"/>
    <w:rsid w:val="003D3AC0"/>
    <w:pPr>
      <w:tabs>
        <w:tab w:val="left" w:pos="340"/>
      </w:tabs>
      <w:spacing w:before="60" w:after="60"/>
      <w:ind w:left="340" w:hanging="340"/>
    </w:pPr>
  </w:style>
  <w:style w:type="paragraph" w:styleId="ListBullet">
    <w:name w:val="List Bullet"/>
    <w:basedOn w:val="List"/>
    <w:rsid w:val="003D3AC0"/>
    <w:pPr>
      <w:numPr>
        <w:numId w:val="13"/>
      </w:numPr>
      <w:tabs>
        <w:tab w:val="clear" w:pos="340"/>
      </w:tabs>
      <w:spacing w:before="40" w:after="40"/>
    </w:pPr>
  </w:style>
  <w:style w:type="character" w:customStyle="1" w:styleId="SpecialBold">
    <w:name w:val="Special Bold"/>
    <w:basedOn w:val="DefaultParagraphFont"/>
    <w:rsid w:val="003D3AC0"/>
    <w:rPr>
      <w:b/>
      <w:spacing w:val="0"/>
    </w:rPr>
  </w:style>
  <w:style w:type="paragraph" w:styleId="ListBullet2">
    <w:name w:val="List Bullet 2"/>
    <w:basedOn w:val="List2"/>
    <w:rsid w:val="003D3AC0"/>
    <w:pPr>
      <w:numPr>
        <w:numId w:val="14"/>
      </w:numPr>
      <w:tabs>
        <w:tab w:val="clear" w:pos="680"/>
      </w:tabs>
    </w:pPr>
  </w:style>
  <w:style w:type="paragraph" w:styleId="Header">
    <w:name w:val="header"/>
    <w:basedOn w:val="Normal"/>
    <w:link w:val="HeaderChar"/>
    <w:rsid w:val="003D3A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A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3AC0"/>
    <w:pPr>
      <w:spacing w:before="240" w:after="120"/>
      <w:outlineLvl w:val="0"/>
    </w:pPr>
    <w:rPr>
      <w:rFonts w:ascii="Times New Roman" w:hAnsi="Times New Roman"/>
      <w:b/>
      <w:sz w:val="28"/>
    </w:rPr>
  </w:style>
  <w:style w:type="paragraph" w:customStyle="1" w:styleId="AllowPageBreak">
    <w:name w:val="AllowPageBreak"/>
    <w:rsid w:val="003D3A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3AC0"/>
    <w:rPr>
      <w:b/>
      <w:i/>
      <w:u w:val="none"/>
    </w:rPr>
  </w:style>
  <w:style w:type="character" w:customStyle="1" w:styleId="Heading2Char">
    <w:name w:val="Heading 2 Char"/>
    <w:basedOn w:val="DefaultParagraphFont"/>
    <w:link w:val="Heading2"/>
    <w:rsid w:val="003D3A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A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A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A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A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A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3A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3AC0"/>
    <w:rPr>
      <w:rFonts w:ascii="Courier New" w:eastAsia="Times New Roman" w:hAnsi="Courier New" w:cs="Times New Roman"/>
      <w:i/>
      <w:szCs w:val="20"/>
      <w:lang w:val="en-US" w:eastAsia="en-US"/>
    </w:rPr>
  </w:style>
  <w:style w:type="paragraph" w:customStyle="1" w:styleId="HeadingBase">
    <w:name w:val="Heading Base"/>
    <w:rsid w:val="003D3A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AC0"/>
    <w:pPr>
      <w:tabs>
        <w:tab w:val="right" w:leader="dot" w:pos="9072"/>
      </w:tabs>
      <w:ind w:left="567"/>
    </w:pPr>
    <w:rPr>
      <w:szCs w:val="22"/>
    </w:rPr>
  </w:style>
  <w:style w:type="paragraph" w:customStyle="1" w:styleId="TOCBase">
    <w:name w:val="TOC Base"/>
    <w:rsid w:val="003D3A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AC0"/>
    <w:pPr>
      <w:tabs>
        <w:tab w:val="right" w:leader="dot" w:pos="9072"/>
      </w:tabs>
      <w:spacing w:before="40" w:after="40"/>
      <w:ind w:left="284"/>
    </w:pPr>
    <w:rPr>
      <w:rFonts w:ascii="Times New Roman" w:hAnsi="Times New Roman"/>
    </w:rPr>
  </w:style>
  <w:style w:type="paragraph" w:styleId="TOC1">
    <w:name w:val="toc 1"/>
    <w:basedOn w:val="TOCBase"/>
    <w:next w:val="Normal"/>
    <w:rsid w:val="003D3A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3AC0"/>
    <w:pPr>
      <w:spacing w:before="5040"/>
      <w:jc w:val="center"/>
    </w:pPr>
    <w:rPr>
      <w:sz w:val="48"/>
      <w:szCs w:val="72"/>
      <w:lang w:val="en-US"/>
    </w:rPr>
  </w:style>
  <w:style w:type="character" w:customStyle="1" w:styleId="TitleChar">
    <w:name w:val="Title Char"/>
    <w:basedOn w:val="DefaultParagraphFont"/>
    <w:link w:val="Title"/>
    <w:rsid w:val="003D3A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AC0"/>
    <w:pPr>
      <w:tabs>
        <w:tab w:val="left" w:pos="3600"/>
        <w:tab w:val="left" w:pos="3958"/>
      </w:tabs>
    </w:pPr>
  </w:style>
  <w:style w:type="paragraph" w:customStyle="1" w:styleId="Note">
    <w:name w:val="Note"/>
    <w:basedOn w:val="BodyText"/>
    <w:rsid w:val="003D3A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AC0"/>
    <w:pPr>
      <w:framePr w:wrap="auto" w:hAnchor="text" w:y="6049"/>
    </w:pPr>
    <w:rPr>
      <w:color w:val="000000"/>
      <w:sz w:val="40"/>
    </w:rPr>
  </w:style>
  <w:style w:type="paragraph" w:customStyle="1" w:styleId="TOCTitle">
    <w:name w:val="TOCTitle"/>
    <w:basedOn w:val="Heading1"/>
    <w:rsid w:val="003D3AC0"/>
    <w:pPr>
      <w:spacing w:after="240"/>
      <w:jc w:val="center"/>
      <w:outlineLvl w:val="9"/>
    </w:pPr>
    <w:rPr>
      <w:caps/>
    </w:rPr>
  </w:style>
  <w:style w:type="paragraph" w:customStyle="1" w:styleId="Version">
    <w:name w:val="Version"/>
    <w:rsid w:val="003D3A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AC0"/>
    <w:pPr>
      <w:keepNext w:val="0"/>
      <w:tabs>
        <w:tab w:val="right" w:pos="4176"/>
      </w:tabs>
      <w:ind w:left="198" w:hanging="198"/>
    </w:pPr>
    <w:rPr>
      <w:rFonts w:ascii="Garamond" w:hAnsi="Garamond"/>
    </w:rPr>
  </w:style>
  <w:style w:type="paragraph" w:styleId="IndexHeading">
    <w:name w:val="index heading"/>
    <w:basedOn w:val="Normal"/>
    <w:next w:val="Index1"/>
    <w:semiHidden/>
    <w:rsid w:val="003D3AC0"/>
    <w:pPr>
      <w:spacing w:before="120" w:after="120"/>
    </w:pPr>
    <w:rPr>
      <w:rFonts w:ascii="Arial" w:hAnsi="Arial"/>
      <w:b/>
      <w:color w:val="918585"/>
      <w:sz w:val="24"/>
    </w:rPr>
  </w:style>
  <w:style w:type="paragraph" w:customStyle="1" w:styleId="Chapter">
    <w:name w:val="Chapter"/>
    <w:basedOn w:val="Normal"/>
    <w:rsid w:val="003D3AC0"/>
    <w:pPr>
      <w:spacing w:before="240"/>
    </w:pPr>
    <w:rPr>
      <w:rFonts w:ascii="Times New Roman" w:hAnsi="Times New Roman"/>
      <w:smallCaps/>
      <w:spacing w:val="80"/>
      <w:sz w:val="28"/>
    </w:rPr>
  </w:style>
  <w:style w:type="paragraph" w:customStyle="1" w:styleId="InChapter">
    <w:name w:val="InChapter"/>
    <w:basedOn w:val="Heading3"/>
    <w:rsid w:val="003D3AC0"/>
    <w:pPr>
      <w:spacing w:after="240"/>
      <w:outlineLvl w:val="9"/>
    </w:pPr>
    <w:rPr>
      <w:noProof/>
    </w:rPr>
  </w:style>
  <w:style w:type="paragraph" w:styleId="Index2">
    <w:name w:val="index 2"/>
    <w:basedOn w:val="Normal"/>
    <w:next w:val="Normal"/>
    <w:semiHidden/>
    <w:rsid w:val="003D3AC0"/>
    <w:pPr>
      <w:tabs>
        <w:tab w:val="right" w:pos="4176"/>
      </w:tabs>
      <w:ind w:left="568" w:hanging="284"/>
    </w:pPr>
    <w:rPr>
      <w:rFonts w:ascii="Garamond" w:hAnsi="Garamond"/>
    </w:rPr>
  </w:style>
  <w:style w:type="paragraph" w:customStyle="1" w:styleId="Byline">
    <w:name w:val="Byline"/>
    <w:rsid w:val="003D3A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AC0"/>
    <w:pPr>
      <w:tabs>
        <w:tab w:val="clear" w:pos="3600"/>
        <w:tab w:val="clear" w:pos="3958"/>
      </w:tabs>
      <w:jc w:val="right"/>
    </w:pPr>
  </w:style>
  <w:style w:type="character" w:styleId="Emphasis">
    <w:name w:val="Emphasis"/>
    <w:basedOn w:val="DefaultParagraphFont"/>
    <w:qFormat/>
    <w:rsid w:val="003D3AC0"/>
    <w:rPr>
      <w:i/>
    </w:rPr>
  </w:style>
  <w:style w:type="paragraph" w:styleId="Caption">
    <w:name w:val="caption"/>
    <w:basedOn w:val="BodyText"/>
    <w:next w:val="Normal"/>
    <w:qFormat/>
    <w:rsid w:val="003D3AC0"/>
    <w:pPr>
      <w:framePr w:w="2268" w:hSpace="181" w:vSpace="181" w:wrap="around" w:vAnchor="text" w:hAnchor="page" w:x="1135" w:y="285" w:anchorLock="1"/>
    </w:pPr>
    <w:rPr>
      <w:i/>
    </w:rPr>
  </w:style>
  <w:style w:type="paragraph" w:customStyle="1" w:styleId="MiniTOCTitle">
    <w:name w:val="MiniTOCTitle"/>
    <w:basedOn w:val="Heading4"/>
    <w:rsid w:val="003D3AC0"/>
    <w:pPr>
      <w:spacing w:before="240"/>
      <w:outlineLvl w:val="9"/>
    </w:pPr>
    <w:rPr>
      <w:noProof/>
      <w:sz w:val="24"/>
    </w:rPr>
  </w:style>
  <w:style w:type="paragraph" w:customStyle="1" w:styleId="MiniTOCItem">
    <w:name w:val="MiniTOCItem"/>
    <w:basedOn w:val="ListBullet"/>
    <w:rsid w:val="003D3AC0"/>
    <w:pPr>
      <w:numPr>
        <w:numId w:val="0"/>
      </w:numPr>
      <w:tabs>
        <w:tab w:val="right" w:leader="dot" w:pos="6521"/>
      </w:tabs>
      <w:spacing w:before="0" w:after="0"/>
    </w:pPr>
  </w:style>
  <w:style w:type="paragraph" w:customStyle="1" w:styleId="TOFTitle">
    <w:name w:val="TOFTitle"/>
    <w:basedOn w:val="TOCTitle"/>
    <w:rsid w:val="003D3AC0"/>
  </w:style>
  <w:style w:type="paragraph" w:styleId="TableofFigures">
    <w:name w:val="table of figures"/>
    <w:basedOn w:val="Normal"/>
    <w:next w:val="Normal"/>
    <w:semiHidden/>
    <w:rsid w:val="003D3AC0"/>
    <w:pPr>
      <w:tabs>
        <w:tab w:val="right" w:leader="dot" w:pos="9072"/>
      </w:tabs>
      <w:ind w:left="970" w:hanging="403"/>
    </w:pPr>
    <w:rPr>
      <w:rFonts w:ascii="Times New Roman" w:hAnsi="Times New Roman"/>
      <w:b/>
    </w:rPr>
  </w:style>
  <w:style w:type="paragraph" w:styleId="ListNumber">
    <w:name w:val="List Number"/>
    <w:basedOn w:val="List"/>
    <w:rsid w:val="003D3AC0"/>
    <w:pPr>
      <w:numPr>
        <w:numId w:val="11"/>
      </w:numPr>
    </w:pPr>
  </w:style>
  <w:style w:type="character" w:customStyle="1" w:styleId="WingdingSymbols">
    <w:name w:val="Wingding Symbols"/>
    <w:rsid w:val="003D3AC0"/>
    <w:rPr>
      <w:rFonts w:ascii="Wingdings" w:hAnsi="Wingdings"/>
    </w:rPr>
  </w:style>
  <w:style w:type="paragraph" w:customStyle="1" w:styleId="TableHeading">
    <w:name w:val="Table Heading"/>
    <w:basedOn w:val="HeadingBase"/>
    <w:rsid w:val="003D3AC0"/>
    <w:pPr>
      <w:keepLines/>
      <w:pBdr>
        <w:bottom w:val="single" w:sz="6" w:space="1" w:color="918585"/>
      </w:pBdr>
      <w:spacing w:before="240"/>
    </w:pPr>
  </w:style>
  <w:style w:type="character" w:customStyle="1" w:styleId="HotSpot">
    <w:name w:val="HotSpot"/>
    <w:rsid w:val="003D3AC0"/>
    <w:rPr>
      <w:color w:val="0033CC"/>
      <w:u w:val="none"/>
    </w:rPr>
  </w:style>
  <w:style w:type="paragraph" w:customStyle="1" w:styleId="BodyTextRight">
    <w:name w:val="Body Text Right"/>
    <w:basedOn w:val="BodyText"/>
    <w:rsid w:val="003D3AC0"/>
    <w:pPr>
      <w:spacing w:before="0" w:after="0"/>
      <w:jc w:val="right"/>
    </w:pPr>
  </w:style>
  <w:style w:type="paragraph" w:styleId="Index3">
    <w:name w:val="index 3"/>
    <w:basedOn w:val="ListNumber2"/>
    <w:next w:val="Normal"/>
    <w:semiHidden/>
    <w:rsid w:val="003D3AC0"/>
    <w:pPr>
      <w:numPr>
        <w:numId w:val="0"/>
      </w:numPr>
      <w:tabs>
        <w:tab w:val="right" w:leader="dot" w:pos="4176"/>
      </w:tabs>
    </w:pPr>
  </w:style>
  <w:style w:type="paragraph" w:styleId="ListNumber2">
    <w:name w:val="List Number 2"/>
    <w:basedOn w:val="List2"/>
    <w:rsid w:val="003D3AC0"/>
    <w:pPr>
      <w:numPr>
        <w:numId w:val="10"/>
      </w:numPr>
      <w:tabs>
        <w:tab w:val="clear" w:pos="1060"/>
      </w:tabs>
    </w:pPr>
  </w:style>
  <w:style w:type="paragraph" w:customStyle="1" w:styleId="MarginNote">
    <w:name w:val="Margin Note"/>
    <w:basedOn w:val="BodyText"/>
    <w:rsid w:val="003D3A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A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A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3AC0"/>
    <w:rPr>
      <w:sz w:val="32"/>
    </w:rPr>
  </w:style>
  <w:style w:type="paragraph" w:customStyle="1" w:styleId="HeadingProcedure">
    <w:name w:val="Heading Procedure"/>
    <w:basedOn w:val="HeadingBase"/>
    <w:next w:val="Normal"/>
    <w:rsid w:val="003D3AC0"/>
    <w:pPr>
      <w:tabs>
        <w:tab w:val="left" w:pos="0"/>
      </w:tabs>
      <w:spacing w:before="120" w:after="60"/>
    </w:pPr>
    <w:rPr>
      <w:i/>
      <w:color w:val="918585"/>
      <w:sz w:val="22"/>
    </w:rPr>
  </w:style>
  <w:style w:type="paragraph" w:customStyle="1" w:styleId="TableBodyText">
    <w:name w:val="Table Body Text"/>
    <w:basedOn w:val="BodyText"/>
    <w:rsid w:val="003D3AC0"/>
    <w:pPr>
      <w:spacing w:before="60" w:after="60"/>
    </w:pPr>
  </w:style>
  <w:style w:type="paragraph" w:styleId="ListContinue">
    <w:name w:val="List Continue"/>
    <w:basedOn w:val="List"/>
    <w:rsid w:val="003D3AC0"/>
    <w:pPr>
      <w:ind w:firstLine="0"/>
    </w:pPr>
  </w:style>
  <w:style w:type="paragraph" w:customStyle="1" w:styleId="ListNote">
    <w:name w:val="List Note"/>
    <w:basedOn w:val="List"/>
    <w:rsid w:val="003D3AC0"/>
    <w:pPr>
      <w:pBdr>
        <w:top w:val="single" w:sz="6" w:space="2" w:color="918585"/>
        <w:bottom w:val="single" w:sz="6" w:space="2" w:color="918585"/>
      </w:pBdr>
      <w:tabs>
        <w:tab w:val="left" w:pos="1021"/>
      </w:tabs>
      <w:ind w:firstLine="0"/>
    </w:pPr>
  </w:style>
  <w:style w:type="paragraph" w:customStyle="1" w:styleId="Warning">
    <w:name w:val="Warning"/>
    <w:basedOn w:val="BodyText"/>
    <w:rsid w:val="003D3AC0"/>
    <w:pPr>
      <w:shd w:val="clear" w:color="auto" w:fill="D9D9D9"/>
      <w:tabs>
        <w:tab w:val="left" w:pos="992"/>
      </w:tabs>
      <w:ind w:left="119" w:right="119"/>
    </w:pPr>
    <w:rPr>
      <w:sz w:val="20"/>
    </w:rPr>
  </w:style>
  <w:style w:type="paragraph" w:customStyle="1" w:styleId="MarginIcons">
    <w:name w:val="Margin Icons"/>
    <w:basedOn w:val="BodyText"/>
    <w:rsid w:val="003D3A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AC0"/>
    <w:rPr>
      <w:rFonts w:ascii="Courier New" w:hAnsi="Courier New"/>
    </w:rPr>
  </w:style>
  <w:style w:type="paragraph" w:customStyle="1" w:styleId="NoteBullet">
    <w:name w:val="Note Bullet"/>
    <w:basedOn w:val="Note"/>
    <w:rsid w:val="003D3AC0"/>
    <w:pPr>
      <w:tabs>
        <w:tab w:val="clear" w:pos="680"/>
      </w:tabs>
      <w:spacing w:before="60" w:after="60"/>
    </w:pPr>
  </w:style>
  <w:style w:type="paragraph" w:customStyle="1" w:styleId="SubHeading2">
    <w:name w:val="SubHeading2"/>
    <w:basedOn w:val="HeadingBase"/>
    <w:rsid w:val="003D3AC0"/>
    <w:pPr>
      <w:spacing w:before="240" w:after="60"/>
    </w:pPr>
    <w:rPr>
      <w:sz w:val="20"/>
    </w:rPr>
  </w:style>
  <w:style w:type="paragraph" w:customStyle="1" w:styleId="SubHeading1">
    <w:name w:val="SubHeading1"/>
    <w:basedOn w:val="HeadingBase"/>
    <w:rsid w:val="003D3AC0"/>
    <w:pPr>
      <w:spacing w:before="240" w:after="60"/>
    </w:pPr>
    <w:rPr>
      <w:color w:val="918585"/>
      <w:sz w:val="22"/>
    </w:rPr>
  </w:style>
  <w:style w:type="paragraph" w:customStyle="1" w:styleId="SideHeading">
    <w:name w:val="Side Heading"/>
    <w:basedOn w:val="HeadingBase"/>
    <w:rsid w:val="003D3A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AC0"/>
    <w:pPr>
      <w:numPr>
        <w:numId w:val="12"/>
      </w:numPr>
    </w:pPr>
  </w:style>
  <w:style w:type="paragraph" w:styleId="PlainText">
    <w:name w:val="Plain Text"/>
    <w:basedOn w:val="Normal"/>
    <w:link w:val="PlainTextChar"/>
    <w:rsid w:val="003D3AC0"/>
    <w:rPr>
      <w:sz w:val="20"/>
    </w:rPr>
  </w:style>
  <w:style w:type="character" w:customStyle="1" w:styleId="PlainTextChar">
    <w:name w:val="Plain Text Char"/>
    <w:basedOn w:val="DefaultParagraphFont"/>
    <w:link w:val="PlainText"/>
    <w:rsid w:val="003D3A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3AC0"/>
    <w:rPr>
      <w:b/>
      <w:smallCaps/>
    </w:rPr>
  </w:style>
  <w:style w:type="paragraph" w:customStyle="1" w:styleId="TableListNumber">
    <w:name w:val="Table List Number"/>
    <w:basedOn w:val="ListNumber"/>
    <w:rsid w:val="003D3AC0"/>
    <w:pPr>
      <w:numPr>
        <w:numId w:val="0"/>
      </w:numPr>
    </w:pPr>
  </w:style>
  <w:style w:type="paragraph" w:styleId="TOC4">
    <w:name w:val="toc 4"/>
    <w:basedOn w:val="TOCBase"/>
    <w:next w:val="Normal"/>
    <w:semiHidden/>
    <w:rsid w:val="003D3AC0"/>
    <w:pPr>
      <w:tabs>
        <w:tab w:val="right" w:leader="dot" w:pos="9071"/>
      </w:tabs>
      <w:ind w:left="1701"/>
    </w:pPr>
  </w:style>
  <w:style w:type="paragraph" w:customStyle="1" w:styleId="ListAlpha">
    <w:name w:val="List Alpha"/>
    <w:basedOn w:val="List"/>
    <w:rsid w:val="003D3AC0"/>
    <w:pPr>
      <w:numPr>
        <w:numId w:val="9"/>
      </w:numPr>
    </w:pPr>
  </w:style>
  <w:style w:type="paragraph" w:customStyle="1" w:styleId="ListAlpha2">
    <w:name w:val="List Alpha 2"/>
    <w:basedOn w:val="List2"/>
    <w:rsid w:val="003D3AC0"/>
    <w:pPr>
      <w:numPr>
        <w:numId w:val="8"/>
      </w:numPr>
    </w:pPr>
  </w:style>
  <w:style w:type="paragraph" w:styleId="List2">
    <w:name w:val="List 2"/>
    <w:basedOn w:val="BodyText"/>
    <w:rsid w:val="003D3AC0"/>
    <w:pPr>
      <w:tabs>
        <w:tab w:val="left" w:pos="680"/>
      </w:tabs>
      <w:spacing w:before="60" w:after="60"/>
      <w:ind w:left="680" w:hanging="340"/>
    </w:pPr>
  </w:style>
  <w:style w:type="paragraph" w:styleId="List3">
    <w:name w:val="List 3"/>
    <w:basedOn w:val="BodyText"/>
    <w:rsid w:val="003D3AC0"/>
    <w:pPr>
      <w:tabs>
        <w:tab w:val="left" w:pos="1021"/>
      </w:tabs>
      <w:spacing w:before="60" w:after="60"/>
      <w:ind w:left="1020" w:hanging="340"/>
    </w:pPr>
  </w:style>
  <w:style w:type="paragraph" w:styleId="List4">
    <w:name w:val="List 4"/>
    <w:basedOn w:val="BodyText"/>
    <w:rsid w:val="003D3AC0"/>
    <w:pPr>
      <w:tabs>
        <w:tab w:val="left" w:pos="1361"/>
      </w:tabs>
      <w:spacing w:before="60" w:after="60"/>
      <w:ind w:left="1361" w:hanging="340"/>
    </w:pPr>
  </w:style>
  <w:style w:type="paragraph" w:styleId="List5">
    <w:name w:val="List 5"/>
    <w:basedOn w:val="BodyText"/>
    <w:rsid w:val="003D3AC0"/>
    <w:pPr>
      <w:tabs>
        <w:tab w:val="left" w:pos="1701"/>
      </w:tabs>
      <w:spacing w:before="60" w:after="60"/>
      <w:ind w:left="1701" w:hanging="340"/>
    </w:pPr>
  </w:style>
  <w:style w:type="paragraph" w:styleId="ListBullet3">
    <w:name w:val="List Bullet 3"/>
    <w:basedOn w:val="List3"/>
    <w:rsid w:val="003D3AC0"/>
    <w:pPr>
      <w:numPr>
        <w:numId w:val="15"/>
      </w:numPr>
      <w:tabs>
        <w:tab w:val="clear" w:pos="1021"/>
      </w:tabs>
      <w:ind w:left="1037" w:hanging="357"/>
    </w:pPr>
  </w:style>
  <w:style w:type="paragraph" w:styleId="ListBullet4">
    <w:name w:val="List Bullet 4"/>
    <w:basedOn w:val="List4"/>
    <w:rsid w:val="003D3AC0"/>
    <w:pPr>
      <w:numPr>
        <w:numId w:val="3"/>
      </w:numPr>
    </w:pPr>
  </w:style>
  <w:style w:type="paragraph" w:styleId="ListBullet5">
    <w:name w:val="List Bullet 5"/>
    <w:basedOn w:val="List5"/>
    <w:rsid w:val="003D3AC0"/>
    <w:pPr>
      <w:numPr>
        <w:numId w:val="4"/>
      </w:numPr>
    </w:pPr>
  </w:style>
  <w:style w:type="paragraph" w:styleId="ListContinue2">
    <w:name w:val="List Continue 2"/>
    <w:basedOn w:val="List2"/>
    <w:rsid w:val="003D3AC0"/>
    <w:pPr>
      <w:ind w:firstLine="0"/>
    </w:pPr>
  </w:style>
  <w:style w:type="paragraph" w:styleId="ListContinue3">
    <w:name w:val="List Continue 3"/>
    <w:basedOn w:val="List3"/>
    <w:rsid w:val="003D3AC0"/>
    <w:pPr>
      <w:ind w:left="1021" w:firstLine="0"/>
    </w:pPr>
  </w:style>
  <w:style w:type="paragraph" w:styleId="ListContinue4">
    <w:name w:val="List Continue 4"/>
    <w:basedOn w:val="List4"/>
    <w:rsid w:val="003D3AC0"/>
    <w:pPr>
      <w:ind w:firstLine="0"/>
    </w:pPr>
  </w:style>
  <w:style w:type="paragraph" w:styleId="ListContinue5">
    <w:name w:val="List Continue 5"/>
    <w:basedOn w:val="List5"/>
    <w:rsid w:val="003D3AC0"/>
    <w:pPr>
      <w:ind w:firstLine="0"/>
    </w:pPr>
  </w:style>
  <w:style w:type="paragraph" w:styleId="ListNumber3">
    <w:name w:val="List Number 3"/>
    <w:basedOn w:val="List3"/>
    <w:rsid w:val="003D3AC0"/>
    <w:pPr>
      <w:numPr>
        <w:numId w:val="5"/>
      </w:numPr>
    </w:pPr>
  </w:style>
  <w:style w:type="paragraph" w:styleId="ListNumber4">
    <w:name w:val="List Number 4"/>
    <w:basedOn w:val="List4"/>
    <w:rsid w:val="003D3AC0"/>
    <w:pPr>
      <w:numPr>
        <w:numId w:val="6"/>
      </w:numPr>
    </w:pPr>
  </w:style>
  <w:style w:type="paragraph" w:styleId="ListNumber5">
    <w:name w:val="List Number 5"/>
    <w:basedOn w:val="List5"/>
    <w:rsid w:val="003D3AC0"/>
    <w:pPr>
      <w:numPr>
        <w:numId w:val="7"/>
      </w:numPr>
    </w:pPr>
  </w:style>
  <w:style w:type="paragraph" w:styleId="BlockText">
    <w:name w:val="Block Text"/>
    <w:basedOn w:val="Normal"/>
    <w:rsid w:val="003D3AC0"/>
    <w:pPr>
      <w:spacing w:after="120"/>
      <w:ind w:left="1440" w:right="1440"/>
    </w:pPr>
  </w:style>
  <w:style w:type="character" w:customStyle="1" w:styleId="Subscript">
    <w:name w:val="Subscript"/>
    <w:basedOn w:val="DefaultParagraphFont"/>
    <w:rsid w:val="003D3AC0"/>
    <w:rPr>
      <w:sz w:val="16"/>
      <w:vertAlign w:val="subscript"/>
    </w:rPr>
  </w:style>
  <w:style w:type="character" w:customStyle="1" w:styleId="Superscript">
    <w:name w:val="Superscript"/>
    <w:basedOn w:val="DefaultParagraphFont"/>
    <w:rsid w:val="003D3AC0"/>
    <w:rPr>
      <w:sz w:val="16"/>
      <w:vertAlign w:val="superscript"/>
    </w:rPr>
  </w:style>
  <w:style w:type="character" w:customStyle="1" w:styleId="Symbols">
    <w:name w:val="Symbols"/>
    <w:basedOn w:val="DefaultParagraphFont"/>
    <w:rsid w:val="003D3AC0"/>
    <w:rPr>
      <w:rFonts w:ascii="Symbol" w:hAnsi="Symbol"/>
    </w:rPr>
  </w:style>
  <w:style w:type="character" w:customStyle="1" w:styleId="MenuOptions">
    <w:name w:val="Menu Options"/>
    <w:basedOn w:val="DefaultParagraphFont"/>
    <w:rsid w:val="003D3AC0"/>
    <w:rPr>
      <w:rFonts w:ascii="Arial Narrow" w:hAnsi="Arial Narrow"/>
      <w:smallCaps/>
    </w:rPr>
  </w:style>
  <w:style w:type="character" w:customStyle="1" w:styleId="Buttons">
    <w:name w:val="Buttons"/>
    <w:basedOn w:val="DefaultParagraphFont"/>
    <w:rsid w:val="003D3AC0"/>
    <w:rPr>
      <w:b/>
    </w:rPr>
  </w:style>
  <w:style w:type="character" w:customStyle="1" w:styleId="Underlined">
    <w:name w:val="Underlined"/>
    <w:basedOn w:val="DefaultParagraphFont"/>
    <w:rsid w:val="003D3AC0"/>
    <w:rPr>
      <w:u w:val="single"/>
    </w:rPr>
  </w:style>
  <w:style w:type="paragraph" w:customStyle="1" w:styleId="TableBodyTextRight">
    <w:name w:val="Table Body Text Right"/>
    <w:basedOn w:val="TableBodyText"/>
    <w:rsid w:val="003D3AC0"/>
    <w:pPr>
      <w:widowControl w:val="0"/>
      <w:autoSpaceDE w:val="0"/>
      <w:autoSpaceDN w:val="0"/>
      <w:adjustRightInd w:val="0"/>
      <w:jc w:val="right"/>
    </w:pPr>
    <w:rPr>
      <w:rFonts w:cs="Arial"/>
      <w:szCs w:val="18"/>
    </w:rPr>
  </w:style>
  <w:style w:type="paragraph" w:customStyle="1" w:styleId="CopyrightText">
    <w:name w:val="Copyright Text"/>
    <w:basedOn w:val="BodyText"/>
    <w:rsid w:val="003D3AC0"/>
    <w:rPr>
      <w:sz w:val="18"/>
    </w:rPr>
  </w:style>
  <w:style w:type="paragraph" w:customStyle="1" w:styleId="BodySmallRight">
    <w:name w:val="Body Small Right"/>
    <w:basedOn w:val="BodyTextRight"/>
    <w:rsid w:val="003D3AC0"/>
    <w:rPr>
      <w:sz w:val="18"/>
      <w:szCs w:val="18"/>
    </w:rPr>
  </w:style>
  <w:style w:type="paragraph" w:customStyle="1" w:styleId="MarginEdition">
    <w:name w:val="Margin Edition"/>
    <w:basedOn w:val="MarginNote"/>
    <w:rsid w:val="003D3AC0"/>
    <w:pPr>
      <w:spacing w:before="0" w:after="0"/>
    </w:pPr>
    <w:rPr>
      <w:rFonts w:ascii="Times New Roman" w:hAnsi="Times New Roman"/>
      <w:color w:val="999999"/>
    </w:rPr>
  </w:style>
  <w:style w:type="paragraph" w:customStyle="1" w:styleId="Spacer">
    <w:name w:val="Spacer"/>
    <w:basedOn w:val="Normal"/>
    <w:rsid w:val="003D3AC0"/>
    <w:rPr>
      <w:sz w:val="2"/>
      <w:szCs w:val="2"/>
    </w:rPr>
  </w:style>
  <w:style w:type="character" w:customStyle="1" w:styleId="Small">
    <w:name w:val="Small"/>
    <w:basedOn w:val="DefaultParagraphFont"/>
    <w:rsid w:val="003D3AC0"/>
    <w:rPr>
      <w:sz w:val="16"/>
    </w:rPr>
  </w:style>
  <w:style w:type="paragraph" w:customStyle="1" w:styleId="WideTable">
    <w:name w:val="Wide Table"/>
    <w:basedOn w:val="Normal"/>
    <w:rsid w:val="003D3AC0"/>
    <w:pPr>
      <w:ind w:left="-1418"/>
    </w:pPr>
    <w:rPr>
      <w:sz w:val="2"/>
      <w:szCs w:val="2"/>
    </w:rPr>
  </w:style>
  <w:style w:type="character" w:styleId="PageNumber">
    <w:name w:val="page number"/>
    <w:basedOn w:val="DefaultParagraphFont"/>
    <w:rsid w:val="003D3AC0"/>
  </w:style>
  <w:style w:type="paragraph" w:styleId="Quote">
    <w:name w:val="Quote"/>
    <w:basedOn w:val="Heading1"/>
    <w:link w:val="QuoteChar"/>
    <w:qFormat/>
    <w:rsid w:val="003D3AC0"/>
    <w:rPr>
      <w:b w:val="0"/>
      <w:sz w:val="72"/>
      <w:szCs w:val="72"/>
      <w:lang w:val="en-NZ"/>
    </w:rPr>
  </w:style>
  <w:style w:type="character" w:customStyle="1" w:styleId="QuoteChar">
    <w:name w:val="Quote Char"/>
    <w:basedOn w:val="DefaultParagraphFont"/>
    <w:link w:val="Quote"/>
    <w:rsid w:val="003D3A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AC0"/>
    <w:pPr>
      <w:pageBreakBefore/>
    </w:pPr>
  </w:style>
  <w:style w:type="paragraph" w:customStyle="1" w:styleId="Border">
    <w:name w:val="Border"/>
    <w:basedOn w:val="Normal"/>
    <w:qFormat/>
    <w:rsid w:val="003D3A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AC0"/>
    <w:rPr>
      <w:b/>
      <w:bCs/>
      <w:i/>
      <w:iCs/>
      <w:color w:val="auto"/>
    </w:rPr>
  </w:style>
  <w:style w:type="paragraph" w:styleId="IntenseQuote">
    <w:name w:val="Intense Quote"/>
    <w:basedOn w:val="Normal"/>
    <w:next w:val="Normal"/>
    <w:link w:val="IntenseQuoteChar"/>
    <w:uiPriority w:val="30"/>
    <w:qFormat/>
    <w:rsid w:val="003D3A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A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3AC0"/>
    <w:rPr>
      <w:smallCaps/>
      <w:color w:val="auto"/>
      <w:u w:val="single"/>
    </w:rPr>
  </w:style>
  <w:style w:type="character" w:styleId="IntenseReference">
    <w:name w:val="Intense Reference"/>
    <w:basedOn w:val="DefaultParagraphFont"/>
    <w:uiPriority w:val="32"/>
    <w:qFormat/>
    <w:rsid w:val="003D3AC0"/>
    <w:rPr>
      <w:b/>
      <w:bCs/>
      <w:smallCaps/>
      <w:color w:val="auto"/>
      <w:spacing w:val="5"/>
      <w:u w:val="single"/>
    </w:rPr>
  </w:style>
  <w:style w:type="paragraph" w:customStyle="1" w:styleId="2ColumnHeading">
    <w:name w:val="2Column Heading"/>
    <w:basedOn w:val="BodyText"/>
    <w:qFormat/>
    <w:rsid w:val="003D3AC0"/>
    <w:pPr>
      <w:spacing w:after="60"/>
      <w:ind w:left="-2268"/>
    </w:pPr>
    <w:rPr>
      <w:b/>
    </w:rPr>
  </w:style>
  <w:style w:type="paragraph" w:customStyle="1" w:styleId="Heading1TOC">
    <w:name w:val="Heading1 TOC"/>
    <w:basedOn w:val="Normal"/>
    <w:qFormat/>
    <w:rsid w:val="003D3AC0"/>
    <w:pPr>
      <w:spacing w:before="240" w:after="120"/>
    </w:pPr>
    <w:rPr>
      <w:rFonts w:ascii="Times New Roman" w:hAnsi="Times New Roman"/>
      <w:b/>
      <w:sz w:val="32"/>
    </w:rPr>
  </w:style>
  <w:style w:type="paragraph" w:customStyle="1" w:styleId="Heading2TOC">
    <w:name w:val="Heading2 TOC"/>
    <w:basedOn w:val="Normal"/>
    <w:qFormat/>
    <w:rsid w:val="003D3AC0"/>
    <w:pPr>
      <w:spacing w:before="240" w:after="60"/>
    </w:pPr>
    <w:rPr>
      <w:rFonts w:ascii="Times New Roman" w:hAnsi="Times New Roman"/>
      <w:b/>
      <w:sz w:val="28"/>
    </w:rPr>
  </w:style>
  <w:style w:type="character" w:customStyle="1" w:styleId="Underline">
    <w:name w:val="Underline"/>
    <w:basedOn w:val="DefaultParagraphFont"/>
    <w:qFormat/>
    <w:rsid w:val="003D3AC0"/>
    <w:rPr>
      <w:u w:val="single"/>
    </w:rPr>
  </w:style>
  <w:style w:type="paragraph" w:styleId="BalloonText">
    <w:name w:val="Balloon Text"/>
    <w:basedOn w:val="Normal"/>
    <w:link w:val="BalloonTextChar"/>
    <w:rsid w:val="003D3AC0"/>
    <w:rPr>
      <w:rFonts w:ascii="Tahoma" w:hAnsi="Tahoma" w:cs="Tahoma"/>
      <w:sz w:val="16"/>
      <w:szCs w:val="16"/>
    </w:rPr>
  </w:style>
  <w:style w:type="character" w:customStyle="1" w:styleId="BalloonTextChar">
    <w:name w:val="Balloon Text Char"/>
    <w:basedOn w:val="DefaultParagraphFont"/>
    <w:link w:val="BalloonText"/>
    <w:rsid w:val="003D3A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3A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3A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7599</Characters>
  <Application>Microsoft Office Word</Application>
  <DocSecurity>0</DocSecurity>
  <Lines>241</Lines>
  <Paragraphs>140</Paragraphs>
  <ScaleCrop>false</ScaleCrop>
  <Company>Author-it Software Corporation Ltd.</Company>
  <LinksUpToDate>false</LinksUpToDate>
  <CharactersWithSpaces>8706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NWP323B Monitor and coordinate catchment operations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2012-05-27T09:36:00Z</dcterms:created>
  <dcterms:modified xsi:type="dcterms:W3CDTF">2012-05-27T09:36:00Z</dcterms:modified>
</cp:coreProperties>
</file>