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63796" w:rsidP="00A63796">
      <w:pPr>
        <w:pStyle w:val="Title"/>
      </w:pPr>
      <w:r>
        <w:fldChar w:fldCharType="begin"/>
      </w:r>
      <w:r>
        <w:instrText xml:space="preserve"> TITLE   \* MERGEFORMAT </w:instrText>
      </w:r>
      <w:r>
        <w:fldChar w:fldCharType="separate"/>
      </w:r>
      <w:r>
        <w:t>NWP321B Inspect and operate groundwater regulation</w:t>
      </w:r>
      <w:r>
        <w:fldChar w:fldCharType="end"/>
      </w:r>
    </w:p>
    <w:p w:rsidR="00A63796" w:rsidP="00A63796">
      <w:pPr>
        <w:pStyle w:val="Version"/>
        <w:sectPr w:rsidSect="00501C1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501C11" w:rsidP="00501C11">
      <w:pPr>
        <w:pStyle w:val="SuperHeading"/>
      </w:pPr>
      <w:r w:rsidRPr="00501C11">
        <w:t>NWP321B Inspect and operate groundwater regulation</w:t>
      </w:r>
    </w:p>
    <w:p w:rsidR="00000000" w:rsidRPr="00501C11" w:rsidP="00501C11">
      <w:pPr>
        <w:pStyle w:val="SuperHeading"/>
      </w:pPr>
    </w:p>
    <w:p w:rsidR="00000000" w:rsidRPr="00501C11" w:rsidP="00501C11">
      <w:pPr>
        <w:pStyle w:val="Heading1"/>
      </w:pPr>
      <w:bookmarkStart w:id="1" w:name="O_405019"/>
      <w:bookmarkEnd w:id="1"/>
      <w:r w:rsidRPr="00501C11">
        <w:t>Modification History</w:t>
      </w:r>
    </w:p>
    <w:p w:rsidR="00000000" w:rsidRPr="00501C11" w:rsidP="00501C11">
      <w:pPr>
        <w:pStyle w:val="BodyText"/>
      </w:pPr>
      <w:r w:rsidRPr="00501C11">
        <w:t>NWP321B Release 2:</w:t>
      </w:r>
      <w:r w:rsidRPr="00501C11">
        <w:tab/>
        <w:t>Layout adjusted. No changes to content.</w:t>
      </w:r>
    </w:p>
    <w:p w:rsidR="00000000" w:rsidRPr="00501C11" w:rsidP="00501C11">
      <w:pPr>
        <w:pStyle w:val="BodyText"/>
      </w:pPr>
      <w:r w:rsidRPr="00501C11">
        <w:t>NWP321B Release 1:</w:t>
      </w:r>
      <w:r w:rsidRPr="00501C11">
        <w:tab/>
        <w:t>Primary release.</w:t>
      </w:r>
    </w:p>
    <w:p w:rsidR="00000000" w:rsidRPr="00501C11" w:rsidP="00501C11">
      <w:pPr>
        <w:pStyle w:val="AllowPageBreak"/>
      </w:pPr>
    </w:p>
    <w:p w:rsidR="00000000" w:rsidRPr="00501C11" w:rsidP="00501C11">
      <w:pPr>
        <w:pStyle w:val="Heading1"/>
      </w:pPr>
      <w:bookmarkStart w:id="2" w:name="O_405015"/>
      <w:bookmarkEnd w:id="2"/>
      <w:r w:rsidRPr="00501C11">
        <w:t>Unit Descriptor</w:t>
      </w:r>
    </w:p>
    <w:p w:rsidR="00000000" w:rsidRPr="00501C11" w:rsidP="00501C11">
      <w:pPr>
        <w:pStyle w:val="BodyText"/>
      </w:pPr>
      <w:r w:rsidRPr="00501C11">
        <w:t>This unit of competency describes the outcomes required to perform inspection, regulation, operation, measurement and reporting of groundwater systems.</w:t>
      </w:r>
    </w:p>
    <w:p w:rsidR="00000000" w:rsidRPr="00501C11" w:rsidP="00501C11">
      <w:pPr>
        <w:pStyle w:val="AllowPageBreak"/>
      </w:pPr>
    </w:p>
    <w:p w:rsidR="00000000" w:rsidRPr="00501C11" w:rsidP="00501C11">
      <w:pPr>
        <w:pStyle w:val="Heading1"/>
      </w:pPr>
      <w:bookmarkStart w:id="3" w:name="O_405027"/>
      <w:bookmarkEnd w:id="3"/>
      <w:r w:rsidRPr="00501C11">
        <w:t>Application of the Unit</w:t>
      </w:r>
    </w:p>
    <w:p w:rsidR="00000000" w:rsidRPr="00501C11" w:rsidP="00501C11">
      <w:pPr>
        <w:pStyle w:val="BodyText"/>
      </w:pPr>
      <w:r w:rsidRPr="00501C11">
        <w:t>This unit su</w:t>
      </w:r>
      <w:r w:rsidRPr="00501C11">
        <w:t>pports the attainment of skills and knowledge required for field and operational staff with a specific responsibility for inspecting and checking groundwater sources.</w:t>
      </w:r>
    </w:p>
    <w:p w:rsidR="00000000" w:rsidRPr="00501C11" w:rsidP="00501C11">
      <w:pPr>
        <w:pStyle w:val="AllowPageBreak"/>
      </w:pPr>
    </w:p>
    <w:p w:rsidR="00000000" w:rsidRPr="00501C11" w:rsidP="00501C11">
      <w:pPr>
        <w:pStyle w:val="Heading1"/>
      </w:pPr>
      <w:bookmarkStart w:id="4" w:name="O_405020"/>
      <w:bookmarkEnd w:id="4"/>
      <w:r w:rsidRPr="00501C11">
        <w:t>Licensing/Regulatory Information</w:t>
      </w:r>
    </w:p>
    <w:p w:rsidR="00000000" w:rsidRPr="00501C11" w:rsidP="00501C11">
      <w:pPr>
        <w:pStyle w:val="BodyText"/>
      </w:pPr>
      <w:r w:rsidRPr="00501C11">
        <w:t>Not applicable.</w:t>
      </w:r>
    </w:p>
    <w:p w:rsidR="00000000" w:rsidRPr="00501C11" w:rsidP="00501C11">
      <w:pPr>
        <w:pStyle w:val="AllowPageBreak"/>
      </w:pPr>
    </w:p>
    <w:p w:rsidR="00000000" w:rsidRPr="00501C11" w:rsidP="00501C11">
      <w:pPr>
        <w:pStyle w:val="Heading1"/>
      </w:pPr>
      <w:bookmarkStart w:id="5" w:name="O_405018"/>
      <w:bookmarkEnd w:id="5"/>
      <w:r w:rsidRPr="00501C11">
        <w:t>Pre-Requisites</w:t>
      </w:r>
    </w:p>
    <w:p w:rsidR="00000000" w:rsidRPr="00501C11" w:rsidP="00501C11">
      <w:pPr>
        <w:pStyle w:val="BodyText"/>
      </w:pPr>
      <w:r w:rsidRPr="00501C11">
        <w:t>Not applicable.</w:t>
      </w:r>
    </w:p>
    <w:p w:rsidR="00000000" w:rsidRPr="00501C11" w:rsidP="00501C11">
      <w:pPr>
        <w:pStyle w:val="AllowPageBreak"/>
      </w:pPr>
    </w:p>
    <w:p w:rsidR="00000000" w:rsidRPr="00501C11" w:rsidP="00501C11">
      <w:pPr>
        <w:pStyle w:val="Heading1"/>
      </w:pPr>
      <w:bookmarkStart w:id="6" w:name="O_405023"/>
      <w:bookmarkEnd w:id="6"/>
      <w:r w:rsidRPr="00501C11">
        <w:t>Employability Skills Information</w:t>
      </w:r>
    </w:p>
    <w:p w:rsidR="00000000" w:rsidRPr="00501C11" w:rsidP="00501C11">
      <w:pPr>
        <w:pStyle w:val="BodyText"/>
      </w:pPr>
      <w:r w:rsidRPr="00501C11">
        <w:t>This unit contains employability skills.</w:t>
      </w:r>
    </w:p>
    <w:p w:rsidR="00000000" w:rsidRPr="00501C11" w:rsidP="00501C11">
      <w:pPr>
        <w:pStyle w:val="AllowPageBreak"/>
      </w:pPr>
    </w:p>
    <w:p w:rsidR="00000000" w:rsidRPr="00501C11" w:rsidP="00501C11">
      <w:pPr>
        <w:pStyle w:val="Heading1"/>
      </w:pPr>
      <w:bookmarkStart w:id="7" w:name="O_405024"/>
      <w:bookmarkEnd w:id="7"/>
      <w:r w:rsidRPr="00501C11">
        <w:t>Elements and Performance Criteria Pre-Content</w:t>
      </w:r>
    </w:p>
    <w:tbl>
      <w:tblPr>
        <w:tblW w:w="0" w:type="auto"/>
        <w:tblLayout w:type="fixed"/>
        <w:tblCellMar>
          <w:left w:w="62" w:type="dxa"/>
          <w:right w:w="62" w:type="dxa"/>
        </w:tblCellMar>
        <w:tblLook w:val="0000"/>
      </w:tblPr>
      <w:tblGrid>
        <w:gridCol w:w="2268"/>
        <w:gridCol w:w="6804"/>
      </w:tblGrid>
      <w:tr w:rsidTr="00A63796">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501C11">
            <w:pPr>
              <w:pStyle w:val="BodyText"/>
              <w:rPr>
                <w:lang w:val="en-NZ"/>
              </w:rPr>
            </w:pPr>
            <w:r w:rsidRPr="00501C11">
              <w:t>Elements describe the essential outcomes of a unit of competency.</w:t>
            </w:r>
          </w:p>
        </w:tc>
        <w:tc>
          <w:tcPr>
            <w:tcW w:w="6804" w:type="dxa"/>
            <w:tcBorders>
              <w:top w:val="nil"/>
              <w:left w:val="nil"/>
              <w:bottom w:val="nil"/>
              <w:right w:val="nil"/>
            </w:tcBorders>
            <w:tcMar>
              <w:top w:w="0" w:type="dxa"/>
              <w:left w:w="62" w:type="dxa"/>
              <w:bottom w:w="0" w:type="dxa"/>
              <w:right w:w="62" w:type="dxa"/>
            </w:tcMar>
          </w:tcPr>
          <w:p w:rsidR="00000000" w:rsidRPr="00501C11" w:rsidP="00501C11">
            <w:pPr>
              <w:pStyle w:val="BodyText"/>
            </w:pPr>
            <w:r w:rsidRPr="00501C11">
              <w:t>Perfo</w:t>
            </w:r>
            <w:r w:rsidRPr="00501C11">
              <w:t xml:space="preserve">rmance criteria describe the required performance needed to demonstrate achievement of the element. Where </w:t>
            </w:r>
            <w:r w:rsidRPr="00501C11">
              <w:rPr>
                <w:rStyle w:val="BoldandItalics"/>
              </w:rPr>
              <w:t>bold italicised</w:t>
            </w:r>
            <w:r w:rsidRPr="00501C11">
              <w:t xml:space="preserve"> text is used, further information is detailed in the range statement. Assessment of performance is to be consistent with the evidence guide.</w:t>
            </w:r>
          </w:p>
        </w:tc>
      </w:tr>
    </w:tbl>
    <w:p w:rsidR="00000000" w:rsidRPr="00501C11" w:rsidP="00501C11">
      <w:pPr>
        <w:pStyle w:val="BodyText"/>
      </w:pPr>
    </w:p>
    <w:p w:rsidR="00000000" w:rsidRPr="00501C11" w:rsidP="00501C11">
      <w:pPr>
        <w:pStyle w:val="AllowPageBreak"/>
      </w:pPr>
    </w:p>
    <w:p w:rsidR="00000000" w:rsidRPr="00501C11" w:rsidP="00501C11">
      <w:pPr>
        <w:pStyle w:val="Heading1"/>
      </w:pPr>
      <w:bookmarkStart w:id="8" w:name="O_405025"/>
      <w:bookmarkEnd w:id="8"/>
      <w:r w:rsidRPr="00501C11">
        <w:t>Elements and Performance Criteria</w:t>
      </w:r>
    </w:p>
    <w:tbl>
      <w:tblPr>
        <w:tblW w:w="0" w:type="auto"/>
        <w:tblLayout w:type="fixed"/>
        <w:tblCellMar>
          <w:left w:w="62" w:type="dxa"/>
          <w:right w:w="62" w:type="dxa"/>
        </w:tblCellMar>
        <w:tblLook w:val="0000"/>
      </w:tblPr>
      <w:tblGrid>
        <w:gridCol w:w="2268"/>
        <w:gridCol w:w="6804"/>
      </w:tblGrid>
      <w:tr w:rsidTr="00A63796">
        <w:tblPrEx>
          <w:tblW w:w="0" w:type="auto"/>
          <w:tblLayout w:type="fixed"/>
          <w:tblCellMar>
            <w:left w:w="62" w:type="dxa"/>
            <w:right w:w="62" w:type="dxa"/>
          </w:tblCellMar>
          <w:tblLook w:val="0000"/>
        </w:tblPrEx>
        <w:trPr>
          <w:tblHeader/>
        </w:trPr>
        <w:tc>
          <w:tcPr>
            <w:tcW w:w="2268" w:type="dxa"/>
            <w:tcBorders>
              <w:top w:val="nil"/>
              <w:left w:val="nil"/>
              <w:bottom w:val="nil"/>
              <w:right w:val="nil"/>
            </w:tcBorders>
            <w:tcMar>
              <w:top w:w="0" w:type="dxa"/>
              <w:left w:w="62" w:type="dxa"/>
              <w:bottom w:w="0" w:type="dxa"/>
              <w:right w:w="62" w:type="dxa"/>
            </w:tcMar>
          </w:tcPr>
          <w:p w:rsidR="00000000" w:rsidRPr="00501C11" w:rsidP="00501C11">
            <w:pPr>
              <w:pStyle w:val="BodyText"/>
            </w:pPr>
            <w:r w:rsidRPr="00501C11">
              <w:rPr>
                <w:rStyle w:val="SpecialBold"/>
              </w:rPr>
              <w:t>ELEMENT</w:t>
            </w:r>
          </w:p>
        </w:tc>
        <w:tc>
          <w:tcPr>
            <w:tcW w:w="6804" w:type="dxa"/>
            <w:tcBorders>
              <w:top w:val="nil"/>
              <w:left w:val="nil"/>
              <w:bottom w:val="nil"/>
              <w:right w:val="nil"/>
            </w:tcBorders>
            <w:tcMar>
              <w:top w:w="0" w:type="dxa"/>
              <w:left w:w="62" w:type="dxa"/>
              <w:bottom w:w="0" w:type="dxa"/>
              <w:right w:w="62" w:type="dxa"/>
            </w:tcMar>
          </w:tcPr>
          <w:p w:rsidR="00000000" w:rsidP="00501C11">
            <w:pPr>
              <w:pStyle w:val="BodyText"/>
              <w:rPr>
                <w:lang w:val="en-NZ"/>
              </w:rPr>
            </w:pPr>
            <w:r w:rsidRPr="00501C11">
              <w:rPr>
                <w:rStyle w:val="SpecialBold"/>
              </w:rPr>
              <w:t>PERFORMANCE CRITERIA</w:t>
            </w:r>
          </w:p>
        </w:tc>
      </w:tr>
      <w:tr w:rsidTr="00A63796">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501C11">
            <w:pPr>
              <w:pStyle w:val="List"/>
              <w:rPr>
                <w:lang w:val="en-NZ"/>
              </w:rPr>
            </w:pPr>
            <w:r w:rsidRPr="00501C11">
              <w:rPr>
                <w:rStyle w:val="SpecialBold"/>
              </w:rPr>
              <w:t>1</w:t>
            </w:r>
            <w:r w:rsidRPr="00501C11">
              <w:tab/>
            </w:r>
            <w:r w:rsidRPr="00501C11">
              <w:rPr>
                <w:rStyle w:val="SpecialBold"/>
              </w:rPr>
              <w:t>Inspect and report on source performance and usage</w:t>
            </w:r>
            <w:r w:rsidRPr="00501C11">
              <w:t>.</w:t>
            </w:r>
          </w:p>
        </w:tc>
        <w:tc>
          <w:tcPr>
            <w:tcW w:w="6804" w:type="dxa"/>
            <w:tcBorders>
              <w:top w:val="nil"/>
              <w:left w:val="nil"/>
              <w:bottom w:val="nil"/>
              <w:right w:val="nil"/>
            </w:tcBorders>
            <w:tcMar>
              <w:top w:w="0" w:type="dxa"/>
              <w:left w:w="62" w:type="dxa"/>
              <w:bottom w:w="0" w:type="dxa"/>
              <w:right w:w="62" w:type="dxa"/>
            </w:tcMar>
          </w:tcPr>
          <w:p w:rsidR="00000000" w:rsidRPr="00501C11" w:rsidP="00501C11">
            <w:pPr>
              <w:pStyle w:val="List"/>
            </w:pPr>
            <w:r w:rsidRPr="00501C11">
              <w:t>1.1</w:t>
            </w:r>
            <w:r w:rsidRPr="00501C11">
              <w:tab/>
              <w:t xml:space="preserve">Carry out routine </w:t>
            </w:r>
            <w:r w:rsidRPr="00501C11">
              <w:rPr>
                <w:rStyle w:val="BoldandItalics"/>
              </w:rPr>
              <w:t>inspections</w:t>
            </w:r>
            <w:r w:rsidRPr="00501C11">
              <w:t xml:space="preserve"> of groundwater bores in accordance with </w:t>
            </w:r>
            <w:r w:rsidRPr="00501C11">
              <w:rPr>
                <w:rStyle w:val="BoldandItalics"/>
              </w:rPr>
              <w:t>organisational and statutory requirements</w:t>
            </w:r>
            <w:r w:rsidRPr="00501C11">
              <w:t>.</w:t>
            </w:r>
          </w:p>
          <w:p w:rsidR="00000000" w:rsidRPr="00501C11" w:rsidP="00501C11">
            <w:pPr>
              <w:pStyle w:val="List"/>
            </w:pPr>
            <w:r w:rsidRPr="00501C11">
              <w:t>1.2</w:t>
            </w:r>
            <w:r w:rsidRPr="00501C11">
              <w:tab/>
              <w:t>Collect and record data on groundwater usage and/or bore levels according to organi</w:t>
            </w:r>
            <w:r w:rsidRPr="00501C11">
              <w:t>sational requirements</w:t>
            </w:r>
          </w:p>
          <w:p w:rsidR="00000000" w:rsidRPr="00501C11" w:rsidP="00501C11">
            <w:pPr>
              <w:pStyle w:val="List"/>
            </w:pPr>
            <w:r w:rsidRPr="00501C11">
              <w:t>1.3</w:t>
            </w:r>
            <w:r w:rsidRPr="00501C11">
              <w:tab/>
              <w:t>Collect and record water samples according to organisational requirements.</w:t>
            </w:r>
          </w:p>
          <w:p w:rsidR="00000000" w:rsidP="00501C11">
            <w:pPr>
              <w:pStyle w:val="List"/>
              <w:rPr>
                <w:lang w:val="en-NZ"/>
              </w:rPr>
            </w:pPr>
            <w:r w:rsidRPr="00501C11">
              <w:t>1.4</w:t>
            </w:r>
            <w:r w:rsidRPr="00501C11">
              <w:tab/>
              <w:t>Correctly select, fit and use required safety equipment, including personal protective equipment.</w:t>
            </w:r>
          </w:p>
        </w:tc>
      </w:tr>
      <w:tr w:rsidTr="00A63796">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501C11">
            <w:pPr>
              <w:pStyle w:val="List"/>
              <w:rPr>
                <w:lang w:val="en-NZ"/>
              </w:rPr>
            </w:pPr>
            <w:r w:rsidRPr="00501C11">
              <w:rPr>
                <w:rStyle w:val="SpecialBold"/>
              </w:rPr>
              <w:t>2</w:t>
            </w:r>
            <w:r w:rsidRPr="00501C11">
              <w:tab/>
            </w:r>
            <w:r w:rsidRPr="00501C11">
              <w:rPr>
                <w:rStyle w:val="SpecialBold"/>
              </w:rPr>
              <w:t>Check pumps and meters</w:t>
            </w:r>
            <w:r w:rsidRPr="00501C11">
              <w:t>.</w:t>
            </w:r>
          </w:p>
        </w:tc>
        <w:tc>
          <w:tcPr>
            <w:tcW w:w="6804" w:type="dxa"/>
            <w:tcBorders>
              <w:top w:val="nil"/>
              <w:left w:val="nil"/>
              <w:bottom w:val="nil"/>
              <w:right w:val="nil"/>
            </w:tcBorders>
            <w:tcMar>
              <w:top w:w="0" w:type="dxa"/>
              <w:left w:w="62" w:type="dxa"/>
              <w:bottom w:w="0" w:type="dxa"/>
              <w:right w:w="62" w:type="dxa"/>
            </w:tcMar>
          </w:tcPr>
          <w:p w:rsidR="00000000" w:rsidRPr="00501C11" w:rsidP="00501C11">
            <w:pPr>
              <w:pStyle w:val="List"/>
            </w:pPr>
            <w:r w:rsidRPr="00501C11">
              <w:t>2.1</w:t>
            </w:r>
            <w:r w:rsidRPr="00501C11">
              <w:tab/>
              <w:t>Test bore pumps and ch</w:t>
            </w:r>
            <w:r w:rsidRPr="00501C11">
              <w:t>eck flow meters to determine accuracy.</w:t>
            </w:r>
          </w:p>
          <w:p w:rsidR="00000000" w:rsidP="00501C11">
            <w:pPr>
              <w:pStyle w:val="List"/>
              <w:rPr>
                <w:lang w:val="en-NZ"/>
              </w:rPr>
            </w:pPr>
            <w:r w:rsidRPr="00501C11">
              <w:t>2.2</w:t>
            </w:r>
            <w:r w:rsidRPr="00501C11">
              <w:tab/>
              <w:t>Adjust pumps and flow meters to conform to the allocation permit.</w:t>
            </w:r>
          </w:p>
        </w:tc>
      </w:tr>
      <w:tr w:rsidTr="00A63796">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501C11">
            <w:pPr>
              <w:pStyle w:val="List"/>
              <w:rPr>
                <w:lang w:val="en-NZ"/>
              </w:rPr>
            </w:pPr>
            <w:r w:rsidRPr="00501C11">
              <w:rPr>
                <w:rStyle w:val="SpecialBold"/>
              </w:rPr>
              <w:t>3</w:t>
            </w:r>
            <w:r w:rsidRPr="00501C11">
              <w:tab/>
            </w:r>
            <w:r w:rsidRPr="00501C11">
              <w:rPr>
                <w:rStyle w:val="SpecialBold"/>
              </w:rPr>
              <w:t>Operate and coordinate processes</w:t>
            </w:r>
            <w:r w:rsidRPr="00501C11">
              <w:t>.</w:t>
            </w:r>
          </w:p>
        </w:tc>
        <w:tc>
          <w:tcPr>
            <w:tcW w:w="6804" w:type="dxa"/>
            <w:tcBorders>
              <w:top w:val="nil"/>
              <w:left w:val="nil"/>
              <w:bottom w:val="nil"/>
              <w:right w:val="nil"/>
            </w:tcBorders>
            <w:tcMar>
              <w:top w:w="0" w:type="dxa"/>
              <w:left w:w="62" w:type="dxa"/>
              <w:bottom w:w="0" w:type="dxa"/>
              <w:right w:w="62" w:type="dxa"/>
            </w:tcMar>
          </w:tcPr>
          <w:p w:rsidR="00000000" w:rsidRPr="00501C11" w:rsidP="00501C11">
            <w:pPr>
              <w:pStyle w:val="List"/>
            </w:pPr>
            <w:r w:rsidRPr="00501C11">
              <w:t>3.1</w:t>
            </w:r>
            <w:r w:rsidRPr="00501C11">
              <w:tab/>
              <w:t>Measure and record extraction volumes.</w:t>
            </w:r>
          </w:p>
          <w:p w:rsidR="00000000" w:rsidP="00501C11">
            <w:pPr>
              <w:pStyle w:val="List"/>
              <w:rPr>
                <w:lang w:val="en-NZ"/>
              </w:rPr>
            </w:pPr>
            <w:r w:rsidRPr="00501C11">
              <w:t>3.2</w:t>
            </w:r>
            <w:r w:rsidRPr="00501C11">
              <w:tab/>
              <w:t>Check extraction volumes for compliance with entitlement.</w:t>
            </w:r>
          </w:p>
        </w:tc>
      </w:tr>
      <w:tr w:rsidTr="00A63796">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501C11">
            <w:pPr>
              <w:pStyle w:val="List"/>
              <w:rPr>
                <w:lang w:val="en-NZ"/>
              </w:rPr>
            </w:pPr>
            <w:r w:rsidRPr="00501C11">
              <w:rPr>
                <w:rStyle w:val="SpecialBold"/>
              </w:rPr>
              <w:t>4</w:t>
            </w:r>
            <w:r w:rsidRPr="00501C11">
              <w:tab/>
            </w:r>
            <w:r w:rsidRPr="00501C11">
              <w:rPr>
                <w:rStyle w:val="SpecialBold"/>
              </w:rPr>
              <w:t>Co</w:t>
            </w:r>
            <w:r w:rsidRPr="00501C11">
              <w:rPr>
                <w:rStyle w:val="SpecialBold"/>
              </w:rPr>
              <w:t>mplete documentation</w:t>
            </w:r>
            <w:r w:rsidRPr="00501C11">
              <w:t>.</w:t>
            </w:r>
          </w:p>
        </w:tc>
        <w:tc>
          <w:tcPr>
            <w:tcW w:w="6804" w:type="dxa"/>
            <w:tcBorders>
              <w:top w:val="nil"/>
              <w:left w:val="nil"/>
              <w:bottom w:val="nil"/>
              <w:right w:val="nil"/>
            </w:tcBorders>
            <w:tcMar>
              <w:top w:w="0" w:type="dxa"/>
              <w:left w:w="62" w:type="dxa"/>
              <w:bottom w:w="0" w:type="dxa"/>
              <w:right w:w="62" w:type="dxa"/>
            </w:tcMar>
          </w:tcPr>
          <w:p w:rsidR="00000000" w:rsidRPr="00501C11" w:rsidP="00501C11">
            <w:pPr>
              <w:pStyle w:val="List"/>
            </w:pPr>
            <w:r w:rsidRPr="00501C11">
              <w:t>4.1</w:t>
            </w:r>
            <w:r w:rsidRPr="00501C11">
              <w:tab/>
              <w:t>Record inspection results according to organisational requirements.</w:t>
            </w:r>
          </w:p>
          <w:p w:rsidR="00000000" w:rsidRPr="00501C11" w:rsidP="00501C11">
            <w:pPr>
              <w:pStyle w:val="List"/>
            </w:pPr>
            <w:r w:rsidRPr="00501C11">
              <w:t>4.2</w:t>
            </w:r>
            <w:r w:rsidRPr="00501C11">
              <w:tab/>
              <w:t>Report source data to meet organisational requirements.</w:t>
            </w:r>
          </w:p>
        </w:tc>
      </w:tr>
    </w:tbl>
    <w:p w:rsidR="00000000" w:rsidRPr="00501C11" w:rsidP="00501C11">
      <w:pPr>
        <w:pStyle w:val="BodyText"/>
      </w:pPr>
    </w:p>
    <w:p w:rsidR="00000000" w:rsidRPr="00501C11" w:rsidP="00501C11">
      <w:pPr>
        <w:pStyle w:val="AllowPageBreak"/>
      </w:pPr>
    </w:p>
    <w:p w:rsidR="00000000" w:rsidRPr="00501C11" w:rsidP="00501C11">
      <w:pPr>
        <w:pStyle w:val="Heading1"/>
      </w:pPr>
      <w:bookmarkStart w:id="9" w:name="O_405016"/>
      <w:bookmarkEnd w:id="9"/>
      <w:r w:rsidRPr="00501C11">
        <w:t>Required Skills and Knowledge</w:t>
      </w:r>
    </w:p>
    <w:tbl>
      <w:tblPr>
        <w:tblW w:w="0" w:type="auto"/>
        <w:tblLayout w:type="fixed"/>
        <w:tblCellMar>
          <w:left w:w="62" w:type="dxa"/>
          <w:right w:w="62" w:type="dxa"/>
        </w:tblCellMar>
        <w:tblLook w:val="0000"/>
      </w:tblPr>
      <w:tblGrid>
        <w:gridCol w:w="9072"/>
      </w:tblGrid>
      <w:tr w:rsidTr="00A6379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501C11">
            <w:pPr>
              <w:pStyle w:val="BodyText"/>
              <w:rPr>
                <w:lang w:val="en-NZ"/>
              </w:rPr>
            </w:pPr>
            <w:r w:rsidRPr="00501C11">
              <w:t>This describes the essential skills and knowledge and their level, required for this unit.</w:t>
            </w:r>
          </w:p>
        </w:tc>
      </w:tr>
      <w:tr w:rsidTr="00A6379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501C11" w:rsidP="00501C11">
            <w:pPr>
              <w:pStyle w:val="BodyText"/>
            </w:pPr>
            <w:r w:rsidRPr="00501C11">
              <w:rPr>
                <w:rStyle w:val="SpecialBold"/>
              </w:rPr>
              <w:t>Required skills</w:t>
            </w:r>
            <w:r w:rsidRPr="00501C11">
              <w:t>:</w:t>
            </w:r>
          </w:p>
          <w:p w:rsidR="00000000" w:rsidRPr="00501C11" w:rsidP="00501C11">
            <w:pPr>
              <w:pStyle w:val="ListBullet"/>
            </w:pPr>
            <w:r w:rsidRPr="00501C11">
              <w:t>solve operational problems</w:t>
            </w:r>
          </w:p>
          <w:p w:rsidR="00000000" w:rsidRPr="00501C11" w:rsidP="00501C11">
            <w:pPr>
              <w:pStyle w:val="ListBullet"/>
            </w:pPr>
            <w:r w:rsidRPr="00501C11">
              <w:t>produce reports</w:t>
            </w:r>
          </w:p>
          <w:p w:rsidR="00000000" w:rsidRPr="00501C11" w:rsidP="00501C11">
            <w:pPr>
              <w:pStyle w:val="ListBullet"/>
            </w:pPr>
            <w:r w:rsidRPr="00501C11">
              <w:t>calculate flows</w:t>
            </w:r>
          </w:p>
          <w:p w:rsidR="00000000" w:rsidRPr="00501C11" w:rsidP="00501C11">
            <w:pPr>
              <w:pStyle w:val="ListBullet"/>
            </w:pPr>
            <w:r w:rsidRPr="00501C11">
              <w:t>undertake source inspections</w:t>
            </w:r>
          </w:p>
          <w:p w:rsidR="00000000" w:rsidRPr="00501C11" w:rsidP="00501C11">
            <w:pPr>
              <w:pStyle w:val="ListBullet"/>
            </w:pPr>
            <w:r w:rsidRPr="00501C11">
              <w:t>follow standard operating procedures</w:t>
            </w:r>
          </w:p>
          <w:p w:rsidR="00000000" w:rsidRPr="00501C11" w:rsidP="00501C11">
            <w:pPr>
              <w:pStyle w:val="ListBullet"/>
            </w:pPr>
            <w:r w:rsidRPr="00501C11">
              <w:t>communicate with employees and customers</w:t>
            </w:r>
          </w:p>
          <w:p w:rsidR="00000000" w:rsidRPr="00501C11" w:rsidP="00501C11">
            <w:pPr>
              <w:pStyle w:val="ListBullet"/>
            </w:pPr>
            <w:r w:rsidRPr="00501C11">
              <w:t>use communication equipment</w:t>
            </w:r>
          </w:p>
          <w:p w:rsidR="00000000" w:rsidRPr="00501C11" w:rsidP="00501C11">
            <w:pPr>
              <w:pStyle w:val="ListBullet"/>
            </w:pPr>
            <w:r w:rsidRPr="00501C11">
              <w:t>give and receive instructions</w:t>
            </w:r>
          </w:p>
          <w:p w:rsidR="00000000" w:rsidRPr="00501C11" w:rsidP="00501C11">
            <w:pPr>
              <w:pStyle w:val="ListBullet"/>
            </w:pPr>
            <w:r w:rsidRPr="00501C11">
              <w:t>identify control system faults</w:t>
            </w:r>
          </w:p>
          <w:p w:rsidR="00000000" w:rsidRPr="00501C11" w:rsidP="00501C11">
            <w:pPr>
              <w:pStyle w:val="ListBullet"/>
            </w:pPr>
            <w:r w:rsidRPr="00501C11">
              <w:t>use safety equipment and personal protective equipment</w:t>
            </w:r>
          </w:p>
          <w:p w:rsidR="00000000" w:rsidP="00501C11">
            <w:pPr>
              <w:pStyle w:val="ListBullet"/>
              <w:rPr>
                <w:lang w:val="en-NZ"/>
              </w:rPr>
            </w:pPr>
            <w:r w:rsidRPr="00501C11">
              <w:t>identify potential sources of contamination</w:t>
            </w:r>
          </w:p>
        </w:tc>
      </w:tr>
      <w:tr w:rsidTr="00A6379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501C11" w:rsidP="00501C11">
            <w:pPr>
              <w:pStyle w:val="BodyText"/>
            </w:pPr>
            <w:r w:rsidRPr="00501C11">
              <w:rPr>
                <w:rStyle w:val="SpecialBold"/>
              </w:rPr>
              <w:t>Required knowledge</w:t>
            </w:r>
            <w:r w:rsidRPr="00501C11">
              <w:t>:</w:t>
            </w:r>
          </w:p>
          <w:p w:rsidR="00000000" w:rsidRPr="00501C11" w:rsidP="00501C11">
            <w:pPr>
              <w:pStyle w:val="ListBullet"/>
            </w:pPr>
            <w:r w:rsidRPr="00501C11">
              <w:t>prope</w:t>
            </w:r>
            <w:r w:rsidRPr="00501C11">
              <w:t>rties of stored water</w:t>
            </w:r>
          </w:p>
          <w:p w:rsidR="00000000" w:rsidRPr="00501C11" w:rsidP="00501C11">
            <w:pPr>
              <w:pStyle w:val="ListBullet"/>
            </w:pPr>
            <w:r w:rsidRPr="00501C11">
              <w:t>communication systems</w:t>
            </w:r>
          </w:p>
          <w:p w:rsidR="00000000" w:rsidRPr="00501C11" w:rsidP="00501C11">
            <w:pPr>
              <w:pStyle w:val="ListBullet"/>
            </w:pPr>
            <w:r w:rsidRPr="00501C11">
              <w:t>principles of hydraulics</w:t>
            </w:r>
          </w:p>
          <w:p w:rsidR="00000000" w:rsidRPr="00501C11" w:rsidP="00501C11">
            <w:pPr>
              <w:pStyle w:val="ListBullet"/>
            </w:pPr>
            <w:r w:rsidRPr="00501C11">
              <w:t>system layout</w:t>
            </w:r>
          </w:p>
          <w:p w:rsidR="00000000" w:rsidRPr="00501C11" w:rsidP="00501C11">
            <w:pPr>
              <w:pStyle w:val="ListBullet"/>
            </w:pPr>
            <w:r w:rsidRPr="00501C11">
              <w:t>control systems</w:t>
            </w:r>
          </w:p>
          <w:p w:rsidR="00000000" w:rsidRPr="00501C11" w:rsidP="00501C11">
            <w:pPr>
              <w:pStyle w:val="ListBullet"/>
            </w:pPr>
            <w:r w:rsidRPr="00501C11">
              <w:t>equipment operation</w:t>
            </w:r>
          </w:p>
          <w:p w:rsidR="00000000" w:rsidRPr="00501C11" w:rsidP="00501C11">
            <w:pPr>
              <w:pStyle w:val="ListBullet"/>
            </w:pPr>
            <w:r w:rsidRPr="00501C11">
              <w:t>relevant utilities and service bodies</w:t>
            </w:r>
          </w:p>
          <w:p w:rsidR="00000000" w:rsidRPr="00501C11" w:rsidP="00501C11">
            <w:pPr>
              <w:pStyle w:val="ListBullet"/>
            </w:pPr>
            <w:r w:rsidRPr="00501C11">
              <w:t xml:space="preserve">hazardous materials handling </w:t>
            </w:r>
          </w:p>
          <w:p w:rsidR="00000000" w:rsidRPr="00501C11" w:rsidP="00501C11">
            <w:pPr>
              <w:pStyle w:val="ListBullet"/>
            </w:pPr>
            <w:r w:rsidRPr="00501C11">
              <w:t>effects of weather and conditions on bulkwater assets</w:t>
            </w:r>
          </w:p>
          <w:p w:rsidR="00000000" w:rsidRPr="00501C11" w:rsidP="00501C11">
            <w:pPr>
              <w:pStyle w:val="ListBullet"/>
            </w:pPr>
            <w:r w:rsidRPr="00501C11">
              <w:t>principles of soil mechanics</w:t>
            </w:r>
          </w:p>
          <w:p w:rsidR="00000000" w:rsidRPr="00501C11" w:rsidP="00501C11">
            <w:pPr>
              <w:pStyle w:val="ListBullet"/>
            </w:pPr>
            <w:r w:rsidRPr="00501C11">
              <w:t>concrete structure, strengths and deterioration</w:t>
            </w:r>
          </w:p>
          <w:p w:rsidR="00000000" w:rsidRPr="00501C11" w:rsidP="00501C11">
            <w:pPr>
              <w:pStyle w:val="ListBullet"/>
            </w:pPr>
            <w:r w:rsidRPr="00501C11">
              <w:t>construction procedures</w:t>
            </w:r>
          </w:p>
          <w:p w:rsidR="00000000" w:rsidRPr="00501C11" w:rsidP="00501C11">
            <w:pPr>
              <w:pStyle w:val="ListBullet"/>
            </w:pPr>
            <w:r w:rsidRPr="00501C11">
              <w:t>risk management techniques</w:t>
            </w:r>
          </w:p>
          <w:p w:rsidR="00000000" w:rsidRPr="00501C11" w:rsidP="00501C11">
            <w:pPr>
              <w:pStyle w:val="ListBullet"/>
            </w:pPr>
            <w:r w:rsidRPr="00501C11">
              <w:t>occupational health and safety</w:t>
            </w:r>
          </w:p>
          <w:p w:rsidR="00000000" w:rsidRPr="00501C11" w:rsidP="00501C11">
            <w:pPr>
              <w:pStyle w:val="ListBullet"/>
            </w:pPr>
            <w:r w:rsidRPr="00501C11">
              <w:t>personal work site safety</w:t>
            </w:r>
          </w:p>
          <w:p w:rsidR="00000000" w:rsidRPr="00501C11" w:rsidP="00501C11">
            <w:pPr>
              <w:pStyle w:val="ListBullet"/>
            </w:pPr>
            <w:r w:rsidRPr="00501C11">
              <w:t>organisational and statutory requirements</w:t>
            </w:r>
          </w:p>
        </w:tc>
      </w:tr>
    </w:tbl>
    <w:p w:rsidR="00000000" w:rsidRPr="00501C11" w:rsidP="00501C11">
      <w:pPr>
        <w:pStyle w:val="BodyText"/>
      </w:pPr>
    </w:p>
    <w:p w:rsidR="00000000" w:rsidRPr="00501C11" w:rsidP="00501C11">
      <w:pPr>
        <w:pStyle w:val="AllowPageBreak"/>
      </w:pPr>
    </w:p>
    <w:p w:rsidR="00000000" w:rsidRPr="00501C11" w:rsidP="00501C11">
      <w:pPr>
        <w:pStyle w:val="Heading1"/>
      </w:pPr>
      <w:bookmarkStart w:id="10" w:name="O_405022"/>
      <w:bookmarkEnd w:id="10"/>
      <w:r w:rsidRPr="00501C11">
        <w:t>Evidence Guide</w:t>
      </w:r>
    </w:p>
    <w:tbl>
      <w:tblPr>
        <w:tblW w:w="0" w:type="auto"/>
        <w:tblLayout w:type="fixed"/>
        <w:tblCellMar>
          <w:left w:w="62" w:type="dxa"/>
          <w:right w:w="62" w:type="dxa"/>
        </w:tblCellMar>
        <w:tblLook w:val="0000"/>
      </w:tblPr>
      <w:tblGrid>
        <w:gridCol w:w="2968"/>
        <w:gridCol w:w="6104"/>
      </w:tblGrid>
      <w:tr w:rsidTr="00A6379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01C11">
            <w:pPr>
              <w:pStyle w:val="BodyText"/>
              <w:rPr>
                <w:lang w:val="en-NZ"/>
              </w:rPr>
            </w:pPr>
            <w:r w:rsidRPr="00501C11">
              <w:t>The evidence guide provides advice on assessment and must be read in conjunction with the Performance Criteria, Required Skills and Knowledge, the Range Statement and the Assessment Guidelines for the Training Package.</w:t>
            </w:r>
          </w:p>
        </w:tc>
      </w:tr>
      <w:tr w:rsidTr="00A63796">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501C11">
            <w:pPr>
              <w:pStyle w:val="BodyText"/>
              <w:rPr>
                <w:lang w:val="en-NZ"/>
              </w:rPr>
            </w:pPr>
            <w:r w:rsidRPr="00501C11">
              <w:rPr>
                <w:rStyle w:val="SpecialBold"/>
              </w:rPr>
              <w:t>Critical aspects for</w:t>
            </w:r>
            <w:r w:rsidRPr="00501C11">
              <w:rPr>
                <w:rStyle w:val="SpecialBold"/>
              </w:rPr>
              <w:t xml:space="preserve"> assessment and evidence required to demonstrate competency in this unit</w:t>
            </w:r>
          </w:p>
        </w:tc>
        <w:tc>
          <w:tcPr>
            <w:tcW w:w="6104" w:type="dxa"/>
            <w:tcBorders>
              <w:top w:val="nil"/>
              <w:left w:val="nil"/>
              <w:bottom w:val="nil"/>
              <w:right w:val="nil"/>
            </w:tcBorders>
            <w:tcMar>
              <w:top w:w="0" w:type="dxa"/>
              <w:left w:w="62" w:type="dxa"/>
              <w:bottom w:w="0" w:type="dxa"/>
              <w:right w:w="62" w:type="dxa"/>
            </w:tcMar>
          </w:tcPr>
          <w:p w:rsidR="00000000" w:rsidRPr="00501C11" w:rsidP="00501C11">
            <w:pPr>
              <w:pStyle w:val="BodyText"/>
            </w:pPr>
            <w:r w:rsidRPr="00501C11">
              <w:t>The candidate should demonstrate the ability to perform inspection, regulation, operation, measurement and reporting of groundwater systems including:</w:t>
            </w:r>
          </w:p>
          <w:p w:rsidR="00000000" w:rsidRPr="00501C11" w:rsidP="00501C11">
            <w:pPr>
              <w:pStyle w:val="ListBullet"/>
            </w:pPr>
            <w:r w:rsidRPr="00501C11">
              <w:t>inspecting groundwater bores</w:t>
            </w:r>
          </w:p>
          <w:p w:rsidR="00000000" w:rsidRPr="00501C11" w:rsidP="00501C11">
            <w:pPr>
              <w:pStyle w:val="ListBullet"/>
            </w:pPr>
            <w:r w:rsidRPr="00501C11">
              <w:t>co</w:t>
            </w:r>
            <w:r w:rsidRPr="00501C11">
              <w:t>llecting and recording data</w:t>
            </w:r>
          </w:p>
          <w:p w:rsidR="00000000" w:rsidRPr="00501C11" w:rsidP="00501C11">
            <w:pPr>
              <w:pStyle w:val="ListBullet"/>
            </w:pPr>
            <w:r w:rsidRPr="00501C11">
              <w:t>collecting samples</w:t>
            </w:r>
          </w:p>
          <w:p w:rsidR="00000000" w:rsidRPr="00501C11" w:rsidP="00501C11">
            <w:pPr>
              <w:pStyle w:val="ListBullet"/>
            </w:pPr>
            <w:r w:rsidRPr="00501C11">
              <w:t>testing and adjusting pumps and flow meters to produce required flows</w:t>
            </w:r>
          </w:p>
          <w:p w:rsidR="00000000" w:rsidRPr="00501C11" w:rsidP="00501C11">
            <w:pPr>
              <w:pStyle w:val="ListBullet"/>
            </w:pPr>
            <w:r w:rsidRPr="00501C11">
              <w:t>recording extraction volumes and checking for compliance</w:t>
            </w:r>
          </w:p>
          <w:p w:rsidR="00000000" w:rsidP="00501C11">
            <w:pPr>
              <w:pStyle w:val="ListBullet"/>
              <w:rPr>
                <w:lang w:val="en-NZ"/>
              </w:rPr>
            </w:pPr>
            <w:r w:rsidRPr="00501C11">
              <w:t>completing relevant documentation</w:t>
            </w:r>
          </w:p>
        </w:tc>
      </w:tr>
      <w:tr w:rsidTr="00A63796">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501C11">
            <w:pPr>
              <w:pStyle w:val="BodyText"/>
              <w:rPr>
                <w:lang w:val="en-NZ"/>
              </w:rPr>
            </w:pPr>
            <w:r w:rsidRPr="00501C11">
              <w:rPr>
                <w:rStyle w:val="SpecialBold"/>
              </w:rPr>
              <w:t>Context of and specific resources for assessment</w:t>
            </w:r>
          </w:p>
        </w:tc>
        <w:tc>
          <w:tcPr>
            <w:tcW w:w="6104" w:type="dxa"/>
            <w:tcBorders>
              <w:top w:val="nil"/>
              <w:left w:val="nil"/>
              <w:bottom w:val="nil"/>
              <w:right w:val="nil"/>
            </w:tcBorders>
            <w:tcMar>
              <w:top w:w="0" w:type="dxa"/>
              <w:left w:w="62" w:type="dxa"/>
              <w:bottom w:w="0" w:type="dxa"/>
              <w:right w:w="62" w:type="dxa"/>
            </w:tcMar>
          </w:tcPr>
          <w:p w:rsidR="00000000" w:rsidRPr="00501C11" w:rsidP="00501C11">
            <w:pPr>
              <w:pStyle w:val="BodyText"/>
            </w:pPr>
            <w:r w:rsidRPr="00501C11">
              <w:t xml:space="preserve">Access to the workplace and resources including: </w:t>
            </w:r>
          </w:p>
          <w:p w:rsidR="00000000" w:rsidRPr="00501C11" w:rsidP="00501C11">
            <w:pPr>
              <w:pStyle w:val="ListBullet"/>
            </w:pPr>
            <w:r w:rsidRPr="00501C11">
              <w:t>documentation that should normally be available in a water industry organisation</w:t>
            </w:r>
          </w:p>
          <w:p w:rsidR="00000000" w:rsidRPr="00501C11" w:rsidP="00501C11">
            <w:pPr>
              <w:pStyle w:val="ListBullet"/>
            </w:pPr>
            <w:r w:rsidRPr="00501C11">
              <w:t>relevant codes, standards, and government regulations</w:t>
            </w:r>
          </w:p>
          <w:p w:rsidR="00000000" w:rsidRPr="00501C11" w:rsidP="00501C11">
            <w:pPr>
              <w:pStyle w:val="BodyText"/>
            </w:pPr>
            <w:r w:rsidRPr="00501C11">
              <w:t>Where applicable, phy</w:t>
            </w:r>
            <w:r w:rsidRPr="00501C11">
              <w:t>sical resources should include equipment modified for people with disabilities.</w:t>
            </w:r>
          </w:p>
          <w:p w:rsidR="00000000" w:rsidRPr="00501C11" w:rsidP="00501C11">
            <w:pPr>
              <w:pStyle w:val="BodyText"/>
            </w:pPr>
            <w:r w:rsidRPr="00501C11">
              <w:t>Access must be provided to appropriate learning and/or assessment support when required.</w:t>
            </w:r>
          </w:p>
          <w:p w:rsidR="00000000" w:rsidRPr="00501C11" w:rsidP="00501C11">
            <w:pPr>
              <w:pStyle w:val="BodyText"/>
            </w:pPr>
            <w:r w:rsidRPr="00501C11">
              <w:t xml:space="preserve">Assessment processes and techniques must be culturally appropriate, and appropriate to </w:t>
            </w:r>
            <w:r w:rsidRPr="00501C11">
              <w:t>the language and literacy capacity of the candidate and the work being performed. Validity and sufficiency of evidence requires that:</w:t>
            </w:r>
          </w:p>
          <w:p w:rsidR="00000000" w:rsidRPr="00501C11" w:rsidP="00501C11">
            <w:pPr>
              <w:pStyle w:val="ListBullet"/>
            </w:pPr>
            <w:r w:rsidRPr="00501C11">
              <w:t>competency will need to be demonstrated over a period of time reflecting the scope of the role and the practical requirem</w:t>
            </w:r>
            <w:r w:rsidRPr="00501C11">
              <w:t>ents of the workplace</w:t>
            </w:r>
          </w:p>
          <w:p w:rsidR="00000000" w:rsidRPr="00501C11" w:rsidP="00501C11">
            <w:pPr>
              <w:pStyle w:val="ListBullet"/>
            </w:pPr>
            <w:r w:rsidRPr="00501C11">
              <w:t>where the assessment is part of a structured learning experience the evidence collected must relate to a number of performances assessed at different points in time and separated by further learning and practice</w:t>
            </w:r>
          </w:p>
          <w:p w:rsidR="00000000" w:rsidRPr="00501C11" w:rsidP="00501C11">
            <w:pPr>
              <w:pStyle w:val="ListBullet"/>
            </w:pPr>
            <w:r w:rsidRPr="00501C11">
              <w:t>a decision of competen</w:t>
            </w:r>
            <w:r w:rsidRPr="00501C11">
              <w:t>ce only taken at the point when the assessor has complete confidence in the person's competence over time and in various contexts</w:t>
            </w:r>
          </w:p>
          <w:p w:rsidR="00000000" w:rsidRPr="00501C11" w:rsidP="00501C11">
            <w:pPr>
              <w:pStyle w:val="ListBullet"/>
            </w:pPr>
            <w:r w:rsidRPr="00501C11">
              <w:t>all assessment that is part of a structured learning experience must include a combination of direct, indirect and supplementa</w:t>
            </w:r>
            <w:r w:rsidRPr="00501C11">
              <w:t>ry evidence</w:t>
            </w:r>
          </w:p>
          <w:p w:rsidR="00000000" w:rsidRPr="00501C11" w:rsidP="00501C11">
            <w:pPr>
              <w:pStyle w:val="ListBullet"/>
            </w:pPr>
            <w:r w:rsidRPr="00501C11">
              <w:t xml:space="preserve">where assessment is for the purpose of recognition (RCC/RPL), the evidence provided will need to be </w:t>
            </w:r>
            <w:r w:rsidRPr="00501C11">
              <w:t>authenticated and show that it represents competency demonstrated over a period of time</w:t>
            </w:r>
          </w:p>
          <w:p w:rsidR="00000000" w:rsidRPr="00501C11" w:rsidP="00501C11">
            <w:pPr>
              <w:pStyle w:val="ListBullet"/>
            </w:pPr>
            <w:r w:rsidRPr="00501C11">
              <w:t>assessment can be through simulated project-based activi</w:t>
            </w:r>
            <w:r w:rsidRPr="00501C11">
              <w:t>ty and must include evidence relating to each of the elements in this unit</w:t>
            </w:r>
          </w:p>
          <w:p w:rsidR="00000000" w:rsidRPr="00501C11" w:rsidP="00501C11">
            <w:pPr>
              <w:pStyle w:val="BodyText"/>
            </w:pPr>
            <w:r w:rsidRPr="00501C11">
              <w:t>In all cases where practical assessment is used it will be combined with targeted questioning to assess the underpinning knowledge. Questioning will be undertaken in a manner approp</w:t>
            </w:r>
            <w:r w:rsidRPr="00501C11">
              <w:t>riate to the skill levels of the operator, any cultural issues that may affect responses to the questions, and reflecting the requirements of the competency and the work being performed.</w:t>
            </w:r>
          </w:p>
        </w:tc>
      </w:tr>
    </w:tbl>
    <w:p w:rsidR="00000000" w:rsidRPr="00501C11" w:rsidP="00501C11">
      <w:pPr>
        <w:pStyle w:val="BodyText"/>
      </w:pPr>
    </w:p>
    <w:p w:rsidR="00000000" w:rsidRPr="00501C11" w:rsidP="00501C11">
      <w:pPr>
        <w:pStyle w:val="AllowPageBreak"/>
      </w:pPr>
    </w:p>
    <w:p w:rsidR="00000000" w:rsidRPr="00501C11" w:rsidP="00501C11">
      <w:pPr>
        <w:pStyle w:val="Heading1"/>
      </w:pPr>
      <w:bookmarkStart w:id="11" w:name="O_405017"/>
      <w:bookmarkEnd w:id="11"/>
      <w:r w:rsidRPr="00501C11">
        <w:t>Range Statement</w:t>
      </w:r>
    </w:p>
    <w:tbl>
      <w:tblPr>
        <w:tblW w:w="0" w:type="auto"/>
        <w:tblLayout w:type="fixed"/>
        <w:tblCellMar>
          <w:left w:w="62" w:type="dxa"/>
          <w:right w:w="62" w:type="dxa"/>
        </w:tblCellMar>
        <w:tblLook w:val="0000"/>
      </w:tblPr>
      <w:tblGrid>
        <w:gridCol w:w="2968"/>
        <w:gridCol w:w="6104"/>
      </w:tblGrid>
      <w:tr w:rsidTr="00A6379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01C11">
            <w:pPr>
              <w:pStyle w:val="BodyText"/>
              <w:rPr>
                <w:lang w:val="en-NZ"/>
              </w:rPr>
            </w:pPr>
            <w:r w:rsidRPr="00501C11">
              <w:t xml:space="preserve">The range statement relates to the unit of competency as a whole. It allows for different work environments and situations that may affect performance. </w:t>
            </w:r>
            <w:r w:rsidRPr="00501C11">
              <w:rPr>
                <w:rStyle w:val="BoldandItalics"/>
              </w:rPr>
              <w:t>Bold italicised</w:t>
            </w:r>
            <w:r w:rsidRPr="00501C11">
              <w:t xml:space="preserve"> wording, if used in the Performance Criteria, is detailed below. Add any essential opera</w:t>
            </w:r>
            <w:r w:rsidRPr="00501C11">
              <w:t>ting conditions that may be present with training and assessment depending on the work situation, needs if the candidate, accessibility of the item, and local industry and regional contexts.</w:t>
            </w:r>
          </w:p>
        </w:tc>
      </w:tr>
      <w:tr w:rsidTr="00A63796">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501C11">
            <w:pPr>
              <w:pStyle w:val="BodyText"/>
              <w:rPr>
                <w:lang w:val="en-NZ"/>
              </w:rPr>
            </w:pPr>
            <w:r w:rsidRPr="00501C11">
              <w:rPr>
                <w:rStyle w:val="BoldandItalics"/>
              </w:rPr>
              <w:t>Inspection</w:t>
            </w:r>
            <w:r w:rsidRPr="00501C11">
              <w:t xml:space="preserve"> may require:</w:t>
            </w:r>
          </w:p>
        </w:tc>
        <w:tc>
          <w:tcPr>
            <w:tcW w:w="6104" w:type="dxa"/>
            <w:tcBorders>
              <w:top w:val="nil"/>
              <w:left w:val="nil"/>
              <w:bottom w:val="nil"/>
              <w:right w:val="nil"/>
            </w:tcBorders>
            <w:tcMar>
              <w:top w:w="0" w:type="dxa"/>
              <w:left w:w="62" w:type="dxa"/>
              <w:bottom w:w="0" w:type="dxa"/>
              <w:right w:w="62" w:type="dxa"/>
            </w:tcMar>
          </w:tcPr>
          <w:p w:rsidR="00000000" w:rsidRPr="00501C11" w:rsidP="00501C11">
            <w:pPr>
              <w:pStyle w:val="ListBullet"/>
            </w:pPr>
            <w:r w:rsidRPr="00501C11">
              <w:t>interaction and communication with oth</w:t>
            </w:r>
            <w:r w:rsidRPr="00501C11">
              <w:t>er employees, other authorities and the general public</w:t>
            </w:r>
          </w:p>
          <w:p w:rsidR="00000000" w:rsidRPr="00501C11" w:rsidP="00501C11">
            <w:pPr>
              <w:pStyle w:val="ListBullet"/>
            </w:pPr>
            <w:r w:rsidRPr="00501C11">
              <w:t>visual observation</w:t>
            </w:r>
          </w:p>
          <w:p w:rsidR="00000000" w:rsidP="00501C11">
            <w:pPr>
              <w:pStyle w:val="ListBullet"/>
              <w:rPr>
                <w:lang w:val="en-NZ"/>
              </w:rPr>
            </w:pPr>
            <w:r w:rsidRPr="00501C11">
              <w:t>implementation of reporting procedures that may also include procedures for the implementation of by-laws, organisational policies and statutory requirements</w:t>
            </w:r>
          </w:p>
        </w:tc>
      </w:tr>
      <w:tr w:rsidTr="00A63796">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501C11">
            <w:pPr>
              <w:pStyle w:val="BodyText"/>
              <w:rPr>
                <w:lang w:val="en-NZ"/>
              </w:rPr>
            </w:pPr>
            <w:r w:rsidRPr="00501C11">
              <w:rPr>
                <w:rStyle w:val="BoldandItalics"/>
              </w:rPr>
              <w:t>Organisational and statutory requirements</w:t>
            </w:r>
            <w:r w:rsidRPr="00501C11">
              <w:t xml:space="preserve"> may include:</w:t>
            </w:r>
          </w:p>
        </w:tc>
        <w:tc>
          <w:tcPr>
            <w:tcW w:w="6104" w:type="dxa"/>
            <w:tcBorders>
              <w:top w:val="nil"/>
              <w:left w:val="nil"/>
              <w:bottom w:val="nil"/>
              <w:right w:val="nil"/>
            </w:tcBorders>
            <w:tcMar>
              <w:top w:w="0" w:type="dxa"/>
              <w:left w:w="62" w:type="dxa"/>
              <w:bottom w:w="0" w:type="dxa"/>
              <w:right w:w="62" w:type="dxa"/>
            </w:tcMar>
          </w:tcPr>
          <w:p w:rsidR="00000000" w:rsidRPr="00501C11" w:rsidP="00501C11">
            <w:pPr>
              <w:pStyle w:val="ListBullet"/>
            </w:pPr>
            <w:r w:rsidRPr="00501C11">
              <w:t>by-laws and organisational policies</w:t>
            </w:r>
          </w:p>
          <w:p w:rsidR="00000000" w:rsidRPr="00501C11" w:rsidP="00501C11">
            <w:pPr>
              <w:pStyle w:val="ListBullet"/>
            </w:pPr>
            <w:r w:rsidRPr="00501C11">
              <w:t>standard operating procedures</w:t>
            </w:r>
          </w:p>
          <w:p w:rsidR="00000000" w:rsidRPr="00501C11" w:rsidP="00501C11">
            <w:pPr>
              <w:pStyle w:val="ListBullet"/>
            </w:pPr>
            <w:r w:rsidRPr="00501C11">
              <w:t>environment protection</w:t>
            </w:r>
          </w:p>
          <w:p w:rsidR="00000000" w:rsidRPr="00501C11" w:rsidP="00501C11">
            <w:pPr>
              <w:pStyle w:val="ListBullet"/>
            </w:pPr>
            <w:r w:rsidRPr="00501C11">
              <w:t>occupational health and safety</w:t>
            </w:r>
          </w:p>
          <w:p w:rsidR="00000000" w:rsidRPr="00501C11" w:rsidP="00501C11">
            <w:pPr>
              <w:pStyle w:val="ListBullet"/>
            </w:pPr>
            <w:r w:rsidRPr="00501C11">
              <w:t>hazardous substances</w:t>
            </w:r>
          </w:p>
          <w:p w:rsidR="00000000" w:rsidRPr="00501C11" w:rsidP="00501C11">
            <w:pPr>
              <w:pStyle w:val="ListBullet"/>
            </w:pPr>
            <w:r w:rsidRPr="00501C11">
              <w:t>mines and subsidence</w:t>
            </w:r>
          </w:p>
          <w:p w:rsidR="00000000" w:rsidRPr="00501C11" w:rsidP="00501C11">
            <w:pPr>
              <w:pStyle w:val="ListBullet"/>
            </w:pPr>
            <w:r w:rsidRPr="00501C11">
              <w:t xml:space="preserve">road signage </w:t>
            </w:r>
          </w:p>
          <w:p w:rsidR="00000000" w:rsidRPr="00501C11" w:rsidP="00501C11">
            <w:pPr>
              <w:pStyle w:val="ListBullet"/>
            </w:pPr>
            <w:r w:rsidRPr="00501C11">
              <w:t>electrical</w:t>
            </w:r>
          </w:p>
          <w:p w:rsidR="00000000" w:rsidRPr="00501C11" w:rsidP="00501C11">
            <w:pPr>
              <w:pStyle w:val="ListBullet"/>
            </w:pPr>
            <w:r w:rsidRPr="00501C11">
              <w:t>dangerous goo</w:t>
            </w:r>
            <w:r w:rsidRPr="00501C11">
              <w:t>ds</w:t>
            </w:r>
          </w:p>
          <w:p w:rsidR="00000000" w:rsidRPr="00501C11" w:rsidP="00501C11">
            <w:pPr>
              <w:pStyle w:val="ListBullet"/>
            </w:pPr>
            <w:r w:rsidRPr="00501C11">
              <w:t>World Health Organisation and National Health and Medical Research Council (NHMRC) guidelines</w:t>
            </w:r>
          </w:p>
        </w:tc>
      </w:tr>
    </w:tbl>
    <w:p w:rsidR="00A63796" w:rsidP="00501C11">
      <w:pPr>
        <w:pStyle w:val="BodyText"/>
      </w:pPr>
    </w:p>
    <w:p w:rsidR="00A63796" w:rsidP="00501C11">
      <w:pPr>
        <w:pStyle w:val="BodyText"/>
      </w:pPr>
    </w:p>
    <w:p w:rsidR="00000000" w:rsidRPr="00501C11" w:rsidP="00501C11">
      <w:pPr>
        <w:pStyle w:val="Heading1"/>
      </w:pPr>
      <w:bookmarkStart w:id="12" w:name="O_405014"/>
      <w:bookmarkEnd w:id="12"/>
      <w:r w:rsidRPr="00501C11">
        <w:t>Unit Sector(s)</w:t>
      </w:r>
    </w:p>
    <w:p w:rsidR="00000000" w:rsidRPr="00501C11" w:rsidP="00501C11">
      <w:pPr>
        <w:pStyle w:val="BodyText"/>
      </w:pPr>
      <w:r w:rsidRPr="00501C11">
        <w:t>Not applicable.</w:t>
      </w:r>
    </w:p>
    <w:p w:rsidR="00000000" w:rsidRPr="00501C11" w:rsidP="00501C11">
      <w:pPr>
        <w:pStyle w:val="AllowPageBreak"/>
      </w:pPr>
    </w:p>
    <w:p w:rsidR="00000000" w:rsidRPr="00501C11" w:rsidP="00501C11">
      <w:pPr>
        <w:pStyle w:val="Heading1"/>
      </w:pPr>
      <w:bookmarkStart w:id="13" w:name="O_405026"/>
      <w:bookmarkEnd w:id="13"/>
      <w:r w:rsidRPr="00501C11">
        <w:t>Competency field</w:t>
      </w:r>
    </w:p>
    <w:p w:rsidR="00000000" w:rsidRPr="00501C11" w:rsidP="00501C11">
      <w:pPr>
        <w:pStyle w:val="BodyText"/>
      </w:pPr>
      <w:r w:rsidRPr="00501C11">
        <w:t>Collection and distribution.</w:t>
      </w:r>
    </w:p>
    <w:p w:rsidR="00000000" w:rsidRPr="00501C11" w:rsidP="00501C11"/>
    <w:sectPr w:rsidSect="00501C1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1C1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63796" w:rsidP="00A6379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1C1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3796" w:rsidP="00501C1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A63796" w:rsidP="00501C1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A63796" w:rsidP="00501C1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1C1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1C11" w:rsidRPr="00A63796" w:rsidP="00A63796">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1C1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3796" w:rsidP="00501C11">
    <w:pPr>
      <w:pStyle w:val="Header"/>
      <w:framePr w:wrap="around"/>
    </w:pPr>
    <w:r>
      <w:fldChar w:fldCharType="begin"/>
    </w:r>
    <w:r>
      <w:instrText xml:space="preserve"> TITLE   \* MERGEFORMAT </w:instrText>
    </w:r>
    <w:r>
      <w:fldChar w:fldCharType="separate"/>
    </w:r>
    <w:r>
      <w:t>NWP321B Inspect and operate groundwater regulation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63796" w:rsidP="00501C1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CF0511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850AF1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1C1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01C11"/>
    <w:pPr>
      <w:spacing w:before="360" w:after="60"/>
      <w:outlineLvl w:val="0"/>
    </w:pPr>
    <w:rPr>
      <w:sz w:val="32"/>
    </w:rPr>
  </w:style>
  <w:style w:type="paragraph" w:styleId="Heading2">
    <w:name w:val="heading 2"/>
    <w:basedOn w:val="HeadingBase"/>
    <w:next w:val="BodyText"/>
    <w:link w:val="Heading2Char"/>
    <w:qFormat/>
    <w:rsid w:val="00501C11"/>
    <w:pPr>
      <w:keepLines/>
      <w:spacing w:before="240" w:after="120"/>
      <w:outlineLvl w:val="1"/>
    </w:pPr>
    <w:rPr>
      <w:sz w:val="28"/>
      <w:szCs w:val="40"/>
    </w:rPr>
  </w:style>
  <w:style w:type="paragraph" w:styleId="Heading3">
    <w:name w:val="heading 3"/>
    <w:basedOn w:val="HeadingBase"/>
    <w:next w:val="BodyText"/>
    <w:link w:val="Heading3Char"/>
    <w:qFormat/>
    <w:rsid w:val="00501C11"/>
    <w:pPr>
      <w:spacing w:before="180" w:after="120"/>
      <w:outlineLvl w:val="2"/>
    </w:pPr>
    <w:rPr>
      <w:spacing w:val="-10"/>
      <w:kern w:val="32"/>
    </w:rPr>
  </w:style>
  <w:style w:type="paragraph" w:styleId="Heading4">
    <w:name w:val="heading 4"/>
    <w:basedOn w:val="HeadingBase"/>
    <w:next w:val="BodyText"/>
    <w:link w:val="Heading4Char"/>
    <w:qFormat/>
    <w:rsid w:val="00501C11"/>
    <w:pPr>
      <w:spacing w:before="160" w:after="120"/>
      <w:outlineLvl w:val="3"/>
    </w:pPr>
    <w:rPr>
      <w:sz w:val="22"/>
    </w:rPr>
  </w:style>
  <w:style w:type="paragraph" w:styleId="Heading5">
    <w:name w:val="heading 5"/>
    <w:basedOn w:val="HeadingBase"/>
    <w:next w:val="Normal"/>
    <w:link w:val="Heading5Char"/>
    <w:qFormat/>
    <w:rsid w:val="00501C11"/>
    <w:pPr>
      <w:spacing w:before="80"/>
      <w:outlineLvl w:val="4"/>
    </w:pPr>
    <w:rPr>
      <w:color w:val="918585"/>
      <w:sz w:val="20"/>
    </w:rPr>
  </w:style>
  <w:style w:type="paragraph" w:styleId="Heading6">
    <w:name w:val="heading 6"/>
    <w:basedOn w:val="HeadingBase"/>
    <w:next w:val="Normal"/>
    <w:link w:val="Heading6Char"/>
    <w:qFormat/>
    <w:rsid w:val="00501C11"/>
    <w:pPr>
      <w:spacing w:before="60"/>
      <w:outlineLvl w:val="5"/>
    </w:pPr>
    <w:rPr>
      <w:color w:val="918585"/>
      <w:sz w:val="20"/>
    </w:rPr>
  </w:style>
  <w:style w:type="paragraph" w:styleId="Heading7">
    <w:name w:val="heading 7"/>
    <w:basedOn w:val="Normal"/>
    <w:next w:val="Normal"/>
    <w:link w:val="Heading7Char"/>
    <w:qFormat/>
    <w:rsid w:val="00501C11"/>
    <w:pPr>
      <w:ind w:left="720"/>
      <w:outlineLvl w:val="6"/>
    </w:pPr>
    <w:rPr>
      <w:i/>
    </w:rPr>
  </w:style>
  <w:style w:type="paragraph" w:styleId="Heading8">
    <w:name w:val="heading 8"/>
    <w:basedOn w:val="Normal"/>
    <w:next w:val="Normal"/>
    <w:link w:val="Heading8Char"/>
    <w:qFormat/>
    <w:rsid w:val="00501C11"/>
    <w:pPr>
      <w:ind w:left="720"/>
      <w:outlineLvl w:val="7"/>
    </w:pPr>
    <w:rPr>
      <w:i/>
    </w:rPr>
  </w:style>
  <w:style w:type="paragraph" w:styleId="Heading9">
    <w:name w:val="heading 9"/>
    <w:basedOn w:val="Normal"/>
    <w:next w:val="Normal"/>
    <w:link w:val="Heading9Char"/>
    <w:qFormat/>
    <w:rsid w:val="00501C11"/>
    <w:pPr>
      <w:ind w:left="720"/>
      <w:outlineLvl w:val="8"/>
    </w:pPr>
    <w:rPr>
      <w:i/>
    </w:rPr>
  </w:style>
  <w:style w:type="character" w:default="1" w:styleId="DefaultParagraphFont">
    <w:name w:val="Default Paragraph Font"/>
    <w:uiPriority w:val="1"/>
    <w:unhideWhenUsed/>
    <w:rsid w:val="00501C1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01C11"/>
  </w:style>
  <w:style w:type="character" w:customStyle="1" w:styleId="Heading1Char">
    <w:name w:val="Heading 1 Char"/>
    <w:link w:val="Heading1"/>
    <w:rsid w:val="00501C11"/>
    <w:rPr>
      <w:rFonts w:ascii="Times New Roman" w:eastAsia="Times New Roman" w:hAnsi="Times New Roman" w:cs="Times New Roman"/>
      <w:b/>
      <w:sz w:val="32"/>
      <w:szCs w:val="20"/>
      <w:lang w:eastAsia="en-US"/>
    </w:rPr>
  </w:style>
  <w:style w:type="paragraph" w:styleId="BodyText">
    <w:name w:val="Body Text"/>
    <w:basedOn w:val="Normal"/>
    <w:link w:val="BodyTextChar"/>
    <w:rsid w:val="00501C11"/>
    <w:pPr>
      <w:spacing w:before="120" w:after="120"/>
      <w:contextualSpacing/>
    </w:pPr>
    <w:rPr>
      <w:rFonts w:ascii="Times New Roman" w:hAnsi="Times New Roman"/>
      <w:sz w:val="24"/>
      <w:szCs w:val="22"/>
    </w:rPr>
  </w:style>
  <w:style w:type="character" w:customStyle="1" w:styleId="BodyTextChar">
    <w:name w:val="Body Text Char"/>
    <w:link w:val="BodyText"/>
    <w:rsid w:val="00501C11"/>
    <w:rPr>
      <w:rFonts w:ascii="Times New Roman" w:eastAsia="Times New Roman" w:hAnsi="Times New Roman" w:cs="Times New Roman"/>
      <w:sz w:val="24"/>
      <w:lang w:val="en-US" w:eastAsia="en-US"/>
    </w:rPr>
  </w:style>
  <w:style w:type="paragraph" w:styleId="Footer">
    <w:name w:val="footer"/>
    <w:basedOn w:val="Normal"/>
    <w:link w:val="FooterChar"/>
    <w:rsid w:val="00501C1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501C11"/>
    <w:rPr>
      <w:rFonts w:ascii="Times New Roman" w:eastAsia="Times New Roman" w:hAnsi="Times New Roman" w:cs="Times New Roman"/>
      <w:sz w:val="16"/>
      <w:lang w:val="en-US" w:eastAsia="en-US"/>
    </w:rPr>
  </w:style>
  <w:style w:type="paragraph" w:styleId="List">
    <w:name w:val="List"/>
    <w:basedOn w:val="BodyText"/>
    <w:next w:val="BodyText"/>
    <w:rsid w:val="00501C11"/>
    <w:pPr>
      <w:tabs>
        <w:tab w:val="left" w:pos="340"/>
      </w:tabs>
      <w:spacing w:before="60" w:after="60"/>
      <w:ind w:left="340" w:hanging="340"/>
    </w:pPr>
  </w:style>
  <w:style w:type="paragraph" w:styleId="ListBullet">
    <w:name w:val="List Bullet"/>
    <w:basedOn w:val="List"/>
    <w:rsid w:val="00501C11"/>
    <w:pPr>
      <w:numPr>
        <w:numId w:val="12"/>
      </w:numPr>
      <w:tabs>
        <w:tab w:val="clear" w:pos="340"/>
      </w:tabs>
      <w:spacing w:before="40" w:after="40"/>
    </w:pPr>
  </w:style>
  <w:style w:type="character" w:customStyle="1" w:styleId="SpecialBold">
    <w:name w:val="Special Bold"/>
    <w:rsid w:val="00501C11"/>
    <w:rPr>
      <w:b/>
      <w:spacing w:val="0"/>
    </w:rPr>
  </w:style>
  <w:style w:type="paragraph" w:customStyle="1" w:styleId="SuperHeading">
    <w:name w:val="SuperHeading"/>
    <w:basedOn w:val="Normal"/>
    <w:rsid w:val="00501C11"/>
    <w:pPr>
      <w:spacing w:before="240" w:after="120"/>
      <w:outlineLvl w:val="0"/>
    </w:pPr>
    <w:rPr>
      <w:rFonts w:ascii="Times New Roman" w:hAnsi="Times New Roman"/>
      <w:b/>
      <w:sz w:val="28"/>
    </w:rPr>
  </w:style>
  <w:style w:type="paragraph" w:customStyle="1" w:styleId="AllowPageBreak">
    <w:name w:val="AllowPageBreak"/>
    <w:rsid w:val="00501C1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501C11"/>
    <w:rPr>
      <w:b/>
      <w:i/>
      <w:u w:val="none"/>
    </w:rPr>
  </w:style>
  <w:style w:type="character" w:customStyle="1" w:styleId="Heading2Char">
    <w:name w:val="Heading 2 Char"/>
    <w:link w:val="Heading2"/>
    <w:rsid w:val="00501C11"/>
    <w:rPr>
      <w:rFonts w:ascii="Times New Roman" w:eastAsia="Times New Roman" w:hAnsi="Times New Roman" w:cs="Times New Roman"/>
      <w:b/>
      <w:sz w:val="28"/>
      <w:szCs w:val="40"/>
      <w:lang w:eastAsia="en-US"/>
    </w:rPr>
  </w:style>
  <w:style w:type="character" w:customStyle="1" w:styleId="Heading3Char">
    <w:name w:val="Heading 3 Char"/>
    <w:link w:val="Heading3"/>
    <w:rsid w:val="00501C11"/>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501C11"/>
    <w:rPr>
      <w:rFonts w:ascii="Times New Roman" w:eastAsia="Times New Roman" w:hAnsi="Times New Roman" w:cs="Times New Roman"/>
      <w:b/>
      <w:szCs w:val="20"/>
      <w:lang w:eastAsia="en-US"/>
    </w:rPr>
  </w:style>
  <w:style w:type="character" w:customStyle="1" w:styleId="Heading5Char">
    <w:name w:val="Heading 5 Char"/>
    <w:link w:val="Heading5"/>
    <w:rsid w:val="00501C11"/>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501C1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01C1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01C1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01C11"/>
    <w:rPr>
      <w:rFonts w:ascii="Courier New" w:eastAsia="Times New Roman" w:hAnsi="Courier New" w:cs="Times New Roman"/>
      <w:i/>
      <w:szCs w:val="20"/>
      <w:lang w:val="en-US" w:eastAsia="en-US"/>
    </w:rPr>
  </w:style>
  <w:style w:type="paragraph" w:customStyle="1" w:styleId="HeadingBase">
    <w:name w:val="Heading Base"/>
    <w:rsid w:val="00501C1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01C11"/>
    <w:pPr>
      <w:tabs>
        <w:tab w:val="right" w:leader="dot" w:pos="9072"/>
      </w:tabs>
      <w:ind w:left="567"/>
    </w:pPr>
    <w:rPr>
      <w:szCs w:val="22"/>
    </w:rPr>
  </w:style>
  <w:style w:type="paragraph" w:customStyle="1" w:styleId="TOCBase">
    <w:name w:val="TOC Base"/>
    <w:rsid w:val="00501C1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01C11"/>
    <w:pPr>
      <w:tabs>
        <w:tab w:val="right" w:leader="dot" w:pos="9072"/>
      </w:tabs>
      <w:spacing w:before="40" w:after="40"/>
      <w:ind w:left="284"/>
    </w:pPr>
    <w:rPr>
      <w:rFonts w:ascii="Times New Roman" w:hAnsi="Times New Roman"/>
    </w:rPr>
  </w:style>
  <w:style w:type="paragraph" w:styleId="TOC1">
    <w:name w:val="toc 1"/>
    <w:basedOn w:val="TOCBase"/>
    <w:next w:val="Normal"/>
    <w:rsid w:val="00501C1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01C11"/>
    <w:pPr>
      <w:spacing w:before="5040"/>
      <w:jc w:val="center"/>
    </w:pPr>
    <w:rPr>
      <w:sz w:val="48"/>
      <w:szCs w:val="72"/>
      <w:lang w:val="en-US"/>
    </w:rPr>
  </w:style>
  <w:style w:type="character" w:customStyle="1" w:styleId="TitleChar">
    <w:name w:val="Title Char"/>
    <w:link w:val="Title"/>
    <w:rsid w:val="00501C1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01C11"/>
    <w:pPr>
      <w:tabs>
        <w:tab w:val="left" w:pos="3600"/>
        <w:tab w:val="left" w:pos="3958"/>
      </w:tabs>
    </w:pPr>
  </w:style>
  <w:style w:type="paragraph" w:customStyle="1" w:styleId="Note">
    <w:name w:val="Note"/>
    <w:basedOn w:val="BodyText"/>
    <w:rsid w:val="00501C1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01C11"/>
    <w:pPr>
      <w:framePr w:wrap="auto" w:hAnchor="text" w:y="6049"/>
    </w:pPr>
    <w:rPr>
      <w:color w:val="000000"/>
      <w:sz w:val="40"/>
    </w:rPr>
  </w:style>
  <w:style w:type="paragraph" w:customStyle="1" w:styleId="TOCTitle">
    <w:name w:val="TOCTitle"/>
    <w:basedOn w:val="Heading1"/>
    <w:rsid w:val="00501C11"/>
    <w:pPr>
      <w:spacing w:after="240"/>
      <w:jc w:val="center"/>
      <w:outlineLvl w:val="9"/>
    </w:pPr>
    <w:rPr>
      <w:caps/>
    </w:rPr>
  </w:style>
  <w:style w:type="paragraph" w:customStyle="1" w:styleId="Version">
    <w:name w:val="Version"/>
    <w:rsid w:val="00501C1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01C11"/>
    <w:pPr>
      <w:numPr>
        <w:numId w:val="13"/>
      </w:numPr>
      <w:tabs>
        <w:tab w:val="clear" w:pos="680"/>
      </w:tabs>
    </w:pPr>
  </w:style>
  <w:style w:type="paragraph" w:styleId="Index1">
    <w:name w:val="index 1"/>
    <w:basedOn w:val="Normal"/>
    <w:next w:val="Normal"/>
    <w:semiHidden/>
    <w:rsid w:val="00501C11"/>
    <w:pPr>
      <w:keepNext w:val="0"/>
      <w:tabs>
        <w:tab w:val="right" w:pos="4176"/>
      </w:tabs>
      <w:ind w:left="198" w:hanging="198"/>
    </w:pPr>
    <w:rPr>
      <w:rFonts w:ascii="Garamond" w:hAnsi="Garamond"/>
    </w:rPr>
  </w:style>
  <w:style w:type="paragraph" w:styleId="IndexHeading">
    <w:name w:val="index heading"/>
    <w:basedOn w:val="Normal"/>
    <w:next w:val="Index1"/>
    <w:semiHidden/>
    <w:rsid w:val="00501C11"/>
    <w:pPr>
      <w:spacing w:before="120" w:after="120"/>
    </w:pPr>
    <w:rPr>
      <w:rFonts w:ascii="Arial" w:hAnsi="Arial"/>
      <w:b/>
      <w:color w:val="918585"/>
      <w:sz w:val="24"/>
    </w:rPr>
  </w:style>
  <w:style w:type="paragraph" w:styleId="Header">
    <w:name w:val="header"/>
    <w:basedOn w:val="Normal"/>
    <w:link w:val="HeaderChar"/>
    <w:rsid w:val="00501C1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501C11"/>
    <w:rPr>
      <w:rFonts w:ascii="Times New Roman" w:eastAsia="Times New Roman" w:hAnsi="Times New Roman" w:cs="Times New Roman"/>
      <w:sz w:val="16"/>
      <w:szCs w:val="20"/>
      <w:lang w:val="en-GB" w:eastAsia="en-US"/>
    </w:rPr>
  </w:style>
  <w:style w:type="paragraph" w:customStyle="1" w:styleId="Chapter">
    <w:name w:val="Chapter"/>
    <w:basedOn w:val="Normal"/>
    <w:rsid w:val="00501C11"/>
    <w:pPr>
      <w:spacing w:before="240"/>
    </w:pPr>
    <w:rPr>
      <w:rFonts w:ascii="Times New Roman" w:hAnsi="Times New Roman"/>
      <w:smallCaps/>
      <w:spacing w:val="80"/>
      <w:sz w:val="28"/>
    </w:rPr>
  </w:style>
  <w:style w:type="paragraph" w:customStyle="1" w:styleId="InChapter">
    <w:name w:val="InChapter"/>
    <w:basedOn w:val="Heading3"/>
    <w:rsid w:val="00501C11"/>
    <w:pPr>
      <w:spacing w:after="240"/>
      <w:outlineLvl w:val="9"/>
    </w:pPr>
    <w:rPr>
      <w:noProof/>
    </w:rPr>
  </w:style>
  <w:style w:type="paragraph" w:styleId="Index2">
    <w:name w:val="index 2"/>
    <w:basedOn w:val="Normal"/>
    <w:next w:val="Normal"/>
    <w:semiHidden/>
    <w:rsid w:val="00501C11"/>
    <w:pPr>
      <w:tabs>
        <w:tab w:val="right" w:pos="4176"/>
      </w:tabs>
      <w:ind w:left="568" w:hanging="284"/>
    </w:pPr>
    <w:rPr>
      <w:rFonts w:ascii="Garamond" w:hAnsi="Garamond"/>
    </w:rPr>
  </w:style>
  <w:style w:type="paragraph" w:customStyle="1" w:styleId="Byline">
    <w:name w:val="Byline"/>
    <w:rsid w:val="00501C1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01C11"/>
    <w:pPr>
      <w:tabs>
        <w:tab w:val="clear" w:pos="3600"/>
        <w:tab w:val="clear" w:pos="3958"/>
      </w:tabs>
      <w:jc w:val="right"/>
    </w:pPr>
  </w:style>
  <w:style w:type="character" w:styleId="Emphasis">
    <w:name w:val="Emphasis"/>
    <w:qFormat/>
    <w:rsid w:val="00501C11"/>
    <w:rPr>
      <w:i/>
    </w:rPr>
  </w:style>
  <w:style w:type="paragraph" w:styleId="Caption">
    <w:name w:val="caption"/>
    <w:basedOn w:val="BodyText"/>
    <w:next w:val="Normal"/>
    <w:qFormat/>
    <w:rsid w:val="00501C11"/>
    <w:pPr>
      <w:framePr w:w="2268" w:hSpace="181" w:vSpace="181" w:wrap="around" w:vAnchor="text" w:hAnchor="page" w:x="1135" w:y="285" w:anchorLock="1"/>
    </w:pPr>
    <w:rPr>
      <w:i/>
    </w:rPr>
  </w:style>
  <w:style w:type="paragraph" w:customStyle="1" w:styleId="MiniTOCTitle">
    <w:name w:val="MiniTOCTitle"/>
    <w:basedOn w:val="Heading4"/>
    <w:rsid w:val="00501C11"/>
    <w:pPr>
      <w:spacing w:before="240"/>
      <w:outlineLvl w:val="9"/>
    </w:pPr>
    <w:rPr>
      <w:noProof/>
      <w:sz w:val="24"/>
    </w:rPr>
  </w:style>
  <w:style w:type="paragraph" w:customStyle="1" w:styleId="MiniTOCItem">
    <w:name w:val="MiniTOCItem"/>
    <w:basedOn w:val="ListBullet"/>
    <w:rsid w:val="00501C11"/>
    <w:pPr>
      <w:numPr>
        <w:numId w:val="0"/>
      </w:numPr>
      <w:tabs>
        <w:tab w:val="right" w:leader="dot" w:pos="6521"/>
      </w:tabs>
      <w:spacing w:before="0" w:after="0"/>
    </w:pPr>
  </w:style>
  <w:style w:type="paragraph" w:customStyle="1" w:styleId="TOFTitle">
    <w:name w:val="TOFTitle"/>
    <w:basedOn w:val="TOCTitle"/>
    <w:rsid w:val="00501C11"/>
  </w:style>
  <w:style w:type="paragraph" w:styleId="TableofFigures">
    <w:name w:val="table of figures"/>
    <w:basedOn w:val="Normal"/>
    <w:next w:val="Normal"/>
    <w:semiHidden/>
    <w:rsid w:val="00501C11"/>
    <w:pPr>
      <w:tabs>
        <w:tab w:val="right" w:leader="dot" w:pos="9072"/>
      </w:tabs>
      <w:ind w:left="970" w:hanging="403"/>
    </w:pPr>
    <w:rPr>
      <w:rFonts w:ascii="Times New Roman" w:hAnsi="Times New Roman"/>
      <w:b/>
    </w:rPr>
  </w:style>
  <w:style w:type="paragraph" w:styleId="ListNumber">
    <w:name w:val="List Number"/>
    <w:basedOn w:val="List"/>
    <w:rsid w:val="00501C11"/>
    <w:pPr>
      <w:numPr>
        <w:numId w:val="10"/>
      </w:numPr>
    </w:pPr>
  </w:style>
  <w:style w:type="character" w:customStyle="1" w:styleId="WingdingSymbols">
    <w:name w:val="Wingding Symbols"/>
    <w:rsid w:val="00501C11"/>
    <w:rPr>
      <w:rFonts w:ascii="Wingdings" w:hAnsi="Wingdings"/>
    </w:rPr>
  </w:style>
  <w:style w:type="paragraph" w:customStyle="1" w:styleId="TableHeading">
    <w:name w:val="Table Heading"/>
    <w:basedOn w:val="HeadingBase"/>
    <w:rsid w:val="00501C11"/>
    <w:pPr>
      <w:keepLines/>
      <w:pBdr>
        <w:bottom w:val="single" w:sz="6" w:space="1" w:color="918585"/>
      </w:pBdr>
      <w:spacing w:before="240"/>
    </w:pPr>
  </w:style>
  <w:style w:type="character" w:customStyle="1" w:styleId="HotSpot">
    <w:name w:val="HotSpot"/>
    <w:rsid w:val="00501C11"/>
    <w:rPr>
      <w:color w:val="0033CC"/>
      <w:u w:val="none"/>
    </w:rPr>
  </w:style>
  <w:style w:type="paragraph" w:customStyle="1" w:styleId="BodyTextRight">
    <w:name w:val="Body Text Right"/>
    <w:basedOn w:val="BodyText"/>
    <w:rsid w:val="00501C11"/>
    <w:pPr>
      <w:spacing w:before="0" w:after="0"/>
      <w:jc w:val="right"/>
    </w:pPr>
  </w:style>
  <w:style w:type="paragraph" w:styleId="Index3">
    <w:name w:val="index 3"/>
    <w:basedOn w:val="ListNumber2"/>
    <w:next w:val="Normal"/>
    <w:semiHidden/>
    <w:rsid w:val="00501C11"/>
    <w:pPr>
      <w:numPr>
        <w:numId w:val="0"/>
      </w:numPr>
      <w:tabs>
        <w:tab w:val="right" w:leader="dot" w:pos="4176"/>
      </w:tabs>
    </w:pPr>
  </w:style>
  <w:style w:type="paragraph" w:styleId="ListNumber2">
    <w:name w:val="List Number 2"/>
    <w:basedOn w:val="List2"/>
    <w:rsid w:val="00501C11"/>
    <w:pPr>
      <w:numPr>
        <w:numId w:val="9"/>
      </w:numPr>
      <w:tabs>
        <w:tab w:val="clear" w:pos="1060"/>
      </w:tabs>
    </w:pPr>
  </w:style>
  <w:style w:type="paragraph" w:customStyle="1" w:styleId="MarginNote">
    <w:name w:val="Margin Note"/>
    <w:basedOn w:val="BodyText"/>
    <w:rsid w:val="00501C1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01C1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501C1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01C11"/>
    <w:rPr>
      <w:sz w:val="32"/>
    </w:rPr>
  </w:style>
  <w:style w:type="paragraph" w:customStyle="1" w:styleId="HeadingProcedure">
    <w:name w:val="Heading Procedure"/>
    <w:basedOn w:val="HeadingBase"/>
    <w:next w:val="Normal"/>
    <w:rsid w:val="00501C11"/>
    <w:pPr>
      <w:tabs>
        <w:tab w:val="left" w:pos="0"/>
      </w:tabs>
      <w:spacing w:before="120" w:after="60"/>
    </w:pPr>
    <w:rPr>
      <w:i/>
      <w:color w:val="918585"/>
      <w:sz w:val="22"/>
    </w:rPr>
  </w:style>
  <w:style w:type="paragraph" w:customStyle="1" w:styleId="TableBodyText">
    <w:name w:val="Table Body Text"/>
    <w:basedOn w:val="BodyText"/>
    <w:rsid w:val="00501C11"/>
    <w:pPr>
      <w:spacing w:before="60" w:after="60"/>
    </w:pPr>
  </w:style>
  <w:style w:type="paragraph" w:styleId="ListContinue">
    <w:name w:val="List Continue"/>
    <w:basedOn w:val="List"/>
    <w:rsid w:val="00501C11"/>
    <w:pPr>
      <w:ind w:firstLine="0"/>
    </w:pPr>
  </w:style>
  <w:style w:type="paragraph" w:customStyle="1" w:styleId="ListNote">
    <w:name w:val="List Note"/>
    <w:basedOn w:val="List"/>
    <w:rsid w:val="00501C11"/>
    <w:pPr>
      <w:pBdr>
        <w:top w:val="single" w:sz="6" w:space="2" w:color="918585"/>
        <w:bottom w:val="single" w:sz="6" w:space="2" w:color="918585"/>
      </w:pBdr>
      <w:tabs>
        <w:tab w:val="left" w:pos="1021"/>
      </w:tabs>
      <w:ind w:firstLine="0"/>
    </w:pPr>
  </w:style>
  <w:style w:type="paragraph" w:customStyle="1" w:styleId="Warning">
    <w:name w:val="Warning"/>
    <w:basedOn w:val="BodyText"/>
    <w:rsid w:val="00501C11"/>
    <w:pPr>
      <w:shd w:val="clear" w:color="auto" w:fill="D9D9D9"/>
      <w:tabs>
        <w:tab w:val="left" w:pos="992"/>
      </w:tabs>
      <w:ind w:left="119" w:right="119"/>
    </w:pPr>
    <w:rPr>
      <w:sz w:val="20"/>
    </w:rPr>
  </w:style>
  <w:style w:type="paragraph" w:customStyle="1" w:styleId="MarginIcons">
    <w:name w:val="Margin Icons"/>
    <w:basedOn w:val="BodyText"/>
    <w:rsid w:val="00501C11"/>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501C11"/>
    <w:rPr>
      <w:rFonts w:ascii="Courier New" w:hAnsi="Courier New"/>
    </w:rPr>
  </w:style>
  <w:style w:type="paragraph" w:customStyle="1" w:styleId="NoteBullet">
    <w:name w:val="Note Bullet"/>
    <w:basedOn w:val="Note"/>
    <w:rsid w:val="00501C11"/>
    <w:pPr>
      <w:tabs>
        <w:tab w:val="clear" w:pos="680"/>
      </w:tabs>
      <w:spacing w:before="60" w:after="60"/>
    </w:pPr>
  </w:style>
  <w:style w:type="paragraph" w:customStyle="1" w:styleId="SubHeading2">
    <w:name w:val="SubHeading2"/>
    <w:basedOn w:val="HeadingBase"/>
    <w:rsid w:val="00501C11"/>
    <w:pPr>
      <w:spacing w:before="240" w:after="60"/>
    </w:pPr>
    <w:rPr>
      <w:sz w:val="20"/>
    </w:rPr>
  </w:style>
  <w:style w:type="paragraph" w:customStyle="1" w:styleId="SubHeading1">
    <w:name w:val="SubHeading1"/>
    <w:basedOn w:val="HeadingBase"/>
    <w:rsid w:val="00501C11"/>
    <w:pPr>
      <w:spacing w:before="240" w:after="60"/>
    </w:pPr>
    <w:rPr>
      <w:color w:val="918585"/>
      <w:sz w:val="22"/>
    </w:rPr>
  </w:style>
  <w:style w:type="paragraph" w:customStyle="1" w:styleId="SideHeading">
    <w:name w:val="Side Heading"/>
    <w:basedOn w:val="HeadingBase"/>
    <w:rsid w:val="00501C1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01C11"/>
    <w:pPr>
      <w:tabs>
        <w:tab w:val="num" w:pos="360"/>
      </w:tabs>
    </w:pPr>
  </w:style>
  <w:style w:type="paragraph" w:styleId="PlainText">
    <w:name w:val="Plain Text"/>
    <w:basedOn w:val="Normal"/>
    <w:link w:val="PlainTextChar"/>
    <w:rsid w:val="00501C11"/>
    <w:rPr>
      <w:sz w:val="20"/>
    </w:rPr>
  </w:style>
  <w:style w:type="character" w:customStyle="1" w:styleId="PlainTextChar">
    <w:name w:val="Plain Text Char"/>
    <w:basedOn w:val="DefaultParagraphFont"/>
    <w:link w:val="PlainText"/>
    <w:rsid w:val="00501C11"/>
    <w:rPr>
      <w:rFonts w:ascii="Courier New" w:eastAsia="Times New Roman" w:hAnsi="Courier New" w:cs="Times New Roman"/>
      <w:sz w:val="20"/>
      <w:szCs w:val="20"/>
      <w:lang w:val="en-US" w:eastAsia="en-US"/>
    </w:rPr>
  </w:style>
  <w:style w:type="character" w:customStyle="1" w:styleId="MenuOption">
    <w:name w:val="Menu Option"/>
    <w:rsid w:val="00501C11"/>
    <w:rPr>
      <w:b/>
      <w:smallCaps/>
    </w:rPr>
  </w:style>
  <w:style w:type="paragraph" w:customStyle="1" w:styleId="TableListNumber">
    <w:name w:val="Table List Number"/>
    <w:basedOn w:val="ListNumber"/>
    <w:rsid w:val="00501C11"/>
    <w:pPr>
      <w:numPr>
        <w:numId w:val="0"/>
      </w:numPr>
    </w:pPr>
  </w:style>
  <w:style w:type="paragraph" w:styleId="TOC4">
    <w:name w:val="toc 4"/>
    <w:basedOn w:val="TOCBase"/>
    <w:next w:val="Normal"/>
    <w:semiHidden/>
    <w:rsid w:val="00501C11"/>
    <w:pPr>
      <w:tabs>
        <w:tab w:val="right" w:leader="dot" w:pos="9071"/>
      </w:tabs>
      <w:ind w:left="1701"/>
    </w:pPr>
  </w:style>
  <w:style w:type="paragraph" w:customStyle="1" w:styleId="ListAlpha">
    <w:name w:val="List Alpha"/>
    <w:basedOn w:val="List"/>
    <w:rsid w:val="00501C11"/>
    <w:pPr>
      <w:numPr>
        <w:numId w:val="8"/>
      </w:numPr>
    </w:pPr>
  </w:style>
  <w:style w:type="paragraph" w:customStyle="1" w:styleId="ListAlpha2">
    <w:name w:val="List Alpha 2"/>
    <w:basedOn w:val="List2"/>
    <w:rsid w:val="00501C11"/>
    <w:pPr>
      <w:numPr>
        <w:numId w:val="7"/>
      </w:numPr>
    </w:pPr>
  </w:style>
  <w:style w:type="paragraph" w:styleId="List2">
    <w:name w:val="List 2"/>
    <w:basedOn w:val="BodyText"/>
    <w:rsid w:val="00501C11"/>
    <w:pPr>
      <w:tabs>
        <w:tab w:val="left" w:pos="680"/>
      </w:tabs>
      <w:spacing w:before="60" w:after="60"/>
      <w:ind w:left="680" w:hanging="340"/>
    </w:pPr>
  </w:style>
  <w:style w:type="paragraph" w:styleId="List3">
    <w:name w:val="List 3"/>
    <w:basedOn w:val="BodyText"/>
    <w:rsid w:val="00501C11"/>
    <w:pPr>
      <w:tabs>
        <w:tab w:val="left" w:pos="1021"/>
      </w:tabs>
      <w:spacing w:before="60" w:after="60"/>
      <w:ind w:left="1020" w:hanging="340"/>
    </w:pPr>
  </w:style>
  <w:style w:type="paragraph" w:styleId="List4">
    <w:name w:val="List 4"/>
    <w:basedOn w:val="BodyText"/>
    <w:rsid w:val="00501C11"/>
    <w:pPr>
      <w:tabs>
        <w:tab w:val="left" w:pos="1361"/>
      </w:tabs>
      <w:spacing w:before="60" w:after="60"/>
      <w:ind w:left="1361" w:hanging="340"/>
    </w:pPr>
  </w:style>
  <w:style w:type="paragraph" w:styleId="List5">
    <w:name w:val="List 5"/>
    <w:basedOn w:val="BodyText"/>
    <w:rsid w:val="00501C11"/>
    <w:pPr>
      <w:tabs>
        <w:tab w:val="left" w:pos="1701"/>
      </w:tabs>
      <w:spacing w:before="60" w:after="60"/>
      <w:ind w:left="1701" w:hanging="340"/>
    </w:pPr>
  </w:style>
  <w:style w:type="paragraph" w:styleId="ListBullet3">
    <w:name w:val="List Bullet 3"/>
    <w:basedOn w:val="List3"/>
    <w:rsid w:val="00501C11"/>
    <w:pPr>
      <w:numPr>
        <w:numId w:val="14"/>
      </w:numPr>
      <w:tabs>
        <w:tab w:val="clear" w:pos="1021"/>
      </w:tabs>
      <w:ind w:left="1037" w:hanging="357"/>
    </w:pPr>
  </w:style>
  <w:style w:type="paragraph" w:styleId="ListBullet4">
    <w:name w:val="List Bullet 4"/>
    <w:basedOn w:val="List4"/>
    <w:rsid w:val="00501C11"/>
    <w:pPr>
      <w:numPr>
        <w:numId w:val="2"/>
      </w:numPr>
    </w:pPr>
  </w:style>
  <w:style w:type="paragraph" w:styleId="ListBullet5">
    <w:name w:val="List Bullet 5"/>
    <w:basedOn w:val="List5"/>
    <w:rsid w:val="00501C11"/>
    <w:pPr>
      <w:numPr>
        <w:numId w:val="3"/>
      </w:numPr>
    </w:pPr>
  </w:style>
  <w:style w:type="paragraph" w:styleId="ListContinue2">
    <w:name w:val="List Continue 2"/>
    <w:basedOn w:val="List2"/>
    <w:rsid w:val="00501C11"/>
    <w:pPr>
      <w:ind w:firstLine="0"/>
    </w:pPr>
  </w:style>
  <w:style w:type="paragraph" w:styleId="ListContinue3">
    <w:name w:val="List Continue 3"/>
    <w:basedOn w:val="List3"/>
    <w:rsid w:val="00501C11"/>
    <w:pPr>
      <w:ind w:left="1021" w:firstLine="0"/>
    </w:pPr>
  </w:style>
  <w:style w:type="paragraph" w:styleId="ListContinue4">
    <w:name w:val="List Continue 4"/>
    <w:basedOn w:val="List4"/>
    <w:rsid w:val="00501C11"/>
    <w:pPr>
      <w:ind w:firstLine="0"/>
    </w:pPr>
  </w:style>
  <w:style w:type="paragraph" w:styleId="ListContinue5">
    <w:name w:val="List Continue 5"/>
    <w:basedOn w:val="List5"/>
    <w:rsid w:val="00501C11"/>
    <w:pPr>
      <w:ind w:firstLine="0"/>
    </w:pPr>
  </w:style>
  <w:style w:type="paragraph" w:styleId="ListNumber3">
    <w:name w:val="List Number 3"/>
    <w:basedOn w:val="List3"/>
    <w:rsid w:val="00501C11"/>
    <w:pPr>
      <w:numPr>
        <w:numId w:val="4"/>
      </w:numPr>
    </w:pPr>
  </w:style>
  <w:style w:type="paragraph" w:styleId="ListNumber4">
    <w:name w:val="List Number 4"/>
    <w:basedOn w:val="List4"/>
    <w:rsid w:val="00501C11"/>
    <w:pPr>
      <w:numPr>
        <w:numId w:val="5"/>
      </w:numPr>
    </w:pPr>
  </w:style>
  <w:style w:type="paragraph" w:styleId="ListNumber5">
    <w:name w:val="List Number 5"/>
    <w:basedOn w:val="List5"/>
    <w:rsid w:val="00501C11"/>
    <w:pPr>
      <w:numPr>
        <w:numId w:val="6"/>
      </w:numPr>
    </w:pPr>
  </w:style>
  <w:style w:type="paragraph" w:styleId="BlockText">
    <w:name w:val="Block Text"/>
    <w:basedOn w:val="Normal"/>
    <w:rsid w:val="00501C11"/>
    <w:pPr>
      <w:spacing w:after="120"/>
      <w:ind w:left="1440" w:right="1440"/>
    </w:pPr>
  </w:style>
  <w:style w:type="character" w:customStyle="1" w:styleId="Subscript">
    <w:name w:val="Subscript"/>
    <w:rsid w:val="00501C11"/>
    <w:rPr>
      <w:sz w:val="16"/>
      <w:vertAlign w:val="subscript"/>
    </w:rPr>
  </w:style>
  <w:style w:type="character" w:customStyle="1" w:styleId="Superscript">
    <w:name w:val="Superscript"/>
    <w:rsid w:val="00501C11"/>
    <w:rPr>
      <w:sz w:val="16"/>
      <w:vertAlign w:val="superscript"/>
    </w:rPr>
  </w:style>
  <w:style w:type="character" w:customStyle="1" w:styleId="Symbols">
    <w:name w:val="Symbols"/>
    <w:rsid w:val="00501C11"/>
    <w:rPr>
      <w:rFonts w:ascii="Symbol" w:hAnsi="Symbol"/>
    </w:rPr>
  </w:style>
  <w:style w:type="character" w:customStyle="1" w:styleId="MenuOptions">
    <w:name w:val="Menu Options"/>
    <w:rsid w:val="00501C11"/>
    <w:rPr>
      <w:rFonts w:ascii="Arial Narrow" w:hAnsi="Arial Narrow"/>
      <w:smallCaps/>
    </w:rPr>
  </w:style>
  <w:style w:type="character" w:customStyle="1" w:styleId="Buttons">
    <w:name w:val="Buttons"/>
    <w:rsid w:val="00501C11"/>
    <w:rPr>
      <w:b/>
    </w:rPr>
  </w:style>
  <w:style w:type="character" w:customStyle="1" w:styleId="Underlined">
    <w:name w:val="Underlined"/>
    <w:rsid w:val="00501C11"/>
    <w:rPr>
      <w:u w:val="single"/>
    </w:rPr>
  </w:style>
  <w:style w:type="paragraph" w:customStyle="1" w:styleId="TableBodyTextRight">
    <w:name w:val="Table Body Text Right"/>
    <w:basedOn w:val="TableBodyText"/>
    <w:rsid w:val="00501C11"/>
    <w:pPr>
      <w:widowControl w:val="0"/>
      <w:autoSpaceDE w:val="0"/>
      <w:autoSpaceDN w:val="0"/>
      <w:adjustRightInd w:val="0"/>
      <w:jc w:val="right"/>
    </w:pPr>
    <w:rPr>
      <w:rFonts w:cs="Arial"/>
      <w:szCs w:val="18"/>
    </w:rPr>
  </w:style>
  <w:style w:type="paragraph" w:customStyle="1" w:styleId="CopyrightText">
    <w:name w:val="Copyright Text"/>
    <w:basedOn w:val="BodyText"/>
    <w:rsid w:val="00501C11"/>
    <w:rPr>
      <w:sz w:val="18"/>
    </w:rPr>
  </w:style>
  <w:style w:type="paragraph" w:customStyle="1" w:styleId="BodySmallRight">
    <w:name w:val="Body Small Right"/>
    <w:basedOn w:val="BodyTextRight"/>
    <w:rsid w:val="00501C11"/>
    <w:rPr>
      <w:sz w:val="18"/>
      <w:szCs w:val="18"/>
    </w:rPr>
  </w:style>
  <w:style w:type="paragraph" w:customStyle="1" w:styleId="MarginEdition">
    <w:name w:val="Margin Edition"/>
    <w:basedOn w:val="MarginNote"/>
    <w:rsid w:val="00501C11"/>
    <w:pPr>
      <w:spacing w:before="0" w:after="0"/>
    </w:pPr>
    <w:rPr>
      <w:rFonts w:ascii="Times New Roman" w:hAnsi="Times New Roman"/>
      <w:color w:val="999999"/>
    </w:rPr>
  </w:style>
  <w:style w:type="paragraph" w:customStyle="1" w:styleId="Spacer">
    <w:name w:val="Spacer"/>
    <w:basedOn w:val="Normal"/>
    <w:rsid w:val="00501C11"/>
    <w:rPr>
      <w:sz w:val="2"/>
      <w:szCs w:val="2"/>
    </w:rPr>
  </w:style>
  <w:style w:type="character" w:customStyle="1" w:styleId="Small">
    <w:name w:val="Small"/>
    <w:rsid w:val="00501C11"/>
    <w:rPr>
      <w:sz w:val="16"/>
    </w:rPr>
  </w:style>
  <w:style w:type="paragraph" w:customStyle="1" w:styleId="WideTable">
    <w:name w:val="Wide Table"/>
    <w:basedOn w:val="Normal"/>
    <w:rsid w:val="00501C11"/>
    <w:pPr>
      <w:ind w:left="-1418"/>
    </w:pPr>
    <w:rPr>
      <w:sz w:val="2"/>
      <w:szCs w:val="2"/>
    </w:rPr>
  </w:style>
  <w:style w:type="character" w:styleId="PageNumber">
    <w:name w:val="page number"/>
    <w:rsid w:val="00501C11"/>
  </w:style>
  <w:style w:type="paragraph" w:styleId="Quote">
    <w:name w:val="Quote"/>
    <w:basedOn w:val="Heading1"/>
    <w:link w:val="QuoteChar"/>
    <w:qFormat/>
    <w:rsid w:val="00501C11"/>
    <w:rPr>
      <w:b w:val="0"/>
      <w:sz w:val="72"/>
      <w:szCs w:val="72"/>
      <w:lang w:val="en-NZ"/>
    </w:rPr>
  </w:style>
  <w:style w:type="character" w:customStyle="1" w:styleId="QuoteChar">
    <w:name w:val="Quote Char"/>
    <w:link w:val="Quote"/>
    <w:rsid w:val="00501C1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01C11"/>
    <w:pPr>
      <w:pageBreakBefore/>
    </w:pPr>
  </w:style>
  <w:style w:type="paragraph" w:customStyle="1" w:styleId="Border">
    <w:name w:val="Border"/>
    <w:basedOn w:val="Normal"/>
    <w:qFormat/>
    <w:rsid w:val="00501C11"/>
    <w:pPr>
      <w:pBdr>
        <w:top w:val="single" w:sz="18" w:space="1" w:color="auto"/>
      </w:pBdr>
    </w:pPr>
    <w:rPr>
      <w:rFonts w:ascii="Times New Roman" w:hAnsi="Times New Roman"/>
      <w:color w:val="FFFFFF"/>
      <w:sz w:val="2"/>
    </w:rPr>
  </w:style>
  <w:style w:type="character" w:styleId="IntenseEmphasis">
    <w:name w:val="Intense Emphasis"/>
    <w:uiPriority w:val="21"/>
    <w:qFormat/>
    <w:rsid w:val="00501C11"/>
    <w:rPr>
      <w:b/>
      <w:bCs/>
      <w:i/>
      <w:iCs/>
      <w:color w:val="auto"/>
    </w:rPr>
  </w:style>
  <w:style w:type="paragraph" w:styleId="IntenseQuote">
    <w:name w:val="Intense Quote"/>
    <w:basedOn w:val="Normal"/>
    <w:next w:val="Normal"/>
    <w:link w:val="IntenseQuoteChar"/>
    <w:uiPriority w:val="30"/>
    <w:qFormat/>
    <w:rsid w:val="00501C11"/>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501C11"/>
    <w:rPr>
      <w:rFonts w:ascii="Courier New" w:eastAsia="Times New Roman" w:hAnsi="Courier New" w:cs="Times New Roman"/>
      <w:b/>
      <w:bCs/>
      <w:i/>
      <w:iCs/>
      <w:szCs w:val="20"/>
      <w:lang w:val="en-US" w:eastAsia="en-US"/>
    </w:rPr>
  </w:style>
  <w:style w:type="character" w:styleId="SubtleReference">
    <w:name w:val="Subtle Reference"/>
    <w:uiPriority w:val="31"/>
    <w:qFormat/>
    <w:rsid w:val="00501C11"/>
    <w:rPr>
      <w:smallCaps/>
      <w:color w:val="auto"/>
      <w:u w:val="single"/>
    </w:rPr>
  </w:style>
  <w:style w:type="character" w:styleId="IntenseReference">
    <w:name w:val="Intense Reference"/>
    <w:uiPriority w:val="32"/>
    <w:qFormat/>
    <w:rsid w:val="00501C11"/>
    <w:rPr>
      <w:b/>
      <w:bCs/>
      <w:smallCaps/>
      <w:color w:val="auto"/>
      <w:spacing w:val="5"/>
      <w:u w:val="single"/>
    </w:rPr>
  </w:style>
  <w:style w:type="paragraph" w:customStyle="1" w:styleId="2ColumnHeading">
    <w:name w:val="2Column Heading"/>
    <w:basedOn w:val="BodyText"/>
    <w:qFormat/>
    <w:rsid w:val="00501C11"/>
    <w:pPr>
      <w:spacing w:after="60"/>
      <w:ind w:left="-2268"/>
    </w:pPr>
    <w:rPr>
      <w:b/>
    </w:rPr>
  </w:style>
  <w:style w:type="paragraph" w:customStyle="1" w:styleId="Heading1TOC">
    <w:name w:val="Heading1 TOC"/>
    <w:basedOn w:val="Normal"/>
    <w:qFormat/>
    <w:rsid w:val="00501C11"/>
    <w:pPr>
      <w:spacing w:before="240" w:after="120"/>
    </w:pPr>
    <w:rPr>
      <w:rFonts w:ascii="Times New Roman" w:hAnsi="Times New Roman"/>
      <w:b/>
      <w:sz w:val="32"/>
    </w:rPr>
  </w:style>
  <w:style w:type="paragraph" w:customStyle="1" w:styleId="Heading2TOC">
    <w:name w:val="Heading2 TOC"/>
    <w:basedOn w:val="Normal"/>
    <w:qFormat/>
    <w:rsid w:val="00501C11"/>
    <w:pPr>
      <w:spacing w:before="240" w:after="60"/>
    </w:pPr>
    <w:rPr>
      <w:rFonts w:ascii="Times New Roman" w:hAnsi="Times New Roman"/>
      <w:b/>
      <w:sz w:val="28"/>
    </w:rPr>
  </w:style>
  <w:style w:type="character" w:customStyle="1" w:styleId="Underline">
    <w:name w:val="Underline"/>
    <w:qFormat/>
    <w:rsid w:val="00501C11"/>
    <w:rPr>
      <w:u w:val="single"/>
    </w:rPr>
  </w:style>
  <w:style w:type="paragraph" w:styleId="BalloonText">
    <w:name w:val="Balloon Text"/>
    <w:basedOn w:val="Normal"/>
    <w:link w:val="BalloonTextChar"/>
    <w:rsid w:val="00501C11"/>
    <w:rPr>
      <w:rFonts w:ascii="Tahoma" w:hAnsi="Tahoma" w:cs="Tahoma"/>
      <w:sz w:val="16"/>
      <w:szCs w:val="16"/>
    </w:rPr>
  </w:style>
  <w:style w:type="character" w:customStyle="1" w:styleId="BalloonTextChar">
    <w:name w:val="Balloon Text Char"/>
    <w:link w:val="BalloonText"/>
    <w:rsid w:val="00501C1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01C11"/>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501C11"/>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950</Words>
  <Characters>6092</Characters>
  <Application>Microsoft Office Word</Application>
  <DocSecurity>0</DocSecurity>
  <Lines>199</Lines>
  <Paragraphs>112</Paragraphs>
  <ScaleCrop>false</ScaleCrop>
  <Company>Author-it Software Corporation Ltd.</Company>
  <LinksUpToDate>false</LinksUpToDate>
  <CharactersWithSpaces>6986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NWP321B Inspect and operate groundwater regulation</dc:title>
  <dc:subject>Approved</dc:subject>
  <dc:creator>Government Skills Australia</dc:creator>
  <cp:keywords>Revision Number: 2</cp:keywords>
  <dc:description>Copyright © 1996-2007 Author-it Software Corporation Ltd., all rights reserved.</dc:description>
  <cp:lastModifiedBy>Windows User</cp:lastModifiedBy>
  <cp:revision>3</cp:revision>
  <dcterms:created xsi:type="dcterms:W3CDTF">2012-05-27T09:35:00Z</dcterms:created>
  <dcterms:modified xsi:type="dcterms:W3CDTF">2012-05-27T09:35:00Z</dcterms:modified>
</cp:coreProperties>
</file>