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1D9" w:rsidP="004771D9">
      <w:pPr>
        <w:pStyle w:val="Title"/>
      </w:pPr>
      <w:r>
        <w:fldChar w:fldCharType="begin"/>
      </w:r>
      <w:r>
        <w:instrText xml:space="preserve"> TITLE   \* MERGEFORMAT </w:instrText>
      </w:r>
      <w:r>
        <w:fldChar w:fldCharType="separate"/>
      </w:r>
      <w:r>
        <w:t>NWP318A Monitor and operate gated spillways</w:t>
      </w:r>
      <w:r>
        <w:fldChar w:fldCharType="end"/>
      </w:r>
    </w:p>
    <w:p w:rsidR="004771D9" w:rsidP="004771D9">
      <w:pPr>
        <w:pStyle w:val="Version"/>
        <w:sectPr w:rsidSect="00C91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9178E" w:rsidP="00C9178E">
      <w:pPr>
        <w:pStyle w:val="SuperHeading"/>
      </w:pPr>
      <w:r w:rsidRPr="00C9178E">
        <w:t>NWP318A Monitor and operate gated spillways</w:t>
      </w:r>
    </w:p>
    <w:p w:rsidR="00000000" w:rsidRPr="00C9178E" w:rsidP="00C9178E">
      <w:pPr>
        <w:pStyle w:val="SuperHeading"/>
      </w:pPr>
    </w:p>
    <w:p w:rsidR="00000000" w:rsidRPr="00C9178E" w:rsidP="00C9178E">
      <w:pPr>
        <w:pStyle w:val="Heading1"/>
      </w:pPr>
      <w:bookmarkStart w:id="1" w:name="O_404974"/>
      <w:bookmarkEnd w:id="1"/>
      <w:r w:rsidRPr="00C9178E">
        <w:t>Modification History</w:t>
      </w:r>
    </w:p>
    <w:p w:rsidR="00000000" w:rsidRPr="00C9178E" w:rsidP="00C9178E">
      <w:pPr>
        <w:pStyle w:val="BodyText"/>
      </w:pPr>
      <w:r w:rsidRPr="00C9178E">
        <w:t>NWP318A Release 2:</w:t>
      </w:r>
      <w:r w:rsidRPr="00C9178E">
        <w:tab/>
        <w:t>Layout adjusted. No changes to content.</w:t>
      </w:r>
    </w:p>
    <w:p w:rsidR="00000000" w:rsidRPr="00C9178E" w:rsidP="00C9178E">
      <w:pPr>
        <w:pStyle w:val="BodyText"/>
      </w:pPr>
      <w:r w:rsidRPr="00C9178E">
        <w:t>NWP318A Release 1:</w:t>
      </w:r>
      <w:r w:rsidRPr="00C9178E">
        <w:tab/>
        <w:t>Primary release.</w:t>
      </w:r>
    </w:p>
    <w:p w:rsidR="00000000" w:rsidRPr="00C9178E" w:rsidP="00C9178E">
      <w:pPr>
        <w:pStyle w:val="AllowPageBreak"/>
      </w:pPr>
    </w:p>
    <w:p w:rsidR="00000000" w:rsidRPr="00C9178E" w:rsidP="00C9178E">
      <w:pPr>
        <w:pStyle w:val="Heading1"/>
      </w:pPr>
      <w:bookmarkStart w:id="2" w:name="O_404970"/>
      <w:bookmarkEnd w:id="2"/>
      <w:r w:rsidRPr="00C9178E">
        <w:t>Unit Descriptor</w:t>
      </w:r>
    </w:p>
    <w:p w:rsidR="00000000" w:rsidRPr="00C9178E" w:rsidP="00C9178E">
      <w:pPr>
        <w:pStyle w:val="BodyText"/>
      </w:pPr>
      <w:r w:rsidRPr="00C9178E">
        <w:t>This unit of competency describes the outc</w:t>
      </w:r>
      <w:r w:rsidRPr="00C9178E">
        <w:t>omes required to manage and conduct surveillance of catchment run-off through dams and other water storage assets with gated spillways for dam/storage operations and flood routing.</w:t>
      </w:r>
    </w:p>
    <w:p w:rsidR="00000000" w:rsidRPr="00C9178E" w:rsidP="00C9178E">
      <w:pPr>
        <w:pStyle w:val="AllowPageBreak"/>
      </w:pPr>
    </w:p>
    <w:p w:rsidR="00000000" w:rsidRPr="00C9178E" w:rsidP="00C9178E">
      <w:pPr>
        <w:pStyle w:val="Heading1"/>
      </w:pPr>
      <w:bookmarkStart w:id="3" w:name="O_404982"/>
      <w:bookmarkEnd w:id="3"/>
      <w:r w:rsidRPr="00C9178E">
        <w:t>Application of the Unit</w:t>
      </w:r>
    </w:p>
    <w:p w:rsidR="00000000" w:rsidRPr="00C9178E" w:rsidP="00C9178E">
      <w:pPr>
        <w:pStyle w:val="BodyText"/>
      </w:pPr>
      <w:r w:rsidRPr="00C9178E">
        <w:t xml:space="preserve">This unit supports the attainment </w:t>
      </w:r>
      <w:r w:rsidRPr="00C9178E">
        <w:t>of skills and knowledge required for field and operational staff with a specific responsibility for the operation of dams and other water storage assets with gated spillways.</w:t>
      </w:r>
    </w:p>
    <w:p w:rsidR="00000000" w:rsidRPr="00C9178E" w:rsidP="00C9178E">
      <w:pPr>
        <w:pStyle w:val="AllowPageBreak"/>
      </w:pPr>
    </w:p>
    <w:p w:rsidR="00000000" w:rsidRPr="00C9178E" w:rsidP="00C9178E">
      <w:pPr>
        <w:pStyle w:val="Heading1"/>
      </w:pPr>
      <w:bookmarkStart w:id="4" w:name="O_404975"/>
      <w:bookmarkEnd w:id="4"/>
      <w:r w:rsidRPr="00C9178E">
        <w:t>Licensing/Regulatory Information</w:t>
      </w:r>
    </w:p>
    <w:p w:rsidR="00000000" w:rsidRPr="00C9178E" w:rsidP="00C9178E">
      <w:pPr>
        <w:pStyle w:val="BodyText"/>
      </w:pPr>
      <w:r w:rsidRPr="00C9178E">
        <w:t>Not applicable.</w:t>
      </w:r>
    </w:p>
    <w:p w:rsidR="00000000" w:rsidRPr="00C9178E" w:rsidP="00C9178E">
      <w:pPr>
        <w:pStyle w:val="AllowPageBreak"/>
      </w:pPr>
    </w:p>
    <w:p w:rsidR="00000000" w:rsidRPr="00C9178E" w:rsidP="00C9178E">
      <w:pPr>
        <w:pStyle w:val="Heading1"/>
      </w:pPr>
      <w:bookmarkStart w:id="5" w:name="O_404973"/>
      <w:bookmarkEnd w:id="5"/>
      <w:r w:rsidRPr="00C9178E">
        <w:t>Pre-Requisites</w:t>
      </w:r>
    </w:p>
    <w:p w:rsidR="00000000" w:rsidRPr="00C9178E" w:rsidP="00C9178E">
      <w:pPr>
        <w:pStyle w:val="BodyText"/>
      </w:pPr>
      <w:r w:rsidRPr="00C9178E">
        <w:t>Not applicable.</w:t>
      </w:r>
    </w:p>
    <w:p w:rsidR="00000000" w:rsidRPr="00C9178E" w:rsidP="00C9178E">
      <w:pPr>
        <w:pStyle w:val="AllowPageBreak"/>
      </w:pPr>
    </w:p>
    <w:p w:rsidR="00000000" w:rsidRPr="00C9178E" w:rsidP="00C9178E">
      <w:pPr>
        <w:pStyle w:val="Heading1"/>
      </w:pPr>
      <w:bookmarkStart w:id="6" w:name="O_404978"/>
      <w:bookmarkEnd w:id="6"/>
      <w:r w:rsidRPr="00C9178E">
        <w:t>Employability Skills Information</w:t>
      </w:r>
    </w:p>
    <w:p w:rsidR="00000000" w:rsidRPr="00C9178E" w:rsidP="00C9178E">
      <w:pPr>
        <w:pStyle w:val="BodyText"/>
      </w:pPr>
      <w:r w:rsidRPr="00C9178E">
        <w:t>This unit contains employability skills.</w:t>
      </w:r>
    </w:p>
    <w:p w:rsidR="00000000" w:rsidRPr="00C9178E" w:rsidP="00C9178E">
      <w:pPr>
        <w:pStyle w:val="AllowPageBreak"/>
      </w:pPr>
    </w:p>
    <w:p w:rsidR="00000000" w:rsidRPr="00C9178E" w:rsidP="00C9178E">
      <w:pPr>
        <w:pStyle w:val="Heading1"/>
      </w:pPr>
      <w:bookmarkStart w:id="7" w:name="O_404979"/>
      <w:bookmarkEnd w:id="7"/>
      <w:r w:rsidRPr="00C9178E">
        <w:t>Elements and Performance Criteria Pre-Content</w:t>
      </w:r>
    </w:p>
    <w:tbl>
      <w:tblPr>
        <w:tblW w:w="0" w:type="auto"/>
        <w:tblLayout w:type="fixed"/>
        <w:tblCellMar>
          <w:left w:w="62" w:type="dxa"/>
          <w:right w:w="62" w:type="dxa"/>
        </w:tblCellMar>
        <w:tblLook w:val="0000"/>
      </w:tblPr>
      <w:tblGrid>
        <w:gridCol w:w="2268"/>
        <w:gridCol w:w="6804"/>
      </w:tblGrid>
      <w:tr w:rsidTr="004771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9178E" w:rsidP="00C9178E">
            <w:pPr>
              <w:pStyle w:val="BodyText"/>
            </w:pPr>
            <w:r w:rsidRPr="00C9178E">
              <w:t xml:space="preserve">Performance criteria describe the required performance needed to demonstrate achievement of the element. Where </w:t>
            </w:r>
            <w:r w:rsidRPr="00C9178E">
              <w:rPr>
                <w:rStyle w:val="BoldandItalics"/>
              </w:rPr>
              <w:t>bold italicised</w:t>
            </w:r>
            <w:r w:rsidRPr="00C9178E">
              <w:t xml:space="preserve"> text is used, further information is detailed in the range stat</w:t>
            </w:r>
            <w:r w:rsidRPr="00C9178E">
              <w:t>ement. Assessment of performance is to be consistent with the evidence guide.</w:t>
            </w:r>
          </w:p>
        </w:tc>
      </w:tr>
    </w:tbl>
    <w:p w:rsidR="00000000" w:rsidRPr="00C9178E" w:rsidP="00C9178E">
      <w:pPr>
        <w:pStyle w:val="BodyText"/>
      </w:pPr>
    </w:p>
    <w:p w:rsidR="00000000" w:rsidRPr="00C9178E" w:rsidP="00C9178E">
      <w:pPr>
        <w:pStyle w:val="AllowPageBreak"/>
      </w:pPr>
    </w:p>
    <w:p w:rsidR="00000000" w:rsidRPr="00C9178E" w:rsidP="00C9178E">
      <w:pPr>
        <w:pStyle w:val="Heading1"/>
      </w:pPr>
      <w:bookmarkStart w:id="8" w:name="O_404980"/>
      <w:bookmarkEnd w:id="8"/>
      <w:r w:rsidRPr="00C9178E">
        <w:t>Elements and Performance Criteria</w:t>
      </w:r>
    </w:p>
    <w:tbl>
      <w:tblPr>
        <w:tblW w:w="0" w:type="auto"/>
        <w:tblLayout w:type="fixed"/>
        <w:tblCellMar>
          <w:left w:w="62" w:type="dxa"/>
          <w:right w:w="62" w:type="dxa"/>
        </w:tblCellMar>
        <w:tblLook w:val="0000"/>
      </w:tblPr>
      <w:tblGrid>
        <w:gridCol w:w="2268"/>
        <w:gridCol w:w="6804"/>
      </w:tblGrid>
      <w:tr w:rsidTr="004771D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9178E" w:rsidP="00C9178E">
            <w:pPr>
              <w:pStyle w:val="BodyText"/>
            </w:pPr>
            <w:r w:rsidRPr="00C9178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SpecialBold"/>
              </w:rPr>
              <w:t>PERFORMANCE CRITERIA</w:t>
            </w:r>
          </w:p>
        </w:tc>
      </w:tr>
      <w:tr w:rsidTr="004771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178E">
            <w:pPr>
              <w:pStyle w:val="List"/>
              <w:rPr>
                <w:lang w:val="en-NZ"/>
              </w:rPr>
            </w:pPr>
            <w:r w:rsidRPr="00C9178E">
              <w:rPr>
                <w:rStyle w:val="SpecialBold"/>
              </w:rPr>
              <w:t>1</w:t>
            </w:r>
            <w:r w:rsidRPr="00C9178E">
              <w:tab/>
            </w:r>
            <w:r w:rsidRPr="00C9178E">
              <w:rPr>
                <w:rStyle w:val="SpecialBold"/>
              </w:rPr>
              <w:t>Monitor flow and flood routing</w:t>
            </w:r>
            <w:r w:rsidRPr="00C9178E">
              <w:t>.</w:t>
            </w:r>
          </w:p>
        </w:tc>
        <w:tc>
          <w:tcPr>
            <w:tcW w:w="6804" w:type="dxa"/>
            <w:tcBorders>
              <w:top w:val="nil"/>
              <w:left w:val="nil"/>
              <w:bottom w:val="nil"/>
              <w:right w:val="nil"/>
            </w:tcBorders>
            <w:tcMar>
              <w:top w:w="0" w:type="dxa"/>
              <w:left w:w="62" w:type="dxa"/>
              <w:bottom w:w="0" w:type="dxa"/>
              <w:right w:w="62" w:type="dxa"/>
            </w:tcMar>
          </w:tcPr>
          <w:p w:rsidR="00000000" w:rsidRPr="00C9178E" w:rsidP="00C9178E">
            <w:pPr>
              <w:pStyle w:val="List"/>
            </w:pPr>
            <w:r w:rsidRPr="00C9178E">
              <w:t>1.1</w:t>
            </w:r>
            <w:r w:rsidRPr="00C9178E">
              <w:tab/>
              <w:t>Monitor cat</w:t>
            </w:r>
            <w:r w:rsidRPr="00C9178E">
              <w:t xml:space="preserve">chment behaviour during normal and flood conditions according to organisational procedures and practices. </w:t>
            </w:r>
          </w:p>
          <w:p w:rsidR="00000000" w:rsidRPr="00C9178E" w:rsidP="00C9178E">
            <w:pPr>
              <w:pStyle w:val="List"/>
            </w:pPr>
            <w:r w:rsidRPr="00C9178E">
              <w:t>1.2</w:t>
            </w:r>
            <w:r w:rsidRPr="00C9178E">
              <w:tab/>
              <w:t>Determine outflow using standard flow rate calculations.</w:t>
            </w:r>
          </w:p>
          <w:p w:rsidR="00000000" w:rsidP="00C9178E">
            <w:pPr>
              <w:pStyle w:val="List"/>
              <w:rPr>
                <w:lang w:val="en-NZ"/>
              </w:rPr>
            </w:pPr>
            <w:r w:rsidRPr="00C9178E">
              <w:t>1.3</w:t>
            </w:r>
            <w:r w:rsidRPr="00C9178E">
              <w:tab/>
              <w:t>Determine flow control settings.</w:t>
            </w:r>
          </w:p>
        </w:tc>
      </w:tr>
      <w:tr w:rsidTr="004771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178E">
            <w:pPr>
              <w:pStyle w:val="List"/>
              <w:rPr>
                <w:lang w:val="en-NZ"/>
              </w:rPr>
            </w:pPr>
            <w:r w:rsidRPr="00C9178E">
              <w:rPr>
                <w:rStyle w:val="SpecialBold"/>
              </w:rPr>
              <w:t>2</w:t>
            </w:r>
            <w:r w:rsidRPr="00C9178E">
              <w:tab/>
            </w:r>
            <w:r w:rsidRPr="00C9178E">
              <w:rPr>
                <w:rStyle w:val="SpecialBold"/>
              </w:rPr>
              <w:t>Plan and prepare for dam or storage operation</w:t>
            </w:r>
            <w:r w:rsidRPr="00C9178E">
              <w:t>.</w:t>
            </w:r>
          </w:p>
        </w:tc>
        <w:tc>
          <w:tcPr>
            <w:tcW w:w="6804" w:type="dxa"/>
            <w:tcBorders>
              <w:top w:val="nil"/>
              <w:left w:val="nil"/>
              <w:bottom w:val="nil"/>
              <w:right w:val="nil"/>
            </w:tcBorders>
            <w:tcMar>
              <w:top w:w="0" w:type="dxa"/>
              <w:left w:w="62" w:type="dxa"/>
              <w:bottom w:w="0" w:type="dxa"/>
              <w:right w:w="62" w:type="dxa"/>
            </w:tcMar>
          </w:tcPr>
          <w:p w:rsidR="00000000" w:rsidRPr="00C9178E" w:rsidP="00C9178E">
            <w:pPr>
              <w:pStyle w:val="List"/>
            </w:pPr>
            <w:r w:rsidRPr="00C9178E">
              <w:t>2</w:t>
            </w:r>
            <w:r w:rsidRPr="00C9178E">
              <w:t>.1</w:t>
            </w:r>
            <w:r w:rsidRPr="00C9178E">
              <w:tab/>
              <w:t xml:space="preserve">Correctly apply </w:t>
            </w:r>
            <w:r w:rsidRPr="00C9178E">
              <w:rPr>
                <w:rStyle w:val="BoldandItalics"/>
              </w:rPr>
              <w:t>guidelines and regulatory requirements for dam or water storage operation</w:t>
            </w:r>
            <w:r w:rsidRPr="00C9178E">
              <w:t xml:space="preserve"> to operation plans.</w:t>
            </w:r>
          </w:p>
          <w:p w:rsidR="00000000" w:rsidRPr="00C9178E" w:rsidP="00C9178E">
            <w:pPr>
              <w:pStyle w:val="List"/>
            </w:pPr>
            <w:r w:rsidRPr="00C9178E">
              <w:t>2.2</w:t>
            </w:r>
            <w:r w:rsidRPr="00C9178E">
              <w:tab/>
              <w:t>Apply relevant organisational policies, standard operating procedures and incident management plans to dam/water storage operation plans an</w:t>
            </w:r>
            <w:r w:rsidRPr="00C9178E">
              <w:t>d preparations.</w:t>
            </w:r>
          </w:p>
          <w:p w:rsidR="00000000" w:rsidP="00C9178E">
            <w:pPr>
              <w:pStyle w:val="List"/>
              <w:rPr>
                <w:lang w:val="en-NZ"/>
              </w:rPr>
            </w:pPr>
            <w:r w:rsidRPr="00C9178E">
              <w:t>2.3</w:t>
            </w:r>
            <w:r w:rsidRPr="00C9178E">
              <w:tab/>
              <w:t xml:space="preserve">Conduct inspections according to </w:t>
            </w:r>
            <w:r w:rsidRPr="00C9178E">
              <w:rPr>
                <w:rStyle w:val="BoldandItalics"/>
              </w:rPr>
              <w:t>organisational and statutory requirements</w:t>
            </w:r>
            <w:r w:rsidRPr="00C9178E">
              <w:t>.</w:t>
            </w:r>
          </w:p>
        </w:tc>
      </w:tr>
      <w:tr w:rsidTr="004771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178E">
            <w:pPr>
              <w:pStyle w:val="List"/>
              <w:rPr>
                <w:lang w:val="en-NZ"/>
              </w:rPr>
            </w:pPr>
            <w:r w:rsidRPr="00C9178E">
              <w:rPr>
                <w:rStyle w:val="SpecialBold"/>
              </w:rPr>
              <w:t>3</w:t>
            </w:r>
            <w:r w:rsidRPr="00C9178E">
              <w:tab/>
            </w:r>
            <w:r w:rsidRPr="00C9178E">
              <w:rPr>
                <w:rStyle w:val="SpecialBold"/>
              </w:rPr>
              <w:t>Implement dam</w:t>
            </w:r>
            <w:r w:rsidRPr="00C9178E">
              <w:t xml:space="preserve"> / </w:t>
            </w:r>
            <w:r w:rsidRPr="00C9178E">
              <w:rPr>
                <w:rStyle w:val="SpecialBold"/>
              </w:rPr>
              <w:t>water storage operation plans</w:t>
            </w:r>
            <w:r w:rsidRPr="00C9178E">
              <w:t>.</w:t>
            </w:r>
          </w:p>
        </w:tc>
        <w:tc>
          <w:tcPr>
            <w:tcW w:w="6804" w:type="dxa"/>
            <w:tcBorders>
              <w:top w:val="nil"/>
              <w:left w:val="nil"/>
              <w:bottom w:val="nil"/>
              <w:right w:val="nil"/>
            </w:tcBorders>
            <w:tcMar>
              <w:top w:w="0" w:type="dxa"/>
              <w:left w:w="62" w:type="dxa"/>
              <w:bottom w:w="0" w:type="dxa"/>
              <w:right w:w="62" w:type="dxa"/>
            </w:tcMar>
          </w:tcPr>
          <w:p w:rsidR="00000000" w:rsidRPr="00C9178E" w:rsidP="00C9178E">
            <w:pPr>
              <w:pStyle w:val="List"/>
            </w:pPr>
            <w:r w:rsidRPr="00C9178E">
              <w:t>3.1</w:t>
            </w:r>
            <w:r w:rsidRPr="00C9178E">
              <w:tab/>
              <w:t>Apply operation plans according to organisational and statutory requirements.</w:t>
            </w:r>
          </w:p>
          <w:p w:rsidR="00000000" w:rsidRPr="00C9178E" w:rsidP="00C9178E">
            <w:pPr>
              <w:pStyle w:val="List"/>
            </w:pPr>
            <w:r w:rsidRPr="00C9178E">
              <w:t>3.2</w:t>
            </w:r>
            <w:r w:rsidRPr="00C9178E">
              <w:tab/>
              <w:t xml:space="preserve">Inspect and test </w:t>
            </w:r>
            <w:r w:rsidRPr="00C9178E">
              <w:rPr>
                <w:rStyle w:val="BoldandItalics"/>
              </w:rPr>
              <w:t>plant a</w:t>
            </w:r>
            <w:r w:rsidRPr="00C9178E">
              <w:rPr>
                <w:rStyle w:val="BoldandItalics"/>
              </w:rPr>
              <w:t>nd equipment</w:t>
            </w:r>
            <w:r w:rsidRPr="00C9178E">
              <w:t xml:space="preserve"> according to manufacturer's guidelines and organisational requirements.</w:t>
            </w:r>
          </w:p>
          <w:p w:rsidR="00000000" w:rsidP="00C9178E">
            <w:pPr>
              <w:pStyle w:val="List"/>
              <w:rPr>
                <w:lang w:val="en-NZ"/>
              </w:rPr>
            </w:pPr>
            <w:r w:rsidRPr="00C9178E">
              <w:t>3.3</w:t>
            </w:r>
            <w:r w:rsidRPr="00C9178E">
              <w:tab/>
              <w:t>Test, assess and document safety mechanisms.</w:t>
            </w:r>
          </w:p>
        </w:tc>
      </w:tr>
      <w:tr w:rsidTr="004771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178E">
            <w:pPr>
              <w:pStyle w:val="List"/>
              <w:rPr>
                <w:lang w:val="en-NZ"/>
              </w:rPr>
            </w:pPr>
            <w:r w:rsidRPr="00C9178E">
              <w:rPr>
                <w:rStyle w:val="SpecialBold"/>
              </w:rPr>
              <w:t>4</w:t>
            </w:r>
            <w:r w:rsidRPr="00C9178E">
              <w:tab/>
            </w:r>
            <w:r w:rsidRPr="00C9178E">
              <w:rPr>
                <w:rStyle w:val="SpecialBold"/>
              </w:rPr>
              <w:t>Regulate flows</w:t>
            </w:r>
            <w:r w:rsidRPr="00C9178E">
              <w:t>.</w:t>
            </w:r>
          </w:p>
        </w:tc>
        <w:tc>
          <w:tcPr>
            <w:tcW w:w="6804" w:type="dxa"/>
            <w:tcBorders>
              <w:top w:val="nil"/>
              <w:left w:val="nil"/>
              <w:bottom w:val="nil"/>
              <w:right w:val="nil"/>
            </w:tcBorders>
            <w:tcMar>
              <w:top w:w="0" w:type="dxa"/>
              <w:left w:w="62" w:type="dxa"/>
              <w:bottom w:w="0" w:type="dxa"/>
              <w:right w:w="62" w:type="dxa"/>
            </w:tcMar>
          </w:tcPr>
          <w:p w:rsidR="00000000" w:rsidRPr="00C9178E" w:rsidP="00C9178E">
            <w:pPr>
              <w:pStyle w:val="List"/>
            </w:pPr>
            <w:r w:rsidRPr="00C9178E">
              <w:t>4.1</w:t>
            </w:r>
            <w:r w:rsidRPr="00C9178E">
              <w:tab/>
              <w:t xml:space="preserve">Regulate </w:t>
            </w:r>
            <w:r w:rsidRPr="00C9178E">
              <w:rPr>
                <w:rStyle w:val="BoldandItalics"/>
              </w:rPr>
              <w:t>flow control mechanisms</w:t>
            </w:r>
            <w:r w:rsidRPr="00C9178E">
              <w:t xml:space="preserve"> to maintain safety of as</w:t>
            </w:r>
            <w:r w:rsidRPr="00C9178E">
              <w:t>set and required system supply and flood routing.</w:t>
            </w:r>
          </w:p>
          <w:p w:rsidR="00000000" w:rsidRPr="00C9178E" w:rsidP="00C9178E">
            <w:pPr>
              <w:pStyle w:val="List"/>
            </w:pPr>
            <w:r w:rsidRPr="00C9178E">
              <w:t>4.2</w:t>
            </w:r>
            <w:r w:rsidRPr="00C9178E">
              <w:tab/>
              <w:t xml:space="preserve">Produce </w:t>
            </w:r>
            <w:r w:rsidRPr="00C9178E">
              <w:rPr>
                <w:rStyle w:val="BoldandItalics"/>
              </w:rPr>
              <w:t>data</w:t>
            </w:r>
            <w:r w:rsidRPr="00C9178E">
              <w:t xml:space="preserve"> relating to system operation and performance according to organisational requirements. </w:t>
            </w:r>
          </w:p>
        </w:tc>
      </w:tr>
    </w:tbl>
    <w:p w:rsidR="00000000" w:rsidRPr="00C9178E" w:rsidP="00C9178E">
      <w:pPr>
        <w:pStyle w:val="BodyText"/>
      </w:pPr>
    </w:p>
    <w:p w:rsidR="00000000" w:rsidRPr="00C9178E" w:rsidP="00C9178E">
      <w:pPr>
        <w:pStyle w:val="AllowPageBreak"/>
      </w:pPr>
    </w:p>
    <w:p w:rsidR="00000000" w:rsidRPr="00C9178E" w:rsidP="00C9178E">
      <w:pPr>
        <w:pStyle w:val="Heading1"/>
      </w:pPr>
      <w:bookmarkStart w:id="9" w:name="O_404971"/>
      <w:bookmarkEnd w:id="9"/>
      <w:r w:rsidRPr="00C9178E">
        <w:t>Required Skills and Knowledge</w:t>
      </w:r>
    </w:p>
    <w:tbl>
      <w:tblPr>
        <w:tblW w:w="0" w:type="auto"/>
        <w:tblLayout w:type="fixed"/>
        <w:tblCellMar>
          <w:left w:w="62" w:type="dxa"/>
          <w:right w:w="62" w:type="dxa"/>
        </w:tblCellMar>
        <w:tblLook w:val="0000"/>
      </w:tblPr>
      <w:tblGrid>
        <w:gridCol w:w="9072"/>
      </w:tblGrid>
      <w:tr w:rsidTr="00477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t>This describes the essential skills and knowledge an</w:t>
            </w:r>
            <w:r w:rsidRPr="00C9178E">
              <w:t>d their level, required for this unit.</w:t>
            </w:r>
          </w:p>
        </w:tc>
      </w:tr>
      <w:tr w:rsidTr="00477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178E" w:rsidP="00C9178E">
            <w:pPr>
              <w:pStyle w:val="BodyText"/>
            </w:pPr>
            <w:r w:rsidRPr="00C9178E">
              <w:rPr>
                <w:rStyle w:val="SpecialBold"/>
              </w:rPr>
              <w:t>Required skills</w:t>
            </w:r>
            <w:r w:rsidRPr="00C9178E">
              <w:t>:</w:t>
            </w:r>
          </w:p>
          <w:p w:rsidR="00000000" w:rsidRPr="00C9178E" w:rsidP="00C9178E">
            <w:pPr>
              <w:pStyle w:val="ListBullet"/>
            </w:pPr>
            <w:r w:rsidRPr="00C9178E">
              <w:t xml:space="preserve">calculate inflow and outflow rates </w:t>
            </w:r>
          </w:p>
          <w:p w:rsidR="00000000" w:rsidRPr="00C9178E" w:rsidP="00C9178E">
            <w:pPr>
              <w:pStyle w:val="ListBullet"/>
            </w:pPr>
            <w:r w:rsidRPr="00C9178E">
              <w:t>interpret and plot graphs</w:t>
            </w:r>
          </w:p>
          <w:p w:rsidR="00000000" w:rsidRPr="00C9178E" w:rsidP="00C9178E">
            <w:pPr>
              <w:pStyle w:val="ListBullet"/>
            </w:pPr>
            <w:r w:rsidRPr="00C9178E">
              <w:t>operate controls and ancillary equipment according to standard operating procedures</w:t>
            </w:r>
          </w:p>
          <w:p w:rsidR="00000000" w:rsidRPr="00C9178E" w:rsidP="00C9178E">
            <w:pPr>
              <w:pStyle w:val="ListBullet"/>
            </w:pPr>
            <w:r w:rsidRPr="00C9178E">
              <w:t>conduct inspections</w:t>
            </w:r>
          </w:p>
          <w:p w:rsidR="00000000" w:rsidRPr="00C9178E" w:rsidP="00C9178E">
            <w:pPr>
              <w:pStyle w:val="ListBullet"/>
            </w:pPr>
            <w:r w:rsidRPr="00C9178E">
              <w:t>coordinate and/or implement operational activities</w:t>
            </w:r>
          </w:p>
          <w:p w:rsidR="00000000" w:rsidRPr="00C9178E" w:rsidP="00C9178E">
            <w:pPr>
              <w:pStyle w:val="ListBullet"/>
            </w:pPr>
            <w:r w:rsidRPr="00C9178E">
              <w:t>interpret plans, drawings, instructions, standard operating procedures, policies and standards</w:t>
            </w:r>
          </w:p>
          <w:p w:rsidR="00000000" w:rsidRPr="00C9178E" w:rsidP="00C9178E">
            <w:pPr>
              <w:pStyle w:val="ListBullet"/>
            </w:pPr>
            <w:r w:rsidRPr="00C9178E">
              <w:t>use safety equipment and personal protective equipment</w:t>
            </w:r>
          </w:p>
          <w:p w:rsidR="00000000" w:rsidRPr="00C9178E" w:rsidP="00C9178E">
            <w:pPr>
              <w:pStyle w:val="ListBullet"/>
            </w:pPr>
            <w:r w:rsidRPr="00C9178E">
              <w:t>use rescue equipment</w:t>
            </w:r>
          </w:p>
          <w:p w:rsidR="00000000" w:rsidRPr="00C9178E" w:rsidP="00C9178E">
            <w:pPr>
              <w:pStyle w:val="ListBullet"/>
            </w:pPr>
            <w:r w:rsidRPr="00C9178E">
              <w:t>use tools and machinery</w:t>
            </w:r>
          </w:p>
          <w:p w:rsidR="00000000" w:rsidRPr="00C9178E" w:rsidP="00C9178E">
            <w:pPr>
              <w:pStyle w:val="ListBullet"/>
            </w:pPr>
            <w:r w:rsidRPr="00C9178E">
              <w:t>identify h</w:t>
            </w:r>
            <w:r w:rsidRPr="00C9178E">
              <w:t>azards</w:t>
            </w:r>
          </w:p>
          <w:p w:rsidR="00000000" w:rsidRPr="00C9178E" w:rsidP="00C9178E">
            <w:pPr>
              <w:pStyle w:val="ListBullet"/>
            </w:pPr>
            <w:r w:rsidRPr="00C9178E">
              <w:t>give and receive instructions</w:t>
            </w:r>
          </w:p>
          <w:p w:rsidR="00000000" w:rsidRPr="00C9178E" w:rsidP="00C9178E">
            <w:pPr>
              <w:pStyle w:val="ListBullet"/>
            </w:pPr>
            <w:r w:rsidRPr="00C9178E">
              <w:t>communicate with other employees and customers</w:t>
            </w:r>
          </w:p>
          <w:p w:rsidR="00000000" w:rsidRPr="00C9178E" w:rsidP="00C9178E">
            <w:pPr>
              <w:pStyle w:val="ListBullet"/>
            </w:pPr>
            <w:r w:rsidRPr="00C9178E">
              <w:t>collect and process data</w:t>
            </w:r>
          </w:p>
          <w:p w:rsidR="00000000" w:rsidRPr="00C9178E" w:rsidP="00C9178E">
            <w:pPr>
              <w:pStyle w:val="ListBullet"/>
            </w:pPr>
            <w:r w:rsidRPr="00C9178E">
              <w:t>communicate</w:t>
            </w:r>
          </w:p>
          <w:p w:rsidR="00000000" w:rsidRPr="00C9178E" w:rsidP="00C9178E">
            <w:pPr>
              <w:pStyle w:val="ListBullet"/>
            </w:pPr>
            <w:r w:rsidRPr="00C9178E">
              <w:t>use equipment and instruments</w:t>
            </w:r>
          </w:p>
          <w:p w:rsidR="00000000" w:rsidRPr="00C9178E" w:rsidP="00C9178E">
            <w:pPr>
              <w:pStyle w:val="ListBullet"/>
            </w:pPr>
            <w:r w:rsidRPr="00C9178E">
              <w:t>interpret drawings, diagrams and charts</w:t>
            </w:r>
          </w:p>
          <w:p w:rsidR="00000000" w:rsidRPr="00C9178E" w:rsidP="00C9178E">
            <w:pPr>
              <w:pStyle w:val="ListBullet"/>
            </w:pPr>
            <w:r w:rsidRPr="00C9178E">
              <w:t>produce reports</w:t>
            </w:r>
          </w:p>
          <w:p w:rsidR="00000000" w:rsidP="00C9178E">
            <w:pPr>
              <w:pStyle w:val="ListBullet"/>
              <w:rPr>
                <w:lang w:val="en-NZ"/>
              </w:rPr>
            </w:pPr>
            <w:r w:rsidRPr="00C9178E">
              <w:t>inspect and operate instruments</w:t>
            </w:r>
          </w:p>
        </w:tc>
      </w:tr>
      <w:tr w:rsidTr="00477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178E" w:rsidP="00C9178E">
            <w:pPr>
              <w:pStyle w:val="BodyText"/>
            </w:pPr>
            <w:r w:rsidRPr="00C9178E">
              <w:rPr>
                <w:rStyle w:val="SpecialBold"/>
              </w:rPr>
              <w:t>Required knowledge</w:t>
            </w:r>
            <w:r w:rsidRPr="00C9178E">
              <w:t>:</w:t>
            </w:r>
          </w:p>
          <w:p w:rsidR="00000000" w:rsidRPr="00C9178E" w:rsidP="00C9178E">
            <w:pPr>
              <w:pStyle w:val="ListBullet"/>
            </w:pPr>
            <w:r w:rsidRPr="00C9178E">
              <w:t>properties of stored water</w:t>
            </w:r>
          </w:p>
          <w:p w:rsidR="00000000" w:rsidRPr="00C9178E" w:rsidP="00C9178E">
            <w:pPr>
              <w:pStyle w:val="ListBullet"/>
            </w:pPr>
            <w:r w:rsidRPr="00C9178E">
              <w:t>system hydraulics</w:t>
            </w:r>
          </w:p>
          <w:p w:rsidR="00000000" w:rsidRPr="00C9178E" w:rsidP="00C9178E">
            <w:pPr>
              <w:pStyle w:val="ListBullet"/>
            </w:pPr>
            <w:r w:rsidRPr="00C9178E">
              <w:t>effects of water and catchment conditions on flow expectations</w:t>
            </w:r>
          </w:p>
          <w:p w:rsidR="00000000" w:rsidRPr="00C9178E" w:rsidP="00C9178E">
            <w:pPr>
              <w:pStyle w:val="ListBullet"/>
            </w:pPr>
            <w:r w:rsidRPr="00C9178E">
              <w:t>interrogation of catchment monitoring equipment</w:t>
            </w:r>
          </w:p>
          <w:p w:rsidR="00000000" w:rsidRPr="00C9178E" w:rsidP="00C9178E">
            <w:pPr>
              <w:pStyle w:val="ListBullet"/>
            </w:pPr>
            <w:r w:rsidRPr="00C9178E">
              <w:t>water flow measurement</w:t>
            </w:r>
          </w:p>
          <w:p w:rsidR="00000000" w:rsidRPr="00C9178E" w:rsidP="00C9178E">
            <w:pPr>
              <w:pStyle w:val="ListBullet"/>
            </w:pPr>
            <w:r w:rsidRPr="00C9178E">
              <w:t>operation of flood gates or plant</w:t>
            </w:r>
          </w:p>
          <w:p w:rsidR="00000000" w:rsidRPr="00C9178E" w:rsidP="00C9178E">
            <w:pPr>
              <w:pStyle w:val="ListBullet"/>
            </w:pPr>
            <w:r w:rsidRPr="00C9178E">
              <w:t>control systems</w:t>
            </w:r>
          </w:p>
          <w:p w:rsidR="00000000" w:rsidRPr="00C9178E" w:rsidP="00C9178E">
            <w:pPr>
              <w:pStyle w:val="ListBullet"/>
            </w:pPr>
            <w:r w:rsidRPr="00C9178E">
              <w:t>dam op</w:t>
            </w:r>
            <w:r w:rsidRPr="00C9178E">
              <w:t>eration principles</w:t>
            </w:r>
          </w:p>
          <w:p w:rsidR="00000000" w:rsidRPr="00C9178E" w:rsidP="00C9178E">
            <w:pPr>
              <w:pStyle w:val="ListBullet"/>
            </w:pPr>
            <w:r w:rsidRPr="00C9178E">
              <w:t>materials science e.g. corrosion, paint coating</w:t>
            </w:r>
          </w:p>
          <w:p w:rsidR="00000000" w:rsidRPr="00C9178E" w:rsidP="00C9178E">
            <w:pPr>
              <w:pStyle w:val="ListBullet"/>
            </w:pPr>
            <w:r w:rsidRPr="00C9178E">
              <w:t>communication systems</w:t>
            </w:r>
          </w:p>
          <w:p w:rsidR="00000000" w:rsidRPr="00C9178E" w:rsidP="00C9178E">
            <w:pPr>
              <w:pStyle w:val="ListBullet"/>
            </w:pPr>
            <w:r w:rsidRPr="00C9178E">
              <w:t>principles of hydraulics</w:t>
            </w:r>
          </w:p>
          <w:p w:rsidR="00000000" w:rsidRPr="00C9178E" w:rsidP="00C9178E">
            <w:pPr>
              <w:pStyle w:val="ListBullet"/>
            </w:pPr>
            <w:r w:rsidRPr="00C9178E">
              <w:t>system layout</w:t>
            </w:r>
          </w:p>
          <w:p w:rsidR="00000000" w:rsidRPr="00C9178E" w:rsidP="00C9178E">
            <w:pPr>
              <w:pStyle w:val="ListBullet"/>
            </w:pPr>
            <w:r w:rsidRPr="00C9178E">
              <w:t>environmental aspects of operation and maintenance</w:t>
            </w:r>
          </w:p>
          <w:p w:rsidR="00000000" w:rsidRPr="00C9178E" w:rsidP="00C9178E">
            <w:pPr>
              <w:pStyle w:val="ListBullet"/>
            </w:pPr>
            <w:r w:rsidRPr="00C9178E">
              <w:t>lock out procedures for mechanical and electrical installations</w:t>
            </w:r>
          </w:p>
          <w:p w:rsidR="00000000" w:rsidRPr="00C9178E" w:rsidP="00C9178E">
            <w:pPr>
              <w:pStyle w:val="ListBullet"/>
            </w:pPr>
            <w:r w:rsidRPr="00C9178E">
              <w:t>control systems</w:t>
            </w:r>
          </w:p>
          <w:p w:rsidR="00000000" w:rsidRPr="00C9178E" w:rsidP="00C9178E">
            <w:pPr>
              <w:pStyle w:val="ListBullet"/>
            </w:pPr>
            <w:r w:rsidRPr="00C9178E">
              <w:t>equipment operation</w:t>
            </w:r>
          </w:p>
          <w:p w:rsidR="00000000" w:rsidRPr="00C9178E" w:rsidP="00C9178E">
            <w:pPr>
              <w:pStyle w:val="ListBullet"/>
            </w:pPr>
            <w:r w:rsidRPr="00C9178E">
              <w:t>relevant utilities and service bodies</w:t>
            </w:r>
          </w:p>
          <w:p w:rsidR="00000000" w:rsidRPr="00C9178E" w:rsidP="00C9178E">
            <w:pPr>
              <w:pStyle w:val="ListBullet"/>
            </w:pPr>
            <w:r w:rsidRPr="00C9178E">
              <w:t>hazardous materials handling</w:t>
            </w:r>
          </w:p>
          <w:p w:rsidR="00000000" w:rsidRPr="00C9178E" w:rsidP="00C9178E">
            <w:pPr>
              <w:pStyle w:val="ListBullet"/>
            </w:pPr>
            <w:r w:rsidRPr="00C9178E">
              <w:t>effects of weather and conditions on bulkwater assets</w:t>
            </w:r>
          </w:p>
          <w:p w:rsidR="00000000" w:rsidRPr="00C9178E" w:rsidP="00C9178E">
            <w:pPr>
              <w:pStyle w:val="ListBullet"/>
            </w:pPr>
            <w:r w:rsidRPr="00C9178E">
              <w:t>safe dam operating procedures</w:t>
            </w:r>
          </w:p>
          <w:p w:rsidR="00000000" w:rsidRPr="00C9178E" w:rsidP="00C9178E">
            <w:pPr>
              <w:pStyle w:val="ListBullet"/>
            </w:pPr>
            <w:r w:rsidRPr="00C9178E">
              <w:t>principles of dam inspection</w:t>
            </w:r>
          </w:p>
          <w:p w:rsidR="00000000" w:rsidRPr="00C9178E" w:rsidP="00C9178E">
            <w:pPr>
              <w:pStyle w:val="ListBullet"/>
            </w:pPr>
            <w:r w:rsidRPr="00C9178E">
              <w:t>risk management techniques</w:t>
            </w:r>
          </w:p>
          <w:p w:rsidR="00000000" w:rsidRPr="00C9178E" w:rsidP="00C9178E">
            <w:pPr>
              <w:pStyle w:val="ListBullet"/>
            </w:pPr>
            <w:r w:rsidRPr="00C9178E">
              <w:t xml:space="preserve">occupational </w:t>
            </w:r>
            <w:r w:rsidRPr="00C9178E">
              <w:t>health and safety</w:t>
            </w:r>
          </w:p>
          <w:p w:rsidR="00000000" w:rsidRPr="00C9178E" w:rsidP="00C9178E">
            <w:pPr>
              <w:pStyle w:val="ListBullet"/>
            </w:pPr>
            <w:r w:rsidRPr="00C9178E">
              <w:t>personal work site safety</w:t>
            </w:r>
          </w:p>
          <w:p w:rsidR="00000000" w:rsidRPr="00C9178E" w:rsidP="00C9178E">
            <w:pPr>
              <w:pStyle w:val="ListBullet"/>
            </w:pPr>
            <w:r w:rsidRPr="00C9178E">
              <w:t>organisational and statutory requirements</w:t>
            </w:r>
          </w:p>
        </w:tc>
      </w:tr>
    </w:tbl>
    <w:p w:rsidR="00000000" w:rsidRPr="00C9178E" w:rsidP="00C9178E">
      <w:pPr>
        <w:pStyle w:val="BodyText"/>
      </w:pPr>
    </w:p>
    <w:p w:rsidR="00000000" w:rsidRPr="00C9178E" w:rsidP="00C9178E">
      <w:pPr>
        <w:pStyle w:val="AllowPageBreak"/>
      </w:pPr>
    </w:p>
    <w:p w:rsidR="00000000" w:rsidRPr="00C9178E" w:rsidP="00C9178E">
      <w:pPr>
        <w:pStyle w:val="Heading1"/>
      </w:pPr>
      <w:bookmarkStart w:id="10" w:name="O_404977"/>
      <w:bookmarkEnd w:id="10"/>
      <w:r w:rsidRPr="00C9178E">
        <w:t>Evidence Guide</w:t>
      </w:r>
    </w:p>
    <w:tbl>
      <w:tblPr>
        <w:tblW w:w="0" w:type="auto"/>
        <w:tblLayout w:type="fixed"/>
        <w:tblCellMar>
          <w:left w:w="62" w:type="dxa"/>
          <w:right w:w="62" w:type="dxa"/>
        </w:tblCellMar>
        <w:tblLook w:val="0000"/>
      </w:tblPr>
      <w:tblGrid>
        <w:gridCol w:w="2968"/>
        <w:gridCol w:w="6104"/>
      </w:tblGrid>
      <w:tr w:rsidTr="00477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t>The evidenc</w:t>
            </w:r>
            <w:r w:rsidRPr="00C9178E">
              <w:t>e guide provides advice on assessment and must be read in conjunction with the Performance Criteria, Required Skills and Knowledge, the Range Statement and the Assessment Guidelines for the Training Package.</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SpecialBold"/>
              </w:rPr>
              <w:t>Critical aspects for assessment and evidence r</w:t>
            </w:r>
            <w:r w:rsidRPr="00C9178E">
              <w:rPr>
                <w:rStyle w:val="SpecialBold"/>
              </w:rPr>
              <w:t>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BodyText"/>
            </w:pPr>
            <w:r w:rsidRPr="00C9178E">
              <w:t>The candidate should demonstrate the ability to manage and conduct surveillance of catchment run-off through dams and other water storage assets including:</w:t>
            </w:r>
          </w:p>
          <w:p w:rsidR="00000000" w:rsidRPr="00C9178E" w:rsidP="00C9178E">
            <w:pPr>
              <w:pStyle w:val="ListBullet"/>
            </w:pPr>
            <w:r w:rsidRPr="00C9178E">
              <w:t>operating gated spillway in conformance with standar</w:t>
            </w:r>
            <w:r w:rsidRPr="00C9178E">
              <w:t>d operating procedures</w:t>
            </w:r>
          </w:p>
          <w:p w:rsidR="00000000" w:rsidRPr="00C9178E" w:rsidP="00C9178E">
            <w:pPr>
              <w:pStyle w:val="ListBullet"/>
            </w:pPr>
            <w:r w:rsidRPr="00C9178E">
              <w:t>interpreting technical documentation</w:t>
            </w:r>
          </w:p>
          <w:p w:rsidR="00000000" w:rsidRPr="00C9178E" w:rsidP="00C9178E">
            <w:pPr>
              <w:pStyle w:val="ListBullet"/>
            </w:pPr>
            <w:r w:rsidRPr="00C9178E">
              <w:t>identifying and investigating operational problems</w:t>
            </w:r>
          </w:p>
          <w:p w:rsidR="00000000" w:rsidRPr="00C9178E" w:rsidP="00C9178E">
            <w:pPr>
              <w:pStyle w:val="ListBullet"/>
            </w:pPr>
            <w:r w:rsidRPr="00C9178E">
              <w:t>collecting and analysing technical information</w:t>
            </w:r>
          </w:p>
          <w:p w:rsidR="00000000" w:rsidP="00C9178E">
            <w:pPr>
              <w:pStyle w:val="ListBullet"/>
              <w:rPr>
                <w:lang w:val="en-NZ"/>
              </w:rPr>
            </w:pPr>
            <w:r w:rsidRPr="00C9178E">
              <w:t>preparing required reports</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BodyText"/>
            </w:pPr>
            <w:r w:rsidRPr="00C9178E">
              <w:t xml:space="preserve">Access to the workplace and resources including: </w:t>
            </w:r>
          </w:p>
          <w:p w:rsidR="00000000" w:rsidRPr="00C9178E" w:rsidP="00C9178E">
            <w:pPr>
              <w:pStyle w:val="ListBullet"/>
            </w:pPr>
            <w:r w:rsidRPr="00C9178E">
              <w:t>documentation that should normally be available in a water industry organisation</w:t>
            </w:r>
          </w:p>
          <w:p w:rsidR="00000000" w:rsidRPr="00C9178E" w:rsidP="00C9178E">
            <w:pPr>
              <w:pStyle w:val="ListBullet"/>
            </w:pPr>
            <w:r w:rsidRPr="00C9178E">
              <w:t>relevant codes, standards, and government regulations</w:t>
            </w:r>
          </w:p>
          <w:p w:rsidR="00000000" w:rsidRPr="00C9178E" w:rsidP="00C9178E">
            <w:pPr>
              <w:pStyle w:val="BodyText"/>
            </w:pPr>
            <w:r w:rsidRPr="00C9178E">
              <w:t>Where applicable, physical resources should include equipment modified</w:t>
            </w:r>
            <w:r w:rsidRPr="00C9178E">
              <w:t xml:space="preserve"> for people with disabilities.</w:t>
            </w:r>
          </w:p>
          <w:p w:rsidR="00000000" w:rsidRPr="00C9178E" w:rsidP="00C9178E">
            <w:pPr>
              <w:pStyle w:val="BodyText"/>
            </w:pPr>
            <w:r w:rsidRPr="00C9178E">
              <w:t>Access must be provided to appropriate learning and/or assessment support when required.</w:t>
            </w:r>
          </w:p>
          <w:p w:rsidR="00000000" w:rsidRPr="00C9178E" w:rsidP="00C9178E">
            <w:pPr>
              <w:pStyle w:val="BodyText"/>
            </w:pPr>
            <w:r w:rsidRPr="00C9178E">
              <w:t>Assessment processes and techniques must be culturally appropriate, and appropriate to the language and literacy capacity of the candida</w:t>
            </w:r>
            <w:r w:rsidRPr="00C9178E">
              <w:t xml:space="preserve">te and the work being performed. </w:t>
            </w:r>
          </w:p>
          <w:p w:rsidR="00000000" w:rsidRPr="00C9178E" w:rsidP="00C9178E">
            <w:pPr>
              <w:pStyle w:val="BodyText"/>
            </w:pPr>
            <w:r w:rsidRPr="00C9178E">
              <w:t>Validity and sufficiency of evidence requires that:</w:t>
            </w:r>
          </w:p>
          <w:p w:rsidR="00000000" w:rsidRPr="00C9178E" w:rsidP="00C9178E">
            <w:pPr>
              <w:pStyle w:val="ListBullet"/>
            </w:pPr>
            <w:r w:rsidRPr="00C9178E">
              <w:t>competency will need to be demonstrated over a period of time reflecting the scope of the role and the practical requirements of the workplace</w:t>
            </w:r>
          </w:p>
          <w:p w:rsidR="00000000" w:rsidRPr="00C9178E" w:rsidP="00C9178E">
            <w:pPr>
              <w:pStyle w:val="ListBullet"/>
            </w:pPr>
            <w:r w:rsidRPr="00C9178E">
              <w:t>where the assessment is pa</w:t>
            </w:r>
            <w:r w:rsidRPr="00C9178E">
              <w:t>rt of a structured learning experience the evidence collected must relate to a number of performances assessed at different points in time and separated by further learning and practice</w:t>
            </w:r>
          </w:p>
          <w:p w:rsidR="00000000" w:rsidRPr="00C9178E" w:rsidP="00C9178E">
            <w:pPr>
              <w:pStyle w:val="ListBullet"/>
            </w:pPr>
            <w:r w:rsidRPr="00C9178E">
              <w:t>a decision of competence should only be made when the assessor has com</w:t>
            </w:r>
            <w:r w:rsidRPr="00C9178E">
              <w:t>plete confidence in the person's competence over time and in various contexts</w:t>
            </w:r>
          </w:p>
          <w:p w:rsidR="00000000" w:rsidRPr="00C9178E" w:rsidP="00C9178E">
            <w:pPr>
              <w:pStyle w:val="ListBullet"/>
            </w:pPr>
            <w:r w:rsidRPr="00C9178E">
              <w:t>all assessment that is part of a structured learning experience must include a combination of direct, indirect and supplementary evidence</w:t>
            </w:r>
          </w:p>
          <w:p w:rsidR="00000000" w:rsidRPr="00C9178E" w:rsidP="00C9178E">
            <w:pPr>
              <w:pStyle w:val="ListBullet"/>
            </w:pPr>
            <w:r w:rsidRPr="00C9178E">
              <w:t>where assessment is for the purpose of r</w:t>
            </w:r>
            <w:r w:rsidRPr="00C9178E">
              <w:t>ecognition (RCC/RPL), the evidence provided will need to be authenticated and show that it represents competency demonstrated over a period of time</w:t>
            </w:r>
          </w:p>
          <w:p w:rsidR="00000000" w:rsidRPr="00C9178E" w:rsidP="00C9178E">
            <w:pPr>
              <w:pStyle w:val="ListBullet"/>
            </w:pPr>
            <w:r w:rsidRPr="00C9178E">
              <w:t>assessment can be through simulated project-based activity and must include evidence relating to each of the</w:t>
            </w:r>
            <w:r w:rsidRPr="00C9178E">
              <w:t xml:space="preserve"> elements in this unit</w:t>
            </w:r>
          </w:p>
          <w:p w:rsidR="00000000" w:rsidRPr="00C9178E" w:rsidP="00C9178E">
            <w:pPr>
              <w:pStyle w:val="BodyText"/>
            </w:pPr>
            <w:r w:rsidRPr="00C9178E">
              <w:t>Questioning will be undertaken in a manner appropriate to the skill levels of the operator, any cultural issues that may affect responses to the questions, and reflecting the requirements of the competency and the work being performe</w:t>
            </w:r>
            <w:r w:rsidRPr="00C9178E">
              <w:t>d.</w:t>
            </w:r>
          </w:p>
        </w:tc>
      </w:tr>
    </w:tbl>
    <w:p w:rsidR="00000000" w:rsidRPr="00C9178E" w:rsidP="00C9178E">
      <w:pPr>
        <w:pStyle w:val="BodyText"/>
      </w:pPr>
    </w:p>
    <w:p w:rsidR="00000000" w:rsidRPr="00C9178E" w:rsidP="00C9178E">
      <w:pPr>
        <w:pStyle w:val="AllowPageBreak"/>
      </w:pPr>
    </w:p>
    <w:p w:rsidR="00000000" w:rsidRPr="00C9178E" w:rsidP="00C9178E">
      <w:pPr>
        <w:pStyle w:val="Heading1"/>
      </w:pPr>
      <w:bookmarkStart w:id="11" w:name="O_404972"/>
      <w:bookmarkEnd w:id="11"/>
      <w:r w:rsidRPr="00C9178E">
        <w:t>Range Statement</w:t>
      </w:r>
    </w:p>
    <w:tbl>
      <w:tblPr>
        <w:tblW w:w="0" w:type="auto"/>
        <w:tblLayout w:type="fixed"/>
        <w:tblCellMar>
          <w:left w:w="62" w:type="dxa"/>
          <w:right w:w="62" w:type="dxa"/>
        </w:tblCellMar>
        <w:tblLook w:val="0000"/>
      </w:tblPr>
      <w:tblGrid>
        <w:gridCol w:w="2968"/>
        <w:gridCol w:w="6104"/>
      </w:tblGrid>
      <w:tr w:rsidTr="00477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t xml:space="preserve">The range statement relates to the unit of competency as a whole. It allows for different work environments and situations that may affect performance. </w:t>
            </w:r>
            <w:r w:rsidRPr="00C9178E">
              <w:rPr>
                <w:rStyle w:val="BoldandItalics"/>
              </w:rPr>
              <w:t>Bold italicised</w:t>
            </w:r>
            <w:r w:rsidRPr="00C9178E">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C9178E">
              <w:t xml:space="preserve"> and regional contexts.</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BoldandItalics"/>
              </w:rPr>
              <w:t>Guidelines and regulatory requirements for dam or water storage operation</w:t>
            </w:r>
            <w:r w:rsidRPr="00C9178E">
              <w:t xml:space="preserve"> include:</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ListBullet"/>
            </w:pPr>
            <w:r w:rsidRPr="00C9178E">
              <w:t>International Commission on Large Dams</w:t>
            </w:r>
          </w:p>
          <w:p w:rsidR="00000000" w:rsidRPr="00C9178E" w:rsidP="00C9178E">
            <w:pPr>
              <w:pStyle w:val="ListBullet"/>
            </w:pPr>
            <w:r w:rsidRPr="00C9178E">
              <w:t>Australian National Committee on Large Dams (ANCOLD) guidelines</w:t>
            </w:r>
          </w:p>
          <w:p w:rsidR="00000000" w:rsidRPr="00C9178E" w:rsidP="00C9178E">
            <w:pPr>
              <w:pStyle w:val="ListBullet"/>
            </w:pPr>
            <w:r w:rsidRPr="00C9178E">
              <w:t>storages may include:</w:t>
            </w:r>
          </w:p>
          <w:p w:rsidR="00000000" w:rsidRPr="00C9178E" w:rsidP="00C9178E">
            <w:pPr>
              <w:pStyle w:val="ListBullet2"/>
            </w:pPr>
            <w:r w:rsidRPr="00C9178E">
              <w:t>weirs</w:t>
            </w:r>
          </w:p>
          <w:p w:rsidR="00000000" w:rsidP="00C9178E">
            <w:pPr>
              <w:pStyle w:val="ListBullet2"/>
              <w:rPr>
                <w:lang w:val="en-NZ"/>
              </w:rPr>
            </w:pPr>
            <w:r w:rsidRPr="00C9178E">
              <w:t>reservoirs</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BoldandItalics"/>
              </w:rPr>
              <w:t>Organisational and statutory requirements</w:t>
            </w:r>
            <w:r w:rsidRPr="00C917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ListBullet"/>
            </w:pPr>
            <w:r w:rsidRPr="00C9178E">
              <w:t>Occupational Health and Safety, including the use of personal protective equipment</w:t>
            </w:r>
          </w:p>
          <w:p w:rsidR="00000000" w:rsidRPr="00C9178E" w:rsidP="00C9178E">
            <w:pPr>
              <w:pStyle w:val="ListBullet"/>
            </w:pPr>
            <w:r w:rsidRPr="00C9178E">
              <w:t>environmental laws and policies</w:t>
            </w:r>
          </w:p>
          <w:p w:rsidR="00000000" w:rsidRPr="00C9178E" w:rsidP="00C9178E">
            <w:pPr>
              <w:pStyle w:val="ListBullet"/>
            </w:pPr>
            <w:r w:rsidRPr="00C9178E">
              <w:t>by-laws and organisational policies</w:t>
            </w:r>
          </w:p>
          <w:p w:rsidR="00000000" w:rsidRPr="00C9178E" w:rsidP="00C9178E">
            <w:pPr>
              <w:pStyle w:val="ListBullet"/>
            </w:pPr>
            <w:r w:rsidRPr="00C9178E">
              <w:t>Water Acts</w:t>
            </w:r>
          </w:p>
          <w:p w:rsidR="00000000" w:rsidRPr="00C9178E" w:rsidP="00C9178E">
            <w:pPr>
              <w:pStyle w:val="ListBullet"/>
            </w:pPr>
            <w:r w:rsidRPr="00C9178E">
              <w:t>construction and occupational health and safety regulations</w:t>
            </w:r>
          </w:p>
          <w:p w:rsidR="00000000" w:rsidRPr="00C9178E" w:rsidP="00C9178E">
            <w:pPr>
              <w:pStyle w:val="ListBullet"/>
            </w:pPr>
            <w:r w:rsidRPr="00C9178E">
              <w:t>public safety and disaster plans</w:t>
            </w:r>
          </w:p>
          <w:p w:rsidR="00000000" w:rsidRPr="00C9178E" w:rsidP="00C9178E">
            <w:pPr>
              <w:pStyle w:val="ListBullet"/>
            </w:pPr>
            <w:r w:rsidRPr="00C9178E">
              <w:t>International Commission on Large Dams</w:t>
            </w:r>
          </w:p>
          <w:p w:rsidR="00000000" w:rsidRPr="00C9178E" w:rsidP="00C9178E">
            <w:pPr>
              <w:pStyle w:val="ListBullet"/>
            </w:pPr>
            <w:r w:rsidRPr="00C9178E">
              <w:t>Australian National Committee on Large Dams guidelines</w:t>
            </w:r>
          </w:p>
          <w:p w:rsidR="00000000" w:rsidRPr="00C9178E" w:rsidP="00C9178E">
            <w:pPr>
              <w:pStyle w:val="ListBullet"/>
            </w:pPr>
            <w:r w:rsidRPr="00C9178E">
              <w:t>state government or state committees</w:t>
            </w:r>
          </w:p>
          <w:p w:rsidR="00000000" w:rsidP="00C9178E">
            <w:pPr>
              <w:pStyle w:val="ListBullet"/>
              <w:rPr>
                <w:lang w:val="en-NZ"/>
              </w:rPr>
            </w:pPr>
            <w:r w:rsidRPr="00C9178E">
              <w:t>asset management plan</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BoldandItalics"/>
              </w:rPr>
              <w:t>Plant and</w:t>
            </w:r>
            <w:r w:rsidRPr="00C9178E">
              <w:rPr>
                <w:rStyle w:val="BoldandItalics"/>
              </w:rPr>
              <w:t xml:space="preserve"> equipment</w:t>
            </w:r>
            <w:r w:rsidRPr="00C917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ListBullet"/>
            </w:pPr>
            <w:r w:rsidRPr="00C9178E">
              <w:t>gantry crane operations</w:t>
            </w:r>
          </w:p>
          <w:p w:rsidR="00000000" w:rsidP="00C9178E">
            <w:pPr>
              <w:pStyle w:val="ListBullet"/>
              <w:rPr>
                <w:lang w:val="en-NZ"/>
              </w:rPr>
            </w:pPr>
            <w:r w:rsidRPr="00C9178E">
              <w:t>two-way radio</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BoldandItalics"/>
              </w:rPr>
              <w:t>Flow control mechanisms</w:t>
            </w:r>
            <w:r w:rsidRPr="00C9178E">
              <w:t xml:space="preserve"> may include: </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ListBullet"/>
            </w:pPr>
            <w:r w:rsidRPr="00C9178E">
              <w:t>sand dams</w:t>
            </w:r>
          </w:p>
          <w:p w:rsidR="00000000" w:rsidRPr="00C9178E" w:rsidP="00C9178E">
            <w:pPr>
              <w:pStyle w:val="ListBullet"/>
            </w:pPr>
            <w:r w:rsidRPr="00C9178E">
              <w:t>temporary dam structures</w:t>
            </w:r>
          </w:p>
          <w:p w:rsidR="00000000" w:rsidRPr="00C9178E" w:rsidP="00C9178E">
            <w:pPr>
              <w:pStyle w:val="ListBullet"/>
            </w:pPr>
            <w:r w:rsidRPr="00C9178E">
              <w:t>diversion of flows</w:t>
            </w:r>
          </w:p>
          <w:p w:rsidR="00000000" w:rsidP="00C9178E">
            <w:pPr>
              <w:pStyle w:val="ListBullet"/>
              <w:rPr>
                <w:lang w:val="en-NZ"/>
              </w:rPr>
            </w:pPr>
            <w:r w:rsidRPr="00C9178E">
              <w:t>temporary and permanent bulkhead gates</w:t>
            </w:r>
          </w:p>
        </w:tc>
      </w:tr>
      <w:tr w:rsidTr="004771D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9178E">
            <w:pPr>
              <w:pStyle w:val="BodyText"/>
              <w:rPr>
                <w:lang w:val="en-NZ"/>
              </w:rPr>
            </w:pPr>
            <w:r w:rsidRPr="00C9178E">
              <w:rPr>
                <w:rStyle w:val="BoldandItalics"/>
              </w:rPr>
              <w:t>Data</w:t>
            </w:r>
            <w:r w:rsidRPr="00C9178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9178E" w:rsidP="00C9178E">
            <w:pPr>
              <w:pStyle w:val="ListBullet"/>
            </w:pPr>
            <w:r w:rsidRPr="00C9178E">
              <w:t>operation and maintenance manuals</w:t>
            </w:r>
          </w:p>
          <w:p w:rsidR="00000000" w:rsidRPr="00C9178E" w:rsidP="00C9178E">
            <w:pPr>
              <w:pStyle w:val="ListBullet"/>
            </w:pPr>
            <w:r w:rsidRPr="00C9178E">
              <w:t>past inspection reports</w:t>
            </w:r>
          </w:p>
          <w:p w:rsidR="00000000" w:rsidRPr="00C9178E" w:rsidP="00C9178E">
            <w:pPr>
              <w:pStyle w:val="ListBullet"/>
            </w:pPr>
            <w:r w:rsidRPr="00C9178E">
              <w:t>operation, monitoring and testing records</w:t>
            </w:r>
          </w:p>
          <w:p w:rsidR="00000000" w:rsidRPr="00C9178E" w:rsidP="00C9178E">
            <w:pPr>
              <w:pStyle w:val="ListBullet"/>
            </w:pPr>
            <w:r w:rsidRPr="00C9178E">
              <w:t>observation and associated comments and reports</w:t>
            </w:r>
          </w:p>
          <w:p w:rsidR="00000000" w:rsidRPr="00C9178E" w:rsidP="00C9178E">
            <w:pPr>
              <w:pStyle w:val="ListBullet"/>
            </w:pPr>
            <w:r w:rsidRPr="00C9178E">
              <w:t>original design plans</w:t>
            </w:r>
          </w:p>
          <w:p w:rsidR="00000000" w:rsidRPr="00C9178E" w:rsidP="00C9178E">
            <w:pPr>
              <w:pStyle w:val="ListBullet"/>
            </w:pPr>
            <w:r w:rsidRPr="00C9178E">
              <w:t>design modifications</w:t>
            </w:r>
          </w:p>
          <w:p w:rsidR="00000000" w:rsidRPr="00C9178E" w:rsidP="00C9178E">
            <w:pPr>
              <w:pStyle w:val="ListBullet"/>
            </w:pPr>
            <w:r w:rsidRPr="00C9178E">
              <w:t>construction records and reports</w:t>
            </w:r>
          </w:p>
          <w:p w:rsidR="00000000" w:rsidRPr="00C9178E" w:rsidP="00C9178E">
            <w:pPr>
              <w:pStyle w:val="ListBullet"/>
            </w:pPr>
            <w:r w:rsidRPr="00C9178E">
              <w:t>survey information</w:t>
            </w:r>
          </w:p>
          <w:p w:rsidR="00000000" w:rsidRPr="00C9178E" w:rsidP="00C9178E">
            <w:pPr>
              <w:pStyle w:val="ListBullet"/>
            </w:pPr>
            <w:r w:rsidRPr="00C9178E">
              <w:t>maintenance records</w:t>
            </w:r>
          </w:p>
          <w:p w:rsidR="00000000" w:rsidRPr="00C9178E" w:rsidP="00C9178E">
            <w:pPr>
              <w:pStyle w:val="ListBullet"/>
            </w:pPr>
            <w:r w:rsidRPr="00C9178E">
              <w:t>performance data</w:t>
            </w:r>
          </w:p>
        </w:tc>
      </w:tr>
    </w:tbl>
    <w:p w:rsidR="004771D9" w:rsidP="00C9178E">
      <w:pPr>
        <w:pStyle w:val="BodyText"/>
      </w:pPr>
    </w:p>
    <w:p w:rsidR="004771D9" w:rsidP="00C9178E">
      <w:pPr>
        <w:pStyle w:val="BodyText"/>
      </w:pPr>
    </w:p>
    <w:p w:rsidR="00000000" w:rsidRPr="00C9178E" w:rsidP="00C9178E">
      <w:pPr>
        <w:pStyle w:val="Heading1"/>
      </w:pPr>
      <w:bookmarkStart w:id="12" w:name="O_404969"/>
      <w:bookmarkEnd w:id="12"/>
      <w:r w:rsidRPr="00C9178E">
        <w:t>Unit Sector(s)</w:t>
      </w:r>
    </w:p>
    <w:p w:rsidR="00000000" w:rsidRPr="00C9178E" w:rsidP="00C9178E">
      <w:pPr>
        <w:pStyle w:val="BodyText"/>
      </w:pPr>
      <w:r w:rsidRPr="00C9178E">
        <w:t>Not applicable.</w:t>
      </w:r>
    </w:p>
    <w:p w:rsidR="00000000" w:rsidRPr="00C9178E" w:rsidP="00C9178E">
      <w:pPr>
        <w:pStyle w:val="AllowPageBreak"/>
      </w:pPr>
    </w:p>
    <w:p w:rsidR="00000000" w:rsidRPr="00C9178E" w:rsidP="00C9178E">
      <w:pPr>
        <w:pStyle w:val="Heading1"/>
      </w:pPr>
      <w:bookmarkStart w:id="13" w:name="O_404981"/>
      <w:bookmarkEnd w:id="13"/>
      <w:r w:rsidRPr="00C9178E">
        <w:t>Competency field</w:t>
      </w:r>
    </w:p>
    <w:p w:rsidR="00000000" w:rsidRPr="00C9178E" w:rsidP="00C9178E">
      <w:pPr>
        <w:pStyle w:val="BodyText"/>
      </w:pPr>
      <w:r w:rsidRPr="00C9178E">
        <w:t>Collection and distribution.</w:t>
      </w:r>
    </w:p>
    <w:p w:rsidR="00000000" w:rsidRPr="00C9178E" w:rsidP="00C9178E"/>
    <w:sectPr w:rsidSect="00C91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1D9" w:rsidP="00477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D9" w:rsidP="00C91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71D9" w:rsidP="00C917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771D9" w:rsidP="00C917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1D9" w:rsidP="00477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D9" w:rsidP="00C9178E">
    <w:pPr>
      <w:pStyle w:val="Header"/>
      <w:framePr w:wrap="around"/>
    </w:pPr>
    <w:r>
      <w:fldChar w:fldCharType="begin"/>
    </w:r>
    <w:r>
      <w:instrText xml:space="preserve"> TITLE   \* MERGEFORMAT </w:instrText>
    </w:r>
    <w:r>
      <w:fldChar w:fldCharType="separate"/>
    </w:r>
    <w:r>
      <w:t>NWP318A Monitor and operate gated spillways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71D9" w:rsidP="00C917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22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06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00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7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178E"/>
    <w:pPr>
      <w:spacing w:before="360" w:after="60"/>
      <w:outlineLvl w:val="0"/>
    </w:pPr>
    <w:rPr>
      <w:sz w:val="32"/>
    </w:rPr>
  </w:style>
  <w:style w:type="paragraph" w:styleId="Heading2">
    <w:name w:val="heading 2"/>
    <w:basedOn w:val="HeadingBase"/>
    <w:next w:val="BodyText"/>
    <w:link w:val="Heading2Char"/>
    <w:qFormat/>
    <w:rsid w:val="00C9178E"/>
    <w:pPr>
      <w:keepLines/>
      <w:spacing w:before="240" w:after="120"/>
      <w:outlineLvl w:val="1"/>
    </w:pPr>
    <w:rPr>
      <w:sz w:val="28"/>
      <w:szCs w:val="40"/>
    </w:rPr>
  </w:style>
  <w:style w:type="paragraph" w:styleId="Heading3">
    <w:name w:val="heading 3"/>
    <w:basedOn w:val="HeadingBase"/>
    <w:next w:val="BodyText"/>
    <w:link w:val="Heading3Char"/>
    <w:qFormat/>
    <w:rsid w:val="00C9178E"/>
    <w:pPr>
      <w:spacing w:before="180" w:after="120"/>
      <w:outlineLvl w:val="2"/>
    </w:pPr>
    <w:rPr>
      <w:spacing w:val="-10"/>
      <w:kern w:val="32"/>
    </w:rPr>
  </w:style>
  <w:style w:type="paragraph" w:styleId="Heading4">
    <w:name w:val="heading 4"/>
    <w:basedOn w:val="HeadingBase"/>
    <w:next w:val="BodyText"/>
    <w:link w:val="Heading4Char"/>
    <w:qFormat/>
    <w:rsid w:val="00C9178E"/>
    <w:pPr>
      <w:spacing w:before="160" w:after="120"/>
      <w:outlineLvl w:val="3"/>
    </w:pPr>
    <w:rPr>
      <w:sz w:val="22"/>
    </w:rPr>
  </w:style>
  <w:style w:type="paragraph" w:styleId="Heading5">
    <w:name w:val="heading 5"/>
    <w:basedOn w:val="HeadingBase"/>
    <w:next w:val="Normal"/>
    <w:link w:val="Heading5Char"/>
    <w:qFormat/>
    <w:rsid w:val="00C9178E"/>
    <w:pPr>
      <w:spacing w:before="80"/>
      <w:outlineLvl w:val="4"/>
    </w:pPr>
    <w:rPr>
      <w:color w:val="918585"/>
      <w:sz w:val="20"/>
    </w:rPr>
  </w:style>
  <w:style w:type="paragraph" w:styleId="Heading6">
    <w:name w:val="heading 6"/>
    <w:basedOn w:val="HeadingBase"/>
    <w:next w:val="Normal"/>
    <w:link w:val="Heading6Char"/>
    <w:qFormat/>
    <w:rsid w:val="00C9178E"/>
    <w:pPr>
      <w:spacing w:before="60"/>
      <w:outlineLvl w:val="5"/>
    </w:pPr>
    <w:rPr>
      <w:color w:val="918585"/>
      <w:sz w:val="20"/>
    </w:rPr>
  </w:style>
  <w:style w:type="paragraph" w:styleId="Heading7">
    <w:name w:val="heading 7"/>
    <w:basedOn w:val="Normal"/>
    <w:next w:val="Normal"/>
    <w:link w:val="Heading7Char"/>
    <w:qFormat/>
    <w:rsid w:val="00C9178E"/>
    <w:pPr>
      <w:ind w:left="720"/>
      <w:outlineLvl w:val="6"/>
    </w:pPr>
    <w:rPr>
      <w:i/>
    </w:rPr>
  </w:style>
  <w:style w:type="paragraph" w:styleId="Heading8">
    <w:name w:val="heading 8"/>
    <w:basedOn w:val="Normal"/>
    <w:next w:val="Normal"/>
    <w:link w:val="Heading8Char"/>
    <w:qFormat/>
    <w:rsid w:val="00C9178E"/>
    <w:pPr>
      <w:ind w:left="720"/>
      <w:outlineLvl w:val="7"/>
    </w:pPr>
    <w:rPr>
      <w:i/>
    </w:rPr>
  </w:style>
  <w:style w:type="paragraph" w:styleId="Heading9">
    <w:name w:val="heading 9"/>
    <w:basedOn w:val="Normal"/>
    <w:next w:val="Normal"/>
    <w:link w:val="Heading9Char"/>
    <w:qFormat/>
    <w:rsid w:val="00C9178E"/>
    <w:pPr>
      <w:ind w:left="720"/>
      <w:outlineLvl w:val="8"/>
    </w:pPr>
    <w:rPr>
      <w:i/>
    </w:rPr>
  </w:style>
  <w:style w:type="character" w:default="1" w:styleId="DefaultParagraphFont">
    <w:name w:val="Default Paragraph Font"/>
    <w:uiPriority w:val="1"/>
    <w:unhideWhenUsed/>
    <w:rsid w:val="00C91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78E"/>
  </w:style>
  <w:style w:type="character" w:customStyle="1" w:styleId="Heading1Char">
    <w:name w:val="Heading 1 Char"/>
    <w:basedOn w:val="DefaultParagraphFont"/>
    <w:link w:val="Heading1"/>
    <w:rsid w:val="00C9178E"/>
    <w:rPr>
      <w:rFonts w:ascii="Times New Roman" w:eastAsia="Times New Roman" w:hAnsi="Times New Roman" w:cs="Times New Roman"/>
      <w:b/>
      <w:sz w:val="32"/>
      <w:szCs w:val="20"/>
      <w:lang w:eastAsia="en-US"/>
    </w:rPr>
  </w:style>
  <w:style w:type="paragraph" w:styleId="BodyText">
    <w:name w:val="Body Text"/>
    <w:basedOn w:val="Normal"/>
    <w:link w:val="BodyTextChar"/>
    <w:rsid w:val="00C91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78E"/>
    <w:rPr>
      <w:rFonts w:ascii="Times New Roman" w:eastAsia="Times New Roman" w:hAnsi="Times New Roman" w:cs="Times New Roman"/>
      <w:sz w:val="24"/>
      <w:lang w:val="en-US" w:eastAsia="en-US"/>
    </w:rPr>
  </w:style>
  <w:style w:type="paragraph" w:styleId="Footer">
    <w:name w:val="footer"/>
    <w:basedOn w:val="Normal"/>
    <w:link w:val="FooterChar"/>
    <w:rsid w:val="00C91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78E"/>
    <w:rPr>
      <w:rFonts w:ascii="Times New Roman" w:eastAsia="Times New Roman" w:hAnsi="Times New Roman" w:cs="Times New Roman"/>
      <w:sz w:val="16"/>
      <w:lang w:val="en-US" w:eastAsia="en-US"/>
    </w:rPr>
  </w:style>
  <w:style w:type="paragraph" w:styleId="List">
    <w:name w:val="List"/>
    <w:basedOn w:val="BodyText"/>
    <w:next w:val="BodyText"/>
    <w:rsid w:val="00C9178E"/>
    <w:pPr>
      <w:tabs>
        <w:tab w:val="left" w:pos="340"/>
      </w:tabs>
      <w:spacing w:before="60" w:after="60"/>
      <w:ind w:left="340" w:hanging="340"/>
    </w:pPr>
  </w:style>
  <w:style w:type="paragraph" w:styleId="ListBullet">
    <w:name w:val="List Bullet"/>
    <w:basedOn w:val="List"/>
    <w:rsid w:val="00C9178E"/>
    <w:pPr>
      <w:numPr>
        <w:numId w:val="13"/>
      </w:numPr>
      <w:tabs>
        <w:tab w:val="clear" w:pos="340"/>
      </w:tabs>
      <w:spacing w:before="40" w:after="40"/>
    </w:pPr>
  </w:style>
  <w:style w:type="character" w:customStyle="1" w:styleId="SpecialBold">
    <w:name w:val="Special Bold"/>
    <w:basedOn w:val="DefaultParagraphFont"/>
    <w:rsid w:val="00C9178E"/>
    <w:rPr>
      <w:b/>
      <w:spacing w:val="0"/>
    </w:rPr>
  </w:style>
  <w:style w:type="paragraph" w:styleId="ListBullet2">
    <w:name w:val="List Bullet 2"/>
    <w:basedOn w:val="List2"/>
    <w:rsid w:val="00C9178E"/>
    <w:pPr>
      <w:numPr>
        <w:numId w:val="14"/>
      </w:numPr>
      <w:tabs>
        <w:tab w:val="clear" w:pos="680"/>
      </w:tabs>
    </w:pPr>
  </w:style>
  <w:style w:type="paragraph" w:styleId="Header">
    <w:name w:val="header"/>
    <w:basedOn w:val="Normal"/>
    <w:link w:val="HeaderChar"/>
    <w:rsid w:val="00C91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7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178E"/>
    <w:pPr>
      <w:spacing w:before="240" w:after="120"/>
      <w:outlineLvl w:val="0"/>
    </w:pPr>
    <w:rPr>
      <w:rFonts w:ascii="Times New Roman" w:hAnsi="Times New Roman"/>
      <w:b/>
      <w:sz w:val="28"/>
    </w:rPr>
  </w:style>
  <w:style w:type="paragraph" w:customStyle="1" w:styleId="AllowPageBreak">
    <w:name w:val="AllowPageBreak"/>
    <w:rsid w:val="00C91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178E"/>
    <w:rPr>
      <w:b/>
      <w:i/>
      <w:u w:val="none"/>
    </w:rPr>
  </w:style>
  <w:style w:type="character" w:customStyle="1" w:styleId="Heading2Char">
    <w:name w:val="Heading 2 Char"/>
    <w:basedOn w:val="DefaultParagraphFont"/>
    <w:link w:val="Heading2"/>
    <w:rsid w:val="00C91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7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17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178E"/>
    <w:rPr>
      <w:rFonts w:ascii="Courier New" w:eastAsia="Times New Roman" w:hAnsi="Courier New" w:cs="Times New Roman"/>
      <w:i/>
      <w:szCs w:val="20"/>
      <w:lang w:val="en-US" w:eastAsia="en-US"/>
    </w:rPr>
  </w:style>
  <w:style w:type="paragraph" w:customStyle="1" w:styleId="HeadingBase">
    <w:name w:val="Heading Base"/>
    <w:rsid w:val="00C91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78E"/>
    <w:pPr>
      <w:tabs>
        <w:tab w:val="right" w:leader="dot" w:pos="9072"/>
      </w:tabs>
      <w:ind w:left="567"/>
    </w:pPr>
    <w:rPr>
      <w:szCs w:val="22"/>
    </w:rPr>
  </w:style>
  <w:style w:type="paragraph" w:customStyle="1" w:styleId="TOCBase">
    <w:name w:val="TOC Base"/>
    <w:rsid w:val="00C91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78E"/>
    <w:pPr>
      <w:tabs>
        <w:tab w:val="right" w:leader="dot" w:pos="9072"/>
      </w:tabs>
      <w:spacing w:before="40" w:after="40"/>
      <w:ind w:left="284"/>
    </w:pPr>
    <w:rPr>
      <w:rFonts w:ascii="Times New Roman" w:hAnsi="Times New Roman"/>
    </w:rPr>
  </w:style>
  <w:style w:type="paragraph" w:styleId="TOC1">
    <w:name w:val="toc 1"/>
    <w:basedOn w:val="TOCBase"/>
    <w:next w:val="Normal"/>
    <w:rsid w:val="00C917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78E"/>
    <w:pPr>
      <w:spacing w:before="5040"/>
      <w:jc w:val="center"/>
    </w:pPr>
    <w:rPr>
      <w:sz w:val="48"/>
      <w:szCs w:val="72"/>
      <w:lang w:val="en-US"/>
    </w:rPr>
  </w:style>
  <w:style w:type="character" w:customStyle="1" w:styleId="TitleChar">
    <w:name w:val="Title Char"/>
    <w:basedOn w:val="DefaultParagraphFont"/>
    <w:link w:val="Title"/>
    <w:rsid w:val="00C91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78E"/>
    <w:pPr>
      <w:tabs>
        <w:tab w:val="left" w:pos="3600"/>
        <w:tab w:val="left" w:pos="3958"/>
      </w:tabs>
    </w:pPr>
  </w:style>
  <w:style w:type="paragraph" w:customStyle="1" w:styleId="Note">
    <w:name w:val="Note"/>
    <w:basedOn w:val="BodyText"/>
    <w:rsid w:val="00C91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78E"/>
    <w:pPr>
      <w:framePr w:wrap="auto" w:hAnchor="text" w:y="6049"/>
    </w:pPr>
    <w:rPr>
      <w:color w:val="000000"/>
      <w:sz w:val="40"/>
    </w:rPr>
  </w:style>
  <w:style w:type="paragraph" w:customStyle="1" w:styleId="TOCTitle">
    <w:name w:val="TOCTitle"/>
    <w:basedOn w:val="Heading1"/>
    <w:rsid w:val="00C9178E"/>
    <w:pPr>
      <w:spacing w:after="240"/>
      <w:jc w:val="center"/>
      <w:outlineLvl w:val="9"/>
    </w:pPr>
    <w:rPr>
      <w:caps/>
    </w:rPr>
  </w:style>
  <w:style w:type="paragraph" w:customStyle="1" w:styleId="Version">
    <w:name w:val="Version"/>
    <w:rsid w:val="00C91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78E"/>
    <w:pPr>
      <w:keepNext w:val="0"/>
      <w:tabs>
        <w:tab w:val="right" w:pos="4176"/>
      </w:tabs>
      <w:ind w:left="198" w:hanging="198"/>
    </w:pPr>
    <w:rPr>
      <w:rFonts w:ascii="Garamond" w:hAnsi="Garamond"/>
    </w:rPr>
  </w:style>
  <w:style w:type="paragraph" w:styleId="IndexHeading">
    <w:name w:val="index heading"/>
    <w:basedOn w:val="Normal"/>
    <w:next w:val="Index1"/>
    <w:semiHidden/>
    <w:rsid w:val="00C9178E"/>
    <w:pPr>
      <w:spacing w:before="120" w:after="120"/>
    </w:pPr>
    <w:rPr>
      <w:rFonts w:ascii="Arial" w:hAnsi="Arial"/>
      <w:b/>
      <w:color w:val="918585"/>
      <w:sz w:val="24"/>
    </w:rPr>
  </w:style>
  <w:style w:type="paragraph" w:customStyle="1" w:styleId="Chapter">
    <w:name w:val="Chapter"/>
    <w:basedOn w:val="Normal"/>
    <w:rsid w:val="00C9178E"/>
    <w:pPr>
      <w:spacing w:before="240"/>
    </w:pPr>
    <w:rPr>
      <w:rFonts w:ascii="Times New Roman" w:hAnsi="Times New Roman"/>
      <w:smallCaps/>
      <w:spacing w:val="80"/>
      <w:sz w:val="28"/>
    </w:rPr>
  </w:style>
  <w:style w:type="paragraph" w:customStyle="1" w:styleId="InChapter">
    <w:name w:val="InChapter"/>
    <w:basedOn w:val="Heading3"/>
    <w:rsid w:val="00C9178E"/>
    <w:pPr>
      <w:spacing w:after="240"/>
      <w:outlineLvl w:val="9"/>
    </w:pPr>
    <w:rPr>
      <w:noProof/>
    </w:rPr>
  </w:style>
  <w:style w:type="paragraph" w:styleId="Index2">
    <w:name w:val="index 2"/>
    <w:basedOn w:val="Normal"/>
    <w:next w:val="Normal"/>
    <w:semiHidden/>
    <w:rsid w:val="00C9178E"/>
    <w:pPr>
      <w:tabs>
        <w:tab w:val="right" w:pos="4176"/>
      </w:tabs>
      <w:ind w:left="568" w:hanging="284"/>
    </w:pPr>
    <w:rPr>
      <w:rFonts w:ascii="Garamond" w:hAnsi="Garamond"/>
    </w:rPr>
  </w:style>
  <w:style w:type="paragraph" w:customStyle="1" w:styleId="Byline">
    <w:name w:val="Byline"/>
    <w:rsid w:val="00C91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78E"/>
    <w:pPr>
      <w:tabs>
        <w:tab w:val="clear" w:pos="3600"/>
        <w:tab w:val="clear" w:pos="3958"/>
      </w:tabs>
      <w:jc w:val="right"/>
    </w:pPr>
  </w:style>
  <w:style w:type="character" w:styleId="Emphasis">
    <w:name w:val="Emphasis"/>
    <w:basedOn w:val="DefaultParagraphFont"/>
    <w:qFormat/>
    <w:rsid w:val="00C9178E"/>
    <w:rPr>
      <w:i/>
    </w:rPr>
  </w:style>
  <w:style w:type="paragraph" w:styleId="Caption">
    <w:name w:val="caption"/>
    <w:basedOn w:val="BodyText"/>
    <w:next w:val="Normal"/>
    <w:qFormat/>
    <w:rsid w:val="00C9178E"/>
    <w:pPr>
      <w:framePr w:w="2268" w:hSpace="181" w:vSpace="181" w:wrap="around" w:vAnchor="text" w:hAnchor="page" w:x="1135" w:y="285" w:anchorLock="1"/>
    </w:pPr>
    <w:rPr>
      <w:i/>
    </w:rPr>
  </w:style>
  <w:style w:type="paragraph" w:customStyle="1" w:styleId="MiniTOCTitle">
    <w:name w:val="MiniTOCTitle"/>
    <w:basedOn w:val="Heading4"/>
    <w:rsid w:val="00C9178E"/>
    <w:pPr>
      <w:spacing w:before="240"/>
      <w:outlineLvl w:val="9"/>
    </w:pPr>
    <w:rPr>
      <w:noProof/>
      <w:sz w:val="24"/>
    </w:rPr>
  </w:style>
  <w:style w:type="paragraph" w:customStyle="1" w:styleId="MiniTOCItem">
    <w:name w:val="MiniTOCItem"/>
    <w:basedOn w:val="ListBullet"/>
    <w:rsid w:val="00C9178E"/>
    <w:pPr>
      <w:numPr>
        <w:numId w:val="0"/>
      </w:numPr>
      <w:tabs>
        <w:tab w:val="right" w:leader="dot" w:pos="6521"/>
      </w:tabs>
      <w:spacing w:before="0" w:after="0"/>
    </w:pPr>
  </w:style>
  <w:style w:type="paragraph" w:customStyle="1" w:styleId="TOFTitle">
    <w:name w:val="TOFTitle"/>
    <w:basedOn w:val="TOCTitle"/>
    <w:rsid w:val="00C9178E"/>
  </w:style>
  <w:style w:type="paragraph" w:styleId="TableofFigures">
    <w:name w:val="table of figures"/>
    <w:basedOn w:val="Normal"/>
    <w:next w:val="Normal"/>
    <w:semiHidden/>
    <w:rsid w:val="00C9178E"/>
    <w:pPr>
      <w:tabs>
        <w:tab w:val="right" w:leader="dot" w:pos="9072"/>
      </w:tabs>
      <w:ind w:left="970" w:hanging="403"/>
    </w:pPr>
    <w:rPr>
      <w:rFonts w:ascii="Times New Roman" w:hAnsi="Times New Roman"/>
      <w:b/>
    </w:rPr>
  </w:style>
  <w:style w:type="paragraph" w:styleId="ListNumber">
    <w:name w:val="List Number"/>
    <w:basedOn w:val="List"/>
    <w:rsid w:val="00C9178E"/>
    <w:pPr>
      <w:numPr>
        <w:numId w:val="11"/>
      </w:numPr>
    </w:pPr>
  </w:style>
  <w:style w:type="character" w:customStyle="1" w:styleId="WingdingSymbols">
    <w:name w:val="Wingding Symbols"/>
    <w:rsid w:val="00C9178E"/>
    <w:rPr>
      <w:rFonts w:ascii="Wingdings" w:hAnsi="Wingdings"/>
    </w:rPr>
  </w:style>
  <w:style w:type="paragraph" w:customStyle="1" w:styleId="TableHeading">
    <w:name w:val="Table Heading"/>
    <w:basedOn w:val="HeadingBase"/>
    <w:rsid w:val="00C9178E"/>
    <w:pPr>
      <w:keepLines/>
      <w:pBdr>
        <w:bottom w:val="single" w:sz="6" w:space="1" w:color="918585"/>
      </w:pBdr>
      <w:spacing w:before="240"/>
    </w:pPr>
  </w:style>
  <w:style w:type="character" w:customStyle="1" w:styleId="HotSpot">
    <w:name w:val="HotSpot"/>
    <w:rsid w:val="00C9178E"/>
    <w:rPr>
      <w:color w:val="0033CC"/>
      <w:u w:val="none"/>
    </w:rPr>
  </w:style>
  <w:style w:type="paragraph" w:customStyle="1" w:styleId="BodyTextRight">
    <w:name w:val="Body Text Right"/>
    <w:basedOn w:val="BodyText"/>
    <w:rsid w:val="00C9178E"/>
    <w:pPr>
      <w:spacing w:before="0" w:after="0"/>
      <w:jc w:val="right"/>
    </w:pPr>
  </w:style>
  <w:style w:type="paragraph" w:styleId="Index3">
    <w:name w:val="index 3"/>
    <w:basedOn w:val="ListNumber2"/>
    <w:next w:val="Normal"/>
    <w:semiHidden/>
    <w:rsid w:val="00C9178E"/>
    <w:pPr>
      <w:numPr>
        <w:numId w:val="0"/>
      </w:numPr>
      <w:tabs>
        <w:tab w:val="right" w:leader="dot" w:pos="4176"/>
      </w:tabs>
    </w:pPr>
  </w:style>
  <w:style w:type="paragraph" w:styleId="ListNumber2">
    <w:name w:val="List Number 2"/>
    <w:basedOn w:val="List2"/>
    <w:rsid w:val="00C9178E"/>
    <w:pPr>
      <w:numPr>
        <w:numId w:val="10"/>
      </w:numPr>
      <w:tabs>
        <w:tab w:val="clear" w:pos="1060"/>
      </w:tabs>
    </w:pPr>
  </w:style>
  <w:style w:type="paragraph" w:customStyle="1" w:styleId="MarginNote">
    <w:name w:val="Margin Note"/>
    <w:basedOn w:val="BodyText"/>
    <w:rsid w:val="00C91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7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178E"/>
    <w:rPr>
      <w:sz w:val="32"/>
    </w:rPr>
  </w:style>
  <w:style w:type="paragraph" w:customStyle="1" w:styleId="HeadingProcedure">
    <w:name w:val="Heading Procedure"/>
    <w:basedOn w:val="HeadingBase"/>
    <w:next w:val="Normal"/>
    <w:rsid w:val="00C9178E"/>
    <w:pPr>
      <w:tabs>
        <w:tab w:val="left" w:pos="0"/>
      </w:tabs>
      <w:spacing w:before="120" w:after="60"/>
    </w:pPr>
    <w:rPr>
      <w:i/>
      <w:color w:val="918585"/>
      <w:sz w:val="22"/>
    </w:rPr>
  </w:style>
  <w:style w:type="paragraph" w:customStyle="1" w:styleId="TableBodyText">
    <w:name w:val="Table Body Text"/>
    <w:basedOn w:val="BodyText"/>
    <w:rsid w:val="00C9178E"/>
    <w:pPr>
      <w:spacing w:before="60" w:after="60"/>
    </w:pPr>
  </w:style>
  <w:style w:type="paragraph" w:styleId="ListContinue">
    <w:name w:val="List Continue"/>
    <w:basedOn w:val="List"/>
    <w:rsid w:val="00C9178E"/>
    <w:pPr>
      <w:ind w:firstLine="0"/>
    </w:pPr>
  </w:style>
  <w:style w:type="paragraph" w:customStyle="1" w:styleId="ListNote">
    <w:name w:val="List Note"/>
    <w:basedOn w:val="List"/>
    <w:rsid w:val="00C9178E"/>
    <w:pPr>
      <w:pBdr>
        <w:top w:val="single" w:sz="6" w:space="2" w:color="918585"/>
        <w:bottom w:val="single" w:sz="6" w:space="2" w:color="918585"/>
      </w:pBdr>
      <w:tabs>
        <w:tab w:val="left" w:pos="1021"/>
      </w:tabs>
      <w:ind w:firstLine="0"/>
    </w:pPr>
  </w:style>
  <w:style w:type="paragraph" w:customStyle="1" w:styleId="Warning">
    <w:name w:val="Warning"/>
    <w:basedOn w:val="BodyText"/>
    <w:rsid w:val="00C9178E"/>
    <w:pPr>
      <w:shd w:val="clear" w:color="auto" w:fill="D9D9D9"/>
      <w:tabs>
        <w:tab w:val="left" w:pos="992"/>
      </w:tabs>
      <w:ind w:left="119" w:right="119"/>
    </w:pPr>
    <w:rPr>
      <w:sz w:val="20"/>
    </w:rPr>
  </w:style>
  <w:style w:type="paragraph" w:customStyle="1" w:styleId="MarginIcons">
    <w:name w:val="Margin Icons"/>
    <w:basedOn w:val="BodyText"/>
    <w:rsid w:val="00C91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78E"/>
    <w:rPr>
      <w:rFonts w:ascii="Courier New" w:hAnsi="Courier New"/>
    </w:rPr>
  </w:style>
  <w:style w:type="paragraph" w:customStyle="1" w:styleId="NoteBullet">
    <w:name w:val="Note Bullet"/>
    <w:basedOn w:val="Note"/>
    <w:rsid w:val="00C9178E"/>
    <w:pPr>
      <w:tabs>
        <w:tab w:val="clear" w:pos="680"/>
      </w:tabs>
      <w:spacing w:before="60" w:after="60"/>
    </w:pPr>
  </w:style>
  <w:style w:type="paragraph" w:customStyle="1" w:styleId="SubHeading2">
    <w:name w:val="SubHeading2"/>
    <w:basedOn w:val="HeadingBase"/>
    <w:rsid w:val="00C9178E"/>
    <w:pPr>
      <w:spacing w:before="240" w:after="60"/>
    </w:pPr>
    <w:rPr>
      <w:sz w:val="20"/>
    </w:rPr>
  </w:style>
  <w:style w:type="paragraph" w:customStyle="1" w:styleId="SubHeading1">
    <w:name w:val="SubHeading1"/>
    <w:basedOn w:val="HeadingBase"/>
    <w:rsid w:val="00C9178E"/>
    <w:pPr>
      <w:spacing w:before="240" w:after="60"/>
    </w:pPr>
    <w:rPr>
      <w:color w:val="918585"/>
      <w:sz w:val="22"/>
    </w:rPr>
  </w:style>
  <w:style w:type="paragraph" w:customStyle="1" w:styleId="SideHeading">
    <w:name w:val="Side Heading"/>
    <w:basedOn w:val="HeadingBase"/>
    <w:rsid w:val="00C91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78E"/>
    <w:pPr>
      <w:numPr>
        <w:numId w:val="12"/>
      </w:numPr>
    </w:pPr>
  </w:style>
  <w:style w:type="paragraph" w:styleId="PlainText">
    <w:name w:val="Plain Text"/>
    <w:basedOn w:val="Normal"/>
    <w:link w:val="PlainTextChar"/>
    <w:rsid w:val="00C9178E"/>
    <w:rPr>
      <w:sz w:val="20"/>
    </w:rPr>
  </w:style>
  <w:style w:type="character" w:customStyle="1" w:styleId="PlainTextChar">
    <w:name w:val="Plain Text Char"/>
    <w:basedOn w:val="DefaultParagraphFont"/>
    <w:link w:val="PlainText"/>
    <w:rsid w:val="00C917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178E"/>
    <w:rPr>
      <w:b/>
      <w:smallCaps/>
    </w:rPr>
  </w:style>
  <w:style w:type="paragraph" w:customStyle="1" w:styleId="TableListNumber">
    <w:name w:val="Table List Number"/>
    <w:basedOn w:val="ListNumber"/>
    <w:rsid w:val="00C9178E"/>
    <w:pPr>
      <w:numPr>
        <w:numId w:val="0"/>
      </w:numPr>
    </w:pPr>
  </w:style>
  <w:style w:type="paragraph" w:styleId="TOC4">
    <w:name w:val="toc 4"/>
    <w:basedOn w:val="TOCBase"/>
    <w:next w:val="Normal"/>
    <w:semiHidden/>
    <w:rsid w:val="00C9178E"/>
    <w:pPr>
      <w:tabs>
        <w:tab w:val="right" w:leader="dot" w:pos="9071"/>
      </w:tabs>
      <w:ind w:left="1701"/>
    </w:pPr>
  </w:style>
  <w:style w:type="paragraph" w:customStyle="1" w:styleId="ListAlpha">
    <w:name w:val="List Alpha"/>
    <w:basedOn w:val="List"/>
    <w:rsid w:val="00C9178E"/>
    <w:pPr>
      <w:numPr>
        <w:numId w:val="9"/>
      </w:numPr>
    </w:pPr>
  </w:style>
  <w:style w:type="paragraph" w:customStyle="1" w:styleId="ListAlpha2">
    <w:name w:val="List Alpha 2"/>
    <w:basedOn w:val="List2"/>
    <w:rsid w:val="00C9178E"/>
    <w:pPr>
      <w:numPr>
        <w:numId w:val="8"/>
      </w:numPr>
    </w:pPr>
  </w:style>
  <w:style w:type="paragraph" w:styleId="List2">
    <w:name w:val="List 2"/>
    <w:basedOn w:val="BodyText"/>
    <w:rsid w:val="00C9178E"/>
    <w:pPr>
      <w:tabs>
        <w:tab w:val="left" w:pos="680"/>
      </w:tabs>
      <w:spacing w:before="60" w:after="60"/>
      <w:ind w:left="680" w:hanging="340"/>
    </w:pPr>
  </w:style>
  <w:style w:type="paragraph" w:styleId="List3">
    <w:name w:val="List 3"/>
    <w:basedOn w:val="BodyText"/>
    <w:rsid w:val="00C9178E"/>
    <w:pPr>
      <w:tabs>
        <w:tab w:val="left" w:pos="1021"/>
      </w:tabs>
      <w:spacing w:before="60" w:after="60"/>
      <w:ind w:left="1020" w:hanging="340"/>
    </w:pPr>
  </w:style>
  <w:style w:type="paragraph" w:styleId="List4">
    <w:name w:val="List 4"/>
    <w:basedOn w:val="BodyText"/>
    <w:rsid w:val="00C9178E"/>
    <w:pPr>
      <w:tabs>
        <w:tab w:val="left" w:pos="1361"/>
      </w:tabs>
      <w:spacing w:before="60" w:after="60"/>
      <w:ind w:left="1361" w:hanging="340"/>
    </w:pPr>
  </w:style>
  <w:style w:type="paragraph" w:styleId="List5">
    <w:name w:val="List 5"/>
    <w:basedOn w:val="BodyText"/>
    <w:rsid w:val="00C9178E"/>
    <w:pPr>
      <w:tabs>
        <w:tab w:val="left" w:pos="1701"/>
      </w:tabs>
      <w:spacing w:before="60" w:after="60"/>
      <w:ind w:left="1701" w:hanging="340"/>
    </w:pPr>
  </w:style>
  <w:style w:type="paragraph" w:styleId="ListBullet3">
    <w:name w:val="List Bullet 3"/>
    <w:basedOn w:val="List3"/>
    <w:rsid w:val="00C9178E"/>
    <w:pPr>
      <w:numPr>
        <w:numId w:val="15"/>
      </w:numPr>
      <w:tabs>
        <w:tab w:val="clear" w:pos="1021"/>
      </w:tabs>
      <w:ind w:left="1037" w:hanging="357"/>
    </w:pPr>
  </w:style>
  <w:style w:type="paragraph" w:styleId="ListBullet4">
    <w:name w:val="List Bullet 4"/>
    <w:basedOn w:val="List4"/>
    <w:rsid w:val="00C9178E"/>
    <w:pPr>
      <w:numPr>
        <w:numId w:val="3"/>
      </w:numPr>
    </w:pPr>
  </w:style>
  <w:style w:type="paragraph" w:styleId="ListBullet5">
    <w:name w:val="List Bullet 5"/>
    <w:basedOn w:val="List5"/>
    <w:rsid w:val="00C9178E"/>
    <w:pPr>
      <w:numPr>
        <w:numId w:val="4"/>
      </w:numPr>
    </w:pPr>
  </w:style>
  <w:style w:type="paragraph" w:styleId="ListContinue2">
    <w:name w:val="List Continue 2"/>
    <w:basedOn w:val="List2"/>
    <w:rsid w:val="00C9178E"/>
    <w:pPr>
      <w:ind w:firstLine="0"/>
    </w:pPr>
  </w:style>
  <w:style w:type="paragraph" w:styleId="ListContinue3">
    <w:name w:val="List Continue 3"/>
    <w:basedOn w:val="List3"/>
    <w:rsid w:val="00C9178E"/>
    <w:pPr>
      <w:ind w:left="1021" w:firstLine="0"/>
    </w:pPr>
  </w:style>
  <w:style w:type="paragraph" w:styleId="ListContinue4">
    <w:name w:val="List Continue 4"/>
    <w:basedOn w:val="List4"/>
    <w:rsid w:val="00C9178E"/>
    <w:pPr>
      <w:ind w:firstLine="0"/>
    </w:pPr>
  </w:style>
  <w:style w:type="paragraph" w:styleId="ListContinue5">
    <w:name w:val="List Continue 5"/>
    <w:basedOn w:val="List5"/>
    <w:rsid w:val="00C9178E"/>
    <w:pPr>
      <w:ind w:firstLine="0"/>
    </w:pPr>
  </w:style>
  <w:style w:type="paragraph" w:styleId="ListNumber3">
    <w:name w:val="List Number 3"/>
    <w:basedOn w:val="List3"/>
    <w:rsid w:val="00C9178E"/>
    <w:pPr>
      <w:numPr>
        <w:numId w:val="5"/>
      </w:numPr>
    </w:pPr>
  </w:style>
  <w:style w:type="paragraph" w:styleId="ListNumber4">
    <w:name w:val="List Number 4"/>
    <w:basedOn w:val="List4"/>
    <w:rsid w:val="00C9178E"/>
    <w:pPr>
      <w:numPr>
        <w:numId w:val="6"/>
      </w:numPr>
    </w:pPr>
  </w:style>
  <w:style w:type="paragraph" w:styleId="ListNumber5">
    <w:name w:val="List Number 5"/>
    <w:basedOn w:val="List5"/>
    <w:rsid w:val="00C9178E"/>
    <w:pPr>
      <w:numPr>
        <w:numId w:val="7"/>
      </w:numPr>
    </w:pPr>
  </w:style>
  <w:style w:type="paragraph" w:styleId="BlockText">
    <w:name w:val="Block Text"/>
    <w:basedOn w:val="Normal"/>
    <w:rsid w:val="00C9178E"/>
    <w:pPr>
      <w:spacing w:after="120"/>
      <w:ind w:left="1440" w:right="1440"/>
    </w:pPr>
  </w:style>
  <w:style w:type="character" w:customStyle="1" w:styleId="Subscript">
    <w:name w:val="Subscript"/>
    <w:basedOn w:val="DefaultParagraphFont"/>
    <w:rsid w:val="00C9178E"/>
    <w:rPr>
      <w:sz w:val="16"/>
      <w:vertAlign w:val="subscript"/>
    </w:rPr>
  </w:style>
  <w:style w:type="character" w:customStyle="1" w:styleId="Superscript">
    <w:name w:val="Superscript"/>
    <w:basedOn w:val="DefaultParagraphFont"/>
    <w:rsid w:val="00C9178E"/>
    <w:rPr>
      <w:sz w:val="16"/>
      <w:vertAlign w:val="superscript"/>
    </w:rPr>
  </w:style>
  <w:style w:type="character" w:customStyle="1" w:styleId="Symbols">
    <w:name w:val="Symbols"/>
    <w:basedOn w:val="DefaultParagraphFont"/>
    <w:rsid w:val="00C9178E"/>
    <w:rPr>
      <w:rFonts w:ascii="Symbol" w:hAnsi="Symbol"/>
    </w:rPr>
  </w:style>
  <w:style w:type="character" w:customStyle="1" w:styleId="MenuOptions">
    <w:name w:val="Menu Options"/>
    <w:basedOn w:val="DefaultParagraphFont"/>
    <w:rsid w:val="00C9178E"/>
    <w:rPr>
      <w:rFonts w:ascii="Arial Narrow" w:hAnsi="Arial Narrow"/>
      <w:smallCaps/>
    </w:rPr>
  </w:style>
  <w:style w:type="character" w:customStyle="1" w:styleId="Buttons">
    <w:name w:val="Buttons"/>
    <w:basedOn w:val="DefaultParagraphFont"/>
    <w:rsid w:val="00C9178E"/>
    <w:rPr>
      <w:b/>
    </w:rPr>
  </w:style>
  <w:style w:type="character" w:customStyle="1" w:styleId="Underlined">
    <w:name w:val="Underlined"/>
    <w:basedOn w:val="DefaultParagraphFont"/>
    <w:rsid w:val="00C9178E"/>
    <w:rPr>
      <w:u w:val="single"/>
    </w:rPr>
  </w:style>
  <w:style w:type="paragraph" w:customStyle="1" w:styleId="TableBodyTextRight">
    <w:name w:val="Table Body Text Right"/>
    <w:basedOn w:val="TableBodyText"/>
    <w:rsid w:val="00C9178E"/>
    <w:pPr>
      <w:widowControl w:val="0"/>
      <w:autoSpaceDE w:val="0"/>
      <w:autoSpaceDN w:val="0"/>
      <w:adjustRightInd w:val="0"/>
      <w:jc w:val="right"/>
    </w:pPr>
    <w:rPr>
      <w:rFonts w:cs="Arial"/>
      <w:szCs w:val="18"/>
    </w:rPr>
  </w:style>
  <w:style w:type="paragraph" w:customStyle="1" w:styleId="CopyrightText">
    <w:name w:val="Copyright Text"/>
    <w:basedOn w:val="BodyText"/>
    <w:rsid w:val="00C9178E"/>
    <w:rPr>
      <w:sz w:val="18"/>
    </w:rPr>
  </w:style>
  <w:style w:type="paragraph" w:customStyle="1" w:styleId="BodySmallRight">
    <w:name w:val="Body Small Right"/>
    <w:basedOn w:val="BodyTextRight"/>
    <w:rsid w:val="00C9178E"/>
    <w:rPr>
      <w:sz w:val="18"/>
      <w:szCs w:val="18"/>
    </w:rPr>
  </w:style>
  <w:style w:type="paragraph" w:customStyle="1" w:styleId="MarginEdition">
    <w:name w:val="Margin Edition"/>
    <w:basedOn w:val="MarginNote"/>
    <w:rsid w:val="00C9178E"/>
    <w:pPr>
      <w:spacing w:before="0" w:after="0"/>
    </w:pPr>
    <w:rPr>
      <w:rFonts w:ascii="Times New Roman" w:hAnsi="Times New Roman"/>
      <w:color w:val="999999"/>
    </w:rPr>
  </w:style>
  <w:style w:type="paragraph" w:customStyle="1" w:styleId="Spacer">
    <w:name w:val="Spacer"/>
    <w:basedOn w:val="Normal"/>
    <w:rsid w:val="00C9178E"/>
    <w:rPr>
      <w:sz w:val="2"/>
      <w:szCs w:val="2"/>
    </w:rPr>
  </w:style>
  <w:style w:type="character" w:customStyle="1" w:styleId="Small">
    <w:name w:val="Small"/>
    <w:basedOn w:val="DefaultParagraphFont"/>
    <w:rsid w:val="00C9178E"/>
    <w:rPr>
      <w:sz w:val="16"/>
    </w:rPr>
  </w:style>
  <w:style w:type="paragraph" w:customStyle="1" w:styleId="WideTable">
    <w:name w:val="Wide Table"/>
    <w:basedOn w:val="Normal"/>
    <w:rsid w:val="00C9178E"/>
    <w:pPr>
      <w:ind w:left="-1418"/>
    </w:pPr>
    <w:rPr>
      <w:sz w:val="2"/>
      <w:szCs w:val="2"/>
    </w:rPr>
  </w:style>
  <w:style w:type="character" w:styleId="PageNumber">
    <w:name w:val="page number"/>
    <w:basedOn w:val="DefaultParagraphFont"/>
    <w:rsid w:val="00C9178E"/>
  </w:style>
  <w:style w:type="paragraph" w:styleId="Quote">
    <w:name w:val="Quote"/>
    <w:basedOn w:val="Heading1"/>
    <w:link w:val="QuoteChar"/>
    <w:qFormat/>
    <w:rsid w:val="00C9178E"/>
    <w:rPr>
      <w:b w:val="0"/>
      <w:sz w:val="72"/>
      <w:szCs w:val="72"/>
      <w:lang w:val="en-NZ"/>
    </w:rPr>
  </w:style>
  <w:style w:type="character" w:customStyle="1" w:styleId="QuoteChar">
    <w:name w:val="Quote Char"/>
    <w:basedOn w:val="DefaultParagraphFont"/>
    <w:link w:val="Quote"/>
    <w:rsid w:val="00C91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78E"/>
    <w:pPr>
      <w:pageBreakBefore/>
    </w:pPr>
  </w:style>
  <w:style w:type="paragraph" w:customStyle="1" w:styleId="Border">
    <w:name w:val="Border"/>
    <w:basedOn w:val="Normal"/>
    <w:qFormat/>
    <w:rsid w:val="00C91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78E"/>
    <w:rPr>
      <w:b/>
      <w:bCs/>
      <w:i/>
      <w:iCs/>
      <w:color w:val="auto"/>
    </w:rPr>
  </w:style>
  <w:style w:type="paragraph" w:styleId="IntenseQuote">
    <w:name w:val="Intense Quote"/>
    <w:basedOn w:val="Normal"/>
    <w:next w:val="Normal"/>
    <w:link w:val="IntenseQuoteChar"/>
    <w:uiPriority w:val="30"/>
    <w:qFormat/>
    <w:rsid w:val="00C91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7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178E"/>
    <w:rPr>
      <w:smallCaps/>
      <w:color w:val="auto"/>
      <w:u w:val="single"/>
    </w:rPr>
  </w:style>
  <w:style w:type="character" w:styleId="IntenseReference">
    <w:name w:val="Intense Reference"/>
    <w:basedOn w:val="DefaultParagraphFont"/>
    <w:uiPriority w:val="32"/>
    <w:qFormat/>
    <w:rsid w:val="00C9178E"/>
    <w:rPr>
      <w:b/>
      <w:bCs/>
      <w:smallCaps/>
      <w:color w:val="auto"/>
      <w:spacing w:val="5"/>
      <w:u w:val="single"/>
    </w:rPr>
  </w:style>
  <w:style w:type="paragraph" w:customStyle="1" w:styleId="2ColumnHeading">
    <w:name w:val="2Column Heading"/>
    <w:basedOn w:val="BodyText"/>
    <w:qFormat/>
    <w:rsid w:val="00C9178E"/>
    <w:pPr>
      <w:spacing w:after="60"/>
      <w:ind w:left="-2268"/>
    </w:pPr>
    <w:rPr>
      <w:b/>
    </w:rPr>
  </w:style>
  <w:style w:type="paragraph" w:customStyle="1" w:styleId="Heading1TOC">
    <w:name w:val="Heading1 TOC"/>
    <w:basedOn w:val="Normal"/>
    <w:qFormat/>
    <w:rsid w:val="00C9178E"/>
    <w:pPr>
      <w:spacing w:before="240" w:after="120"/>
    </w:pPr>
    <w:rPr>
      <w:rFonts w:ascii="Times New Roman" w:hAnsi="Times New Roman"/>
      <w:b/>
      <w:sz w:val="32"/>
    </w:rPr>
  </w:style>
  <w:style w:type="paragraph" w:customStyle="1" w:styleId="Heading2TOC">
    <w:name w:val="Heading2 TOC"/>
    <w:basedOn w:val="Normal"/>
    <w:qFormat/>
    <w:rsid w:val="00C9178E"/>
    <w:pPr>
      <w:spacing w:before="240" w:after="60"/>
    </w:pPr>
    <w:rPr>
      <w:rFonts w:ascii="Times New Roman" w:hAnsi="Times New Roman"/>
      <w:b/>
      <w:sz w:val="28"/>
    </w:rPr>
  </w:style>
  <w:style w:type="character" w:customStyle="1" w:styleId="Underline">
    <w:name w:val="Underline"/>
    <w:basedOn w:val="DefaultParagraphFont"/>
    <w:qFormat/>
    <w:rsid w:val="00C9178E"/>
    <w:rPr>
      <w:u w:val="single"/>
    </w:rPr>
  </w:style>
  <w:style w:type="paragraph" w:styleId="BalloonText">
    <w:name w:val="Balloon Text"/>
    <w:basedOn w:val="Normal"/>
    <w:link w:val="BalloonTextChar"/>
    <w:rsid w:val="00C9178E"/>
    <w:rPr>
      <w:rFonts w:ascii="Tahoma" w:hAnsi="Tahoma" w:cs="Tahoma"/>
      <w:sz w:val="16"/>
      <w:szCs w:val="16"/>
    </w:rPr>
  </w:style>
  <w:style w:type="character" w:customStyle="1" w:styleId="BalloonTextChar">
    <w:name w:val="Balloon Text Char"/>
    <w:basedOn w:val="DefaultParagraphFont"/>
    <w:link w:val="BalloonText"/>
    <w:rsid w:val="00C917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1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7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7344</Characters>
  <Application>Microsoft Office Word</Application>
  <DocSecurity>0</DocSecurity>
  <Lines>241</Lines>
  <Paragraphs>150</Paragraphs>
  <ScaleCrop>false</ScaleCrop>
  <Company>Author-it Software Corporation Ltd.</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NWP318A Monitor and operate gated spillways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2012-05-27T09:35:00Z</dcterms:created>
  <dcterms:modified xsi:type="dcterms:W3CDTF">2012-05-27T09:35:00Z</dcterms:modified>
</cp:coreProperties>
</file>