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6C61" w:rsidP="009F6C61">
      <w:pPr>
        <w:pStyle w:val="Title"/>
      </w:pPr>
      <w:r>
        <w:fldChar w:fldCharType="begin"/>
      </w:r>
      <w:r>
        <w:instrText xml:space="preserve"> TITLE   \* MERGEFORMAT </w:instrText>
      </w:r>
      <w:r>
        <w:fldChar w:fldCharType="separate"/>
      </w:r>
      <w:r>
        <w:t>NWP234B Locate, identify and protect utility services</w:t>
      </w:r>
      <w:r>
        <w:fldChar w:fldCharType="end"/>
      </w:r>
    </w:p>
    <w:p w:rsidR="009F6C61" w:rsidP="009F6C61">
      <w:pPr>
        <w:pStyle w:val="Version"/>
        <w:sectPr w:rsidSect="00AA2D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A2DFC" w:rsidP="00AA2DFC">
      <w:pPr>
        <w:pStyle w:val="SuperHeading"/>
      </w:pPr>
      <w:r w:rsidRPr="00AA2DFC">
        <w:t>NWP234B Locate, identify and protect utility services</w:t>
      </w:r>
    </w:p>
    <w:p w:rsidR="00000000" w:rsidRPr="00AA2DFC" w:rsidP="00AA2DFC">
      <w:pPr>
        <w:pStyle w:val="SuperHeading"/>
      </w:pPr>
    </w:p>
    <w:p w:rsidR="00000000" w:rsidRPr="00AA2DFC" w:rsidP="00AA2DFC">
      <w:pPr>
        <w:pStyle w:val="Heading1"/>
      </w:pPr>
      <w:bookmarkStart w:id="1" w:name="O_404098"/>
      <w:bookmarkEnd w:id="1"/>
      <w:r w:rsidRPr="00AA2DFC">
        <w:t>Modification History</w:t>
      </w:r>
    </w:p>
    <w:p w:rsidR="00000000" w:rsidRPr="00AA2DFC" w:rsidP="00AA2DFC">
      <w:pPr>
        <w:pStyle w:val="BodyText"/>
      </w:pPr>
      <w:r w:rsidRPr="00AA2DFC">
        <w:t>NWP234B Release 2:</w:t>
      </w:r>
      <w:r w:rsidRPr="00AA2DFC">
        <w:tab/>
        <w:t>Layout adjusted. No changes to content.</w:t>
      </w:r>
    </w:p>
    <w:p w:rsidR="00000000" w:rsidRPr="00AA2DFC" w:rsidP="00AA2DFC">
      <w:pPr>
        <w:pStyle w:val="BodyText"/>
      </w:pPr>
      <w:r w:rsidRPr="00AA2DFC">
        <w:t>NWP234B Release</w:t>
      </w:r>
      <w:r w:rsidRPr="00AA2DFC">
        <w:t xml:space="preserve"> 1:</w:t>
      </w:r>
      <w:r w:rsidRPr="00AA2DFC">
        <w:tab/>
        <w:t>Primary release.</w:t>
      </w:r>
    </w:p>
    <w:p w:rsidR="00000000" w:rsidRPr="00AA2DFC" w:rsidP="00AA2DFC">
      <w:pPr>
        <w:pStyle w:val="AllowPageBreak"/>
      </w:pPr>
    </w:p>
    <w:p w:rsidR="00000000" w:rsidRPr="00AA2DFC" w:rsidP="00AA2DFC">
      <w:pPr>
        <w:pStyle w:val="Heading1"/>
      </w:pPr>
      <w:bookmarkStart w:id="2" w:name="O_404094"/>
      <w:bookmarkEnd w:id="2"/>
      <w:r w:rsidRPr="00AA2DFC">
        <w:t>Unit Descriptor</w:t>
      </w:r>
    </w:p>
    <w:p w:rsidR="00000000" w:rsidRPr="00AA2DFC" w:rsidP="00AA2DFC">
      <w:pPr>
        <w:pStyle w:val="BodyText"/>
      </w:pPr>
      <w:r w:rsidRPr="00AA2DFC">
        <w:t>This unit of competency describes the outcomes required to work near utility services during the construction, repair or installation of utilities' infrastructure. Work activities may involve trench exc</w:t>
      </w:r>
      <w:r w:rsidRPr="00AA2DFC">
        <w:t>avation or the application of trenchless technologies for installation or repair.</w:t>
      </w:r>
    </w:p>
    <w:p w:rsidR="00000000" w:rsidRPr="00AA2DFC" w:rsidP="00AA2DFC">
      <w:pPr>
        <w:pStyle w:val="AllowPageBreak"/>
      </w:pPr>
    </w:p>
    <w:p w:rsidR="00000000" w:rsidRPr="00AA2DFC" w:rsidP="00AA2DFC">
      <w:pPr>
        <w:pStyle w:val="Heading1"/>
      </w:pPr>
      <w:bookmarkStart w:id="3" w:name="O_404106"/>
      <w:bookmarkEnd w:id="3"/>
      <w:r w:rsidRPr="00AA2DFC">
        <w:t>Application of the Unit</w:t>
      </w:r>
    </w:p>
    <w:p w:rsidR="00000000" w:rsidRPr="00AA2DFC" w:rsidP="00AA2DFC">
      <w:pPr>
        <w:pStyle w:val="BodyText"/>
      </w:pPr>
      <w:r w:rsidRPr="00AA2DFC">
        <w:t>This unit supports the attainment of skills and knowledge required for workers involved in the construction, repair or installation o</w:t>
      </w:r>
      <w:r w:rsidRPr="00AA2DFC">
        <w:t xml:space="preserve">f underground utility infrastructure. Typically workers are involved in locating, identifying and protecting existing utilities' infrastructure to prevent damage, injury, death or loss of service. </w:t>
      </w:r>
    </w:p>
    <w:p w:rsidR="00000000" w:rsidRPr="00AA2DFC" w:rsidP="00AA2DFC">
      <w:pPr>
        <w:pStyle w:val="AllowPageBreak"/>
      </w:pPr>
    </w:p>
    <w:p w:rsidR="00000000" w:rsidRPr="00AA2DFC" w:rsidP="00AA2DFC">
      <w:pPr>
        <w:pStyle w:val="Heading1"/>
      </w:pPr>
      <w:bookmarkStart w:id="4" w:name="O_404099"/>
      <w:bookmarkEnd w:id="4"/>
      <w:r w:rsidRPr="00AA2DFC">
        <w:t>Licensing/Regulatory Information</w:t>
      </w:r>
    </w:p>
    <w:p w:rsidR="00000000" w:rsidRPr="00AA2DFC" w:rsidP="00AA2DFC">
      <w:pPr>
        <w:pStyle w:val="BodyText"/>
      </w:pPr>
      <w:r w:rsidRPr="00AA2DFC">
        <w:t>Not appl</w:t>
      </w:r>
      <w:r w:rsidRPr="00AA2DFC">
        <w:t>icable.</w:t>
      </w:r>
    </w:p>
    <w:p w:rsidR="00000000" w:rsidRPr="00AA2DFC" w:rsidP="00AA2DFC">
      <w:pPr>
        <w:pStyle w:val="AllowPageBreak"/>
      </w:pPr>
    </w:p>
    <w:p w:rsidR="00000000" w:rsidRPr="00AA2DFC" w:rsidP="00AA2DFC">
      <w:pPr>
        <w:pStyle w:val="Heading1"/>
      </w:pPr>
      <w:bookmarkStart w:id="5" w:name="O_404097"/>
      <w:bookmarkEnd w:id="5"/>
      <w:r w:rsidRPr="00AA2DFC">
        <w:t>Pre-Requisites</w:t>
      </w:r>
    </w:p>
    <w:p w:rsidR="00000000" w:rsidRPr="00AA2DFC" w:rsidP="00AA2DFC">
      <w:pPr>
        <w:pStyle w:val="BodyText"/>
      </w:pPr>
      <w:r w:rsidRPr="00AA2DFC">
        <w:t>Not applicable.</w:t>
      </w:r>
    </w:p>
    <w:p w:rsidR="00000000" w:rsidRPr="00AA2DFC" w:rsidP="00AA2DFC">
      <w:pPr>
        <w:pStyle w:val="AllowPageBreak"/>
      </w:pPr>
    </w:p>
    <w:p w:rsidR="00000000" w:rsidRPr="00AA2DFC" w:rsidP="00AA2DFC">
      <w:pPr>
        <w:pStyle w:val="Heading1"/>
      </w:pPr>
      <w:bookmarkStart w:id="6" w:name="O_404102"/>
      <w:bookmarkEnd w:id="6"/>
      <w:r w:rsidRPr="00AA2DFC">
        <w:t>Employability Skills Information</w:t>
      </w:r>
    </w:p>
    <w:p w:rsidR="00000000" w:rsidRPr="00AA2DFC" w:rsidP="00AA2DFC">
      <w:pPr>
        <w:pStyle w:val="BodyText"/>
      </w:pPr>
      <w:r w:rsidRPr="00AA2DFC">
        <w:t>This unit contains employability skills.</w:t>
      </w:r>
    </w:p>
    <w:p w:rsidR="00000000" w:rsidRPr="00AA2DFC" w:rsidP="00AA2DFC">
      <w:pPr>
        <w:pStyle w:val="AllowPageBreak"/>
      </w:pPr>
    </w:p>
    <w:p w:rsidR="00000000" w:rsidRPr="00AA2DFC" w:rsidP="00AA2DFC">
      <w:pPr>
        <w:pStyle w:val="Heading1"/>
      </w:pPr>
      <w:bookmarkStart w:id="7" w:name="O_404103"/>
      <w:bookmarkEnd w:id="7"/>
      <w:r w:rsidRPr="00AA2DFC">
        <w:t>Elements and Performance Criteria Pre-Content</w:t>
      </w:r>
    </w:p>
    <w:tbl>
      <w:tblPr>
        <w:tblW w:w="0" w:type="auto"/>
        <w:tblLayout w:type="fixed"/>
        <w:tblCellMar>
          <w:left w:w="62" w:type="dxa"/>
          <w:right w:w="62" w:type="dxa"/>
        </w:tblCellMar>
        <w:tblLook w:val="0000"/>
      </w:tblPr>
      <w:tblGrid>
        <w:gridCol w:w="2268"/>
        <w:gridCol w:w="6804"/>
      </w:tblGrid>
      <w:tr w:rsidTr="009F6C6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A2DFC">
            <w:pPr>
              <w:pStyle w:val="BodyText"/>
              <w:rPr>
                <w:lang w:val="en-NZ"/>
              </w:rPr>
            </w:pPr>
            <w:r w:rsidRPr="00AA2DFC">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AA2DFC" w:rsidP="00AA2DFC">
            <w:pPr>
              <w:pStyle w:val="BodyText"/>
            </w:pPr>
            <w:r w:rsidRPr="00AA2DFC">
              <w:t xml:space="preserve">Performance criteria describe the required performance needed to demonstrate achievement of the element. Where </w:t>
            </w:r>
            <w:r w:rsidRPr="00AA2DFC">
              <w:rPr>
                <w:rStyle w:val="BoldandItalics"/>
              </w:rPr>
              <w:t>bold italicised</w:t>
            </w:r>
            <w:r w:rsidRPr="00AA2DFC">
              <w:t xml:space="preserve"> text is used, further information is detailed in the range statement. Assessment of performance is to be consistent with the evidence guide.</w:t>
            </w:r>
          </w:p>
        </w:tc>
      </w:tr>
    </w:tbl>
    <w:p w:rsidR="00000000" w:rsidRPr="00AA2DFC" w:rsidP="00AA2DFC">
      <w:pPr>
        <w:pStyle w:val="BodyText"/>
      </w:pPr>
    </w:p>
    <w:p w:rsidR="00000000" w:rsidRPr="00AA2DFC" w:rsidP="00AA2DFC">
      <w:pPr>
        <w:pStyle w:val="AllowPageBreak"/>
      </w:pPr>
    </w:p>
    <w:p w:rsidR="00000000" w:rsidRPr="00AA2DFC" w:rsidP="00AA2DFC">
      <w:pPr>
        <w:pStyle w:val="Heading1"/>
      </w:pPr>
      <w:bookmarkStart w:id="8" w:name="O_404104"/>
      <w:bookmarkEnd w:id="8"/>
      <w:r w:rsidRPr="00AA2DFC">
        <w:t>Elements and Performance Criteria</w:t>
      </w:r>
    </w:p>
    <w:tbl>
      <w:tblPr>
        <w:tblW w:w="0" w:type="auto"/>
        <w:tblLayout w:type="fixed"/>
        <w:tblCellMar>
          <w:left w:w="62" w:type="dxa"/>
          <w:right w:w="62" w:type="dxa"/>
        </w:tblCellMar>
        <w:tblLook w:val="0000"/>
      </w:tblPr>
      <w:tblGrid>
        <w:gridCol w:w="2268"/>
        <w:gridCol w:w="6804"/>
      </w:tblGrid>
      <w:tr w:rsidTr="009F6C61">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AA2DFC" w:rsidP="00AA2DFC">
            <w:pPr>
              <w:pStyle w:val="BodyText"/>
            </w:pPr>
            <w:r w:rsidRPr="00AA2DFC">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AA2DFC">
            <w:pPr>
              <w:pStyle w:val="BodyText"/>
              <w:rPr>
                <w:lang w:val="en-NZ"/>
              </w:rPr>
            </w:pPr>
            <w:r w:rsidRPr="00AA2DFC">
              <w:rPr>
                <w:rStyle w:val="SpecialBold"/>
              </w:rPr>
              <w:t>PERFORMANCE CRITERIA</w:t>
            </w:r>
          </w:p>
        </w:tc>
      </w:tr>
      <w:tr w:rsidTr="009F6C6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A2DFC">
            <w:pPr>
              <w:pStyle w:val="List"/>
              <w:rPr>
                <w:lang w:val="en-NZ"/>
              </w:rPr>
            </w:pPr>
            <w:r w:rsidRPr="00AA2DFC">
              <w:rPr>
                <w:rStyle w:val="SpecialBold"/>
              </w:rPr>
              <w:t>1</w:t>
            </w:r>
            <w:r w:rsidRPr="00AA2DFC">
              <w:tab/>
            </w:r>
            <w:r w:rsidRPr="00AA2DFC">
              <w:rPr>
                <w:rStyle w:val="SpecialBold"/>
              </w:rPr>
              <w:t>Plan and prepare to locate utility services at work site</w:t>
            </w:r>
            <w:r w:rsidRPr="00AA2DFC">
              <w:t>.</w:t>
            </w:r>
          </w:p>
        </w:tc>
        <w:tc>
          <w:tcPr>
            <w:tcW w:w="6804" w:type="dxa"/>
            <w:tcBorders>
              <w:top w:val="nil"/>
              <w:left w:val="nil"/>
              <w:bottom w:val="nil"/>
              <w:right w:val="nil"/>
            </w:tcBorders>
            <w:tcMar>
              <w:top w:w="0" w:type="dxa"/>
              <w:left w:w="62" w:type="dxa"/>
              <w:bottom w:w="0" w:type="dxa"/>
              <w:right w:w="62" w:type="dxa"/>
            </w:tcMar>
          </w:tcPr>
          <w:p w:rsidR="00000000" w:rsidRPr="00AA2DFC" w:rsidP="00AA2DFC">
            <w:pPr>
              <w:pStyle w:val="List"/>
            </w:pPr>
            <w:r w:rsidRPr="00AA2DFC">
              <w:t>1.1</w:t>
            </w:r>
            <w:r w:rsidRPr="00AA2DFC">
              <w:tab/>
              <w:t xml:space="preserve">Determine work site boundaries and requirements from plans, specifications and instructions. </w:t>
            </w:r>
          </w:p>
          <w:p w:rsidR="00000000" w:rsidRPr="00AA2DFC" w:rsidP="00AA2DFC">
            <w:pPr>
              <w:pStyle w:val="List"/>
            </w:pPr>
            <w:r w:rsidRPr="00AA2DFC">
              <w:t>1.2</w:t>
            </w:r>
            <w:r w:rsidRPr="00AA2DFC">
              <w:tab/>
              <w:t xml:space="preserve">Obtain plans and relevant information from specific </w:t>
            </w:r>
            <w:r w:rsidRPr="00AA2DFC">
              <w:rPr>
                <w:rStyle w:val="BoldandItalics"/>
              </w:rPr>
              <w:t>utility</w:t>
            </w:r>
            <w:r w:rsidRPr="00AA2DFC">
              <w:t xml:space="preserve"> </w:t>
            </w:r>
            <w:r w:rsidRPr="00AA2DFC">
              <w:rPr>
                <w:rStyle w:val="BoldandItalics"/>
              </w:rPr>
              <w:t>service</w:t>
            </w:r>
            <w:r w:rsidRPr="00AA2DFC">
              <w:t xml:space="preserve"> owners using </w:t>
            </w:r>
            <w:r w:rsidRPr="00AA2DFC">
              <w:rPr>
                <w:rStyle w:val="BoldandItalics"/>
              </w:rPr>
              <w:t>appropriate inf</w:t>
            </w:r>
            <w:r w:rsidRPr="00AA2DFC">
              <w:rPr>
                <w:rStyle w:val="BoldandItalics"/>
              </w:rPr>
              <w:t>ormation sources</w:t>
            </w:r>
            <w:r w:rsidRPr="00AA2DFC">
              <w:t>.</w:t>
            </w:r>
          </w:p>
          <w:p w:rsidR="00000000" w:rsidRPr="00AA2DFC" w:rsidP="00AA2DFC">
            <w:pPr>
              <w:pStyle w:val="List"/>
            </w:pPr>
            <w:r w:rsidRPr="00AA2DFC">
              <w:t>1.3</w:t>
            </w:r>
            <w:r w:rsidRPr="00AA2DFC">
              <w:tab/>
              <w:t xml:space="preserve">Determine </w:t>
            </w:r>
            <w:r w:rsidRPr="00AA2DFC">
              <w:rPr>
                <w:rStyle w:val="BoldandItalics"/>
              </w:rPr>
              <w:t>alignment of services</w:t>
            </w:r>
            <w:r w:rsidRPr="00AA2DFC">
              <w:t xml:space="preserve"> on site according to </w:t>
            </w:r>
            <w:r w:rsidRPr="00AA2DFC">
              <w:rPr>
                <w:rStyle w:val="BoldandItalics"/>
              </w:rPr>
              <w:t>utility locating procedures</w:t>
            </w:r>
            <w:r w:rsidRPr="00AA2DFC">
              <w:t>.</w:t>
            </w:r>
          </w:p>
          <w:p w:rsidR="00000000" w:rsidRPr="00AA2DFC" w:rsidP="00AA2DFC">
            <w:pPr>
              <w:pStyle w:val="List"/>
            </w:pPr>
            <w:r w:rsidRPr="00AA2DFC">
              <w:t>1.4</w:t>
            </w:r>
            <w:r w:rsidRPr="00AA2DFC">
              <w:tab/>
              <w:t xml:space="preserve">Determine </w:t>
            </w:r>
            <w:r w:rsidRPr="00AA2DFC">
              <w:rPr>
                <w:rStyle w:val="BoldandItalics"/>
              </w:rPr>
              <w:t>type</w:t>
            </w:r>
            <w:r w:rsidRPr="00AA2DFC">
              <w:t xml:space="preserve">, </w:t>
            </w:r>
            <w:r w:rsidRPr="00AA2DFC">
              <w:rPr>
                <w:rStyle w:val="BoldandItalics"/>
              </w:rPr>
              <w:t>size and likely configuration</w:t>
            </w:r>
            <w:r w:rsidRPr="00AA2DFC">
              <w:t xml:space="preserve"> of all underground and overhead services from plans and typical or local installation practices.</w:t>
            </w:r>
          </w:p>
          <w:p w:rsidR="00000000" w:rsidRPr="00AA2DFC" w:rsidP="00AA2DFC">
            <w:pPr>
              <w:pStyle w:val="List"/>
            </w:pPr>
            <w:r w:rsidRPr="00AA2DFC">
              <w:t>1.5</w:t>
            </w:r>
            <w:r w:rsidRPr="00AA2DFC">
              <w:tab/>
              <w:t>I</w:t>
            </w:r>
            <w:r w:rsidRPr="00AA2DFC">
              <w:t>dentify hazards and precautions associated with excavating or working near utilities' apparatus.</w:t>
            </w:r>
          </w:p>
          <w:p w:rsidR="00000000" w:rsidP="00AA2DFC">
            <w:pPr>
              <w:pStyle w:val="List"/>
              <w:rPr>
                <w:lang w:val="en-NZ"/>
              </w:rPr>
            </w:pPr>
            <w:r w:rsidRPr="00AA2DFC">
              <w:t>1.6</w:t>
            </w:r>
            <w:r w:rsidRPr="00AA2DFC">
              <w:tab/>
              <w:t xml:space="preserve">Review and apply safe work method statements associated with work activity and incorporate into job planning according to </w:t>
            </w:r>
            <w:r w:rsidRPr="00AA2DFC">
              <w:rPr>
                <w:rStyle w:val="BoldandItalics"/>
              </w:rPr>
              <w:t>legislative and organisational re</w:t>
            </w:r>
            <w:r w:rsidRPr="00AA2DFC">
              <w:rPr>
                <w:rStyle w:val="BoldandItalics"/>
              </w:rPr>
              <w:t>quirements</w:t>
            </w:r>
            <w:r w:rsidRPr="00AA2DFC">
              <w:t>.</w:t>
            </w:r>
          </w:p>
        </w:tc>
      </w:tr>
      <w:tr w:rsidTr="009F6C6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A2DFC">
            <w:pPr>
              <w:pStyle w:val="List"/>
              <w:rPr>
                <w:lang w:val="en-NZ"/>
              </w:rPr>
            </w:pPr>
            <w:r w:rsidRPr="00AA2DFC">
              <w:rPr>
                <w:rStyle w:val="SpecialBold"/>
              </w:rPr>
              <w:t>2</w:t>
            </w:r>
            <w:r w:rsidRPr="00AA2DFC">
              <w:tab/>
            </w:r>
            <w:r w:rsidRPr="00AA2DFC">
              <w:rPr>
                <w:rStyle w:val="SpecialBold"/>
              </w:rPr>
              <w:t>Locate utility apparatus by excavation</w:t>
            </w:r>
            <w:r w:rsidRPr="00AA2DFC">
              <w:t>.</w:t>
            </w:r>
          </w:p>
        </w:tc>
        <w:tc>
          <w:tcPr>
            <w:tcW w:w="6804" w:type="dxa"/>
            <w:tcBorders>
              <w:top w:val="nil"/>
              <w:left w:val="nil"/>
              <w:bottom w:val="nil"/>
              <w:right w:val="nil"/>
            </w:tcBorders>
            <w:tcMar>
              <w:top w:w="0" w:type="dxa"/>
              <w:left w:w="62" w:type="dxa"/>
              <w:bottom w:w="0" w:type="dxa"/>
              <w:right w:w="62" w:type="dxa"/>
            </w:tcMar>
          </w:tcPr>
          <w:p w:rsidR="00000000" w:rsidRPr="00AA2DFC" w:rsidP="00AA2DFC">
            <w:pPr>
              <w:pStyle w:val="List"/>
            </w:pPr>
            <w:r w:rsidRPr="00AA2DFC">
              <w:t>2.1</w:t>
            </w:r>
            <w:r w:rsidRPr="00AA2DFC">
              <w:tab/>
              <w:t xml:space="preserve">Select and safely use </w:t>
            </w:r>
            <w:r w:rsidRPr="00AA2DFC">
              <w:rPr>
                <w:rStyle w:val="BoldandItalics"/>
              </w:rPr>
              <w:t>appropriate tools and equipment</w:t>
            </w:r>
            <w:r w:rsidRPr="00AA2DFC">
              <w:t xml:space="preserve"> for location of all apparatus.</w:t>
            </w:r>
          </w:p>
          <w:p w:rsidR="00000000" w:rsidRPr="00AA2DFC" w:rsidP="00AA2DFC">
            <w:pPr>
              <w:pStyle w:val="List"/>
            </w:pPr>
            <w:r w:rsidRPr="00AA2DFC">
              <w:t>2.2</w:t>
            </w:r>
            <w:r w:rsidRPr="00AA2DFC">
              <w:tab/>
              <w:t xml:space="preserve">Identify </w:t>
            </w:r>
            <w:r w:rsidRPr="00AA2DFC">
              <w:rPr>
                <w:rStyle w:val="BoldandItalics"/>
              </w:rPr>
              <w:t>apparatus</w:t>
            </w:r>
            <w:r w:rsidRPr="00AA2DFC">
              <w:t xml:space="preserve"> and indicators of apparatus presence.</w:t>
            </w:r>
          </w:p>
          <w:p w:rsidR="00000000" w:rsidP="00AA2DFC">
            <w:pPr>
              <w:pStyle w:val="List"/>
              <w:rPr>
                <w:lang w:val="en-NZ"/>
              </w:rPr>
            </w:pPr>
            <w:r w:rsidRPr="00AA2DFC">
              <w:t>2.3</w:t>
            </w:r>
            <w:r w:rsidRPr="00AA2DFC">
              <w:tab/>
              <w:t>Determine full extent of apparatus in the groun</w:t>
            </w:r>
            <w:r w:rsidRPr="00AA2DFC">
              <w:t>d.</w:t>
            </w:r>
          </w:p>
        </w:tc>
      </w:tr>
      <w:tr w:rsidTr="009F6C6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A2DFC">
            <w:pPr>
              <w:pStyle w:val="List"/>
              <w:rPr>
                <w:lang w:val="en-NZ"/>
              </w:rPr>
            </w:pPr>
            <w:r w:rsidRPr="00AA2DFC">
              <w:rPr>
                <w:rStyle w:val="SpecialBold"/>
              </w:rPr>
              <w:t>3</w:t>
            </w:r>
            <w:r w:rsidRPr="00AA2DFC">
              <w:tab/>
            </w:r>
            <w:r w:rsidRPr="00AA2DFC">
              <w:rPr>
                <w:rStyle w:val="SpecialBold"/>
              </w:rPr>
              <w:t>Operate plant in close proximity to underground or overhead utility apparatus</w:t>
            </w:r>
            <w:r w:rsidRPr="00AA2DFC">
              <w:t>.</w:t>
            </w:r>
          </w:p>
        </w:tc>
        <w:tc>
          <w:tcPr>
            <w:tcW w:w="6804" w:type="dxa"/>
            <w:tcBorders>
              <w:top w:val="nil"/>
              <w:left w:val="nil"/>
              <w:bottom w:val="nil"/>
              <w:right w:val="nil"/>
            </w:tcBorders>
            <w:tcMar>
              <w:top w:w="0" w:type="dxa"/>
              <w:left w:w="62" w:type="dxa"/>
              <w:bottom w:w="0" w:type="dxa"/>
              <w:right w:w="62" w:type="dxa"/>
            </w:tcMar>
          </w:tcPr>
          <w:p w:rsidR="00000000" w:rsidRPr="00AA2DFC" w:rsidP="00AA2DFC">
            <w:pPr>
              <w:pStyle w:val="List"/>
            </w:pPr>
            <w:r w:rsidRPr="00AA2DFC">
              <w:t>3.1</w:t>
            </w:r>
            <w:r w:rsidRPr="00AA2DFC">
              <w:tab/>
              <w:t>Monitor plant during work activities and identify potential or actual encroaches of plant on minimum clearances to apparatus.</w:t>
            </w:r>
          </w:p>
          <w:p w:rsidR="00000000" w:rsidP="00AA2DFC">
            <w:pPr>
              <w:pStyle w:val="List"/>
              <w:rPr>
                <w:lang w:val="en-NZ"/>
              </w:rPr>
            </w:pPr>
            <w:r w:rsidRPr="00AA2DFC">
              <w:t>3.2</w:t>
            </w:r>
            <w:r w:rsidRPr="00AA2DFC">
              <w:tab/>
              <w:t>Give instructions to plant operator u</w:t>
            </w:r>
            <w:r w:rsidRPr="00AA2DFC">
              <w:t>sing agreed signals.</w:t>
            </w:r>
          </w:p>
        </w:tc>
      </w:tr>
      <w:tr w:rsidTr="009F6C6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A2DFC">
            <w:pPr>
              <w:pStyle w:val="List"/>
              <w:rPr>
                <w:lang w:val="en-NZ"/>
              </w:rPr>
            </w:pPr>
            <w:r w:rsidRPr="00AA2DFC">
              <w:rPr>
                <w:rStyle w:val="SpecialBold"/>
              </w:rPr>
              <w:t>4</w:t>
            </w:r>
            <w:r w:rsidRPr="00AA2DFC">
              <w:tab/>
            </w:r>
            <w:r w:rsidRPr="00AA2DFC">
              <w:rPr>
                <w:rStyle w:val="SpecialBold"/>
              </w:rPr>
              <w:t>Protect and support utility apparatus during excavation and backfilling</w:t>
            </w:r>
            <w:r w:rsidRPr="00AA2DFC">
              <w:t>.</w:t>
            </w:r>
          </w:p>
        </w:tc>
        <w:tc>
          <w:tcPr>
            <w:tcW w:w="6804" w:type="dxa"/>
            <w:tcBorders>
              <w:top w:val="nil"/>
              <w:left w:val="nil"/>
              <w:bottom w:val="nil"/>
              <w:right w:val="nil"/>
            </w:tcBorders>
            <w:tcMar>
              <w:top w:w="0" w:type="dxa"/>
              <w:left w:w="62" w:type="dxa"/>
              <w:bottom w:w="0" w:type="dxa"/>
              <w:right w:w="62" w:type="dxa"/>
            </w:tcMar>
          </w:tcPr>
          <w:p w:rsidR="00000000" w:rsidRPr="00AA2DFC" w:rsidP="00AA2DFC">
            <w:pPr>
              <w:pStyle w:val="List"/>
            </w:pPr>
            <w:r w:rsidRPr="00AA2DFC">
              <w:t>4.1</w:t>
            </w:r>
            <w:r w:rsidRPr="00AA2DFC">
              <w:tab/>
              <w:t>Protect apparatus according to utility owner requirements to prevent damage.</w:t>
            </w:r>
          </w:p>
          <w:p w:rsidR="00000000" w:rsidRPr="00AA2DFC" w:rsidP="00AA2DFC">
            <w:pPr>
              <w:pStyle w:val="List"/>
            </w:pPr>
            <w:r w:rsidRPr="00AA2DFC">
              <w:t>4.2</w:t>
            </w:r>
            <w:r w:rsidRPr="00AA2DFC">
              <w:tab/>
              <w:t>Support apparatus alon</w:t>
            </w:r>
            <w:r w:rsidRPr="00AA2DFC">
              <w:t>g or across excavation according to utility owner requirements or engineering advice to prevent damage.</w:t>
            </w:r>
          </w:p>
          <w:p w:rsidR="00000000" w:rsidRPr="00AA2DFC" w:rsidP="00AA2DFC">
            <w:pPr>
              <w:pStyle w:val="List"/>
            </w:pPr>
            <w:r w:rsidRPr="00AA2DFC">
              <w:t>4.3</w:t>
            </w:r>
            <w:r w:rsidRPr="00AA2DFC">
              <w:tab/>
              <w:t>Report damage to apparatus to utility owner according to agreed protocols.</w:t>
            </w:r>
          </w:p>
          <w:p w:rsidR="00000000" w:rsidP="00AA2DFC">
            <w:pPr>
              <w:pStyle w:val="List"/>
              <w:rPr>
                <w:lang w:val="en-NZ"/>
              </w:rPr>
            </w:pPr>
            <w:r w:rsidRPr="00AA2DFC">
              <w:t>4.4</w:t>
            </w:r>
            <w:r w:rsidRPr="00AA2DFC">
              <w:tab/>
              <w:t>Reinstate apparatus during backfill according to utility owner's requ</w:t>
            </w:r>
            <w:r w:rsidRPr="00AA2DFC">
              <w:t xml:space="preserve">irements. </w:t>
            </w:r>
          </w:p>
        </w:tc>
      </w:tr>
      <w:tr w:rsidTr="009F6C6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A2DFC">
            <w:pPr>
              <w:pStyle w:val="List"/>
              <w:rPr>
                <w:lang w:val="en-NZ"/>
              </w:rPr>
            </w:pPr>
            <w:r w:rsidRPr="00AA2DFC">
              <w:rPr>
                <w:rStyle w:val="SpecialBold"/>
              </w:rPr>
              <w:t>5</w:t>
            </w:r>
            <w:r w:rsidRPr="00AA2DFC">
              <w:tab/>
            </w:r>
            <w:r w:rsidRPr="00AA2DFC">
              <w:rPr>
                <w:rStyle w:val="SpecialBold"/>
              </w:rPr>
              <w:t>Initiate emergency procedures</w:t>
            </w:r>
            <w:r w:rsidRPr="00AA2DFC">
              <w:t>.</w:t>
            </w:r>
          </w:p>
        </w:tc>
        <w:tc>
          <w:tcPr>
            <w:tcW w:w="6804" w:type="dxa"/>
            <w:tcBorders>
              <w:top w:val="nil"/>
              <w:left w:val="nil"/>
              <w:bottom w:val="nil"/>
              <w:right w:val="nil"/>
            </w:tcBorders>
            <w:tcMar>
              <w:top w:w="0" w:type="dxa"/>
              <w:left w:w="62" w:type="dxa"/>
              <w:bottom w:w="0" w:type="dxa"/>
              <w:right w:w="62" w:type="dxa"/>
            </w:tcMar>
          </w:tcPr>
          <w:p w:rsidR="00000000" w:rsidRPr="00AA2DFC" w:rsidP="00AA2DFC">
            <w:pPr>
              <w:pStyle w:val="List"/>
            </w:pPr>
            <w:r w:rsidRPr="00AA2DFC">
              <w:t>5.1</w:t>
            </w:r>
            <w:r w:rsidRPr="00AA2DFC">
              <w:tab/>
              <w:t>Recognise emergency situations or events.</w:t>
            </w:r>
          </w:p>
          <w:p w:rsidR="00000000" w:rsidRPr="00AA2DFC" w:rsidP="00AA2DFC">
            <w:pPr>
              <w:pStyle w:val="List"/>
            </w:pPr>
            <w:r w:rsidRPr="00AA2DFC">
              <w:t>5.2</w:t>
            </w:r>
            <w:r w:rsidRPr="00AA2DFC">
              <w:tab/>
              <w:t>Implement emergency response according to procedures for particular infrastructure involved.</w:t>
            </w:r>
          </w:p>
        </w:tc>
      </w:tr>
    </w:tbl>
    <w:p w:rsidR="00000000" w:rsidRPr="00AA2DFC" w:rsidP="00AA2DFC">
      <w:pPr>
        <w:pStyle w:val="BodyText"/>
      </w:pPr>
    </w:p>
    <w:p w:rsidR="00000000" w:rsidRPr="00AA2DFC" w:rsidP="00AA2DFC">
      <w:pPr>
        <w:pStyle w:val="AllowPageBreak"/>
      </w:pPr>
    </w:p>
    <w:p w:rsidR="00000000" w:rsidRPr="00AA2DFC" w:rsidP="00AA2DFC">
      <w:pPr>
        <w:pStyle w:val="Heading1"/>
      </w:pPr>
      <w:bookmarkStart w:id="9" w:name="O_404095"/>
      <w:bookmarkEnd w:id="9"/>
      <w:r w:rsidRPr="00AA2DFC">
        <w:t>Required Skills and Knowledge</w:t>
      </w:r>
    </w:p>
    <w:tbl>
      <w:tblPr>
        <w:tblW w:w="0" w:type="auto"/>
        <w:tblLayout w:type="fixed"/>
        <w:tblCellMar>
          <w:left w:w="62" w:type="dxa"/>
          <w:right w:w="62" w:type="dxa"/>
        </w:tblCellMar>
        <w:tblLook w:val="0000"/>
      </w:tblPr>
      <w:tblGrid>
        <w:gridCol w:w="9072"/>
      </w:tblGrid>
      <w:tr w:rsidTr="009F6C6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2DFC">
            <w:pPr>
              <w:pStyle w:val="BodyText"/>
              <w:rPr>
                <w:lang w:val="en-NZ"/>
              </w:rPr>
            </w:pPr>
            <w:r w:rsidRPr="00AA2DFC">
              <w:t xml:space="preserve">This describes the </w:t>
            </w:r>
            <w:r w:rsidRPr="00AA2DFC">
              <w:t>essential skills and knowledge and their level, required for this unit.</w:t>
            </w:r>
          </w:p>
        </w:tc>
      </w:tr>
      <w:tr w:rsidTr="009F6C6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2DFC" w:rsidP="00AA2DFC">
            <w:pPr>
              <w:pStyle w:val="BodyText"/>
            </w:pPr>
            <w:r w:rsidRPr="00AA2DFC">
              <w:rPr>
                <w:rStyle w:val="SpecialBold"/>
              </w:rPr>
              <w:t>Required skills</w:t>
            </w:r>
            <w:r w:rsidRPr="00AA2DFC">
              <w:t>:</w:t>
            </w:r>
          </w:p>
          <w:p w:rsidR="00000000" w:rsidRPr="00AA2DFC" w:rsidP="00AA2DFC">
            <w:pPr>
              <w:pStyle w:val="ListBullet"/>
            </w:pPr>
            <w:r w:rsidRPr="00AA2DFC">
              <w:t>locate and identify utilities</w:t>
            </w:r>
          </w:p>
          <w:p w:rsidR="00000000" w:rsidRPr="00AA2DFC" w:rsidP="00AA2DFC">
            <w:pPr>
              <w:pStyle w:val="ListBullet"/>
            </w:pPr>
            <w:r w:rsidRPr="00AA2DFC">
              <w:t>assess and identify risk of potential hazards associated with each utility</w:t>
            </w:r>
          </w:p>
          <w:p w:rsidR="00000000" w:rsidRPr="00AA2DFC" w:rsidP="00AA2DFC">
            <w:pPr>
              <w:pStyle w:val="ListBullet"/>
            </w:pPr>
            <w:r w:rsidRPr="00AA2DFC">
              <w:t>respond to all types of emergencies relating to utility services</w:t>
            </w:r>
          </w:p>
          <w:p w:rsidR="00000000" w:rsidRPr="00AA2DFC" w:rsidP="00AA2DFC">
            <w:pPr>
              <w:pStyle w:val="ListBullet"/>
            </w:pPr>
            <w:r w:rsidRPr="00AA2DFC">
              <w:t>use basic mathematics for calculations and measurement</w:t>
            </w:r>
          </w:p>
          <w:p w:rsidR="00000000" w:rsidRPr="00AA2DFC" w:rsidP="00AA2DFC">
            <w:pPr>
              <w:pStyle w:val="ListBullet"/>
            </w:pPr>
            <w:r w:rsidRPr="00AA2DFC">
              <w:t>use safety equipment and personal protective equipment</w:t>
            </w:r>
          </w:p>
          <w:p w:rsidR="00000000" w:rsidRPr="00AA2DFC" w:rsidP="00AA2DFC">
            <w:pPr>
              <w:pStyle w:val="ListBullet"/>
            </w:pPr>
            <w:r w:rsidRPr="00AA2DFC">
              <w:t>use tools and equipment</w:t>
            </w:r>
          </w:p>
          <w:p w:rsidR="00000000" w:rsidRPr="00AA2DFC" w:rsidP="00AA2DFC">
            <w:pPr>
              <w:pStyle w:val="ListBullet"/>
            </w:pPr>
            <w:r w:rsidRPr="00AA2DFC">
              <w:t>follow policies, procedures and standards</w:t>
            </w:r>
          </w:p>
          <w:p w:rsidR="00000000" w:rsidRPr="00AA2DFC" w:rsidP="00AA2DFC">
            <w:pPr>
              <w:pStyle w:val="ListBullet"/>
            </w:pPr>
            <w:r w:rsidRPr="00AA2DFC">
              <w:t>communicate wit</w:t>
            </w:r>
            <w:r w:rsidRPr="00AA2DFC">
              <w:t>h employees, other service providers and customers</w:t>
            </w:r>
          </w:p>
          <w:p w:rsidR="00000000" w:rsidRPr="00AA2DFC" w:rsidP="00AA2DFC">
            <w:pPr>
              <w:pStyle w:val="ListBullet"/>
            </w:pPr>
            <w:r w:rsidRPr="00AA2DFC">
              <w:t>work effectively as part of a team</w:t>
            </w:r>
          </w:p>
          <w:p w:rsidR="00000000" w:rsidRPr="00AA2DFC" w:rsidP="00AA2DFC">
            <w:pPr>
              <w:pStyle w:val="ListBullet"/>
            </w:pPr>
            <w:r w:rsidRPr="00AA2DFC">
              <w:t>use literacy skills in regard to verbal and written communication in the workplace</w:t>
            </w:r>
          </w:p>
          <w:p w:rsidR="00000000" w:rsidP="00AA2DFC">
            <w:pPr>
              <w:pStyle w:val="ListBullet"/>
              <w:rPr>
                <w:lang w:val="en-NZ"/>
              </w:rPr>
            </w:pPr>
            <w:r w:rsidRPr="00AA2DFC">
              <w:t>use communication systems</w:t>
            </w:r>
          </w:p>
        </w:tc>
      </w:tr>
      <w:tr w:rsidTr="009F6C6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2DFC" w:rsidP="00AA2DFC">
            <w:pPr>
              <w:pStyle w:val="BodyText"/>
            </w:pPr>
            <w:r w:rsidRPr="00AA2DFC">
              <w:rPr>
                <w:rStyle w:val="SpecialBold"/>
              </w:rPr>
              <w:t>Required knowledge</w:t>
            </w:r>
            <w:r w:rsidRPr="00AA2DFC">
              <w:t>:</w:t>
            </w:r>
          </w:p>
          <w:p w:rsidR="00000000" w:rsidRPr="00AA2DFC" w:rsidP="00AA2DFC">
            <w:pPr>
              <w:pStyle w:val="ListBullet"/>
            </w:pPr>
            <w:r w:rsidRPr="00AA2DFC">
              <w:t>published guidelines for working near u</w:t>
            </w:r>
            <w:r w:rsidRPr="00AA2DFC">
              <w:t>tility services in the State or Territory in which work is being undertaken</w:t>
            </w:r>
          </w:p>
          <w:p w:rsidR="00000000" w:rsidRPr="00AA2DFC" w:rsidP="00AA2DFC">
            <w:pPr>
              <w:pStyle w:val="ListBullet"/>
            </w:pPr>
            <w:r w:rsidRPr="00AA2DFC">
              <w:t>system layout</w:t>
            </w:r>
          </w:p>
          <w:p w:rsidR="00000000" w:rsidRPr="00AA2DFC" w:rsidP="00AA2DFC">
            <w:pPr>
              <w:pStyle w:val="ListBullet"/>
            </w:pPr>
            <w:r w:rsidRPr="00AA2DFC">
              <w:t>environmental aspects of excavation</w:t>
            </w:r>
          </w:p>
          <w:p w:rsidR="00000000" w:rsidRPr="00AA2DFC" w:rsidP="00AA2DFC">
            <w:pPr>
              <w:pStyle w:val="ListBullet"/>
            </w:pPr>
            <w:r w:rsidRPr="00AA2DFC">
              <w:t>relevant utilities and service bodies</w:t>
            </w:r>
          </w:p>
          <w:p w:rsidR="00000000" w:rsidRPr="00AA2DFC" w:rsidP="00AA2DFC">
            <w:pPr>
              <w:pStyle w:val="ListBullet"/>
            </w:pPr>
            <w:r w:rsidRPr="00AA2DFC">
              <w:t>communication systems</w:t>
            </w:r>
          </w:p>
          <w:p w:rsidR="00000000" w:rsidRPr="00AA2DFC" w:rsidP="00AA2DFC">
            <w:pPr>
              <w:pStyle w:val="ListBullet"/>
            </w:pPr>
            <w:r w:rsidRPr="00AA2DFC">
              <w:t>landscape and ground structure of work area</w:t>
            </w:r>
          </w:p>
          <w:p w:rsidR="00000000" w:rsidRPr="00AA2DFC" w:rsidP="00AA2DFC">
            <w:pPr>
              <w:pStyle w:val="ListBullet"/>
            </w:pPr>
            <w:r w:rsidRPr="00AA2DFC">
              <w:t>risk assessment and identification of potential hazards associated with each utility</w:t>
            </w:r>
          </w:p>
          <w:p w:rsidR="00000000" w:rsidRPr="00AA2DFC" w:rsidP="00AA2DFC">
            <w:pPr>
              <w:pStyle w:val="ListBullet"/>
            </w:pPr>
            <w:r w:rsidRPr="00AA2DFC">
              <w:t>emergency response procedures for all types of utility services</w:t>
            </w:r>
          </w:p>
          <w:p w:rsidR="00000000" w:rsidRPr="00AA2DFC" w:rsidP="00AA2DFC">
            <w:pPr>
              <w:pStyle w:val="ListBullet"/>
            </w:pPr>
            <w:r w:rsidRPr="00AA2DFC">
              <w:t>equipment operation, capacity and limitations</w:t>
            </w:r>
          </w:p>
          <w:p w:rsidR="00000000" w:rsidRPr="00AA2DFC" w:rsidP="00AA2DFC">
            <w:pPr>
              <w:pStyle w:val="ListBullet"/>
            </w:pPr>
            <w:r w:rsidRPr="00AA2DFC">
              <w:t>effects of weather and conditions on site or plant</w:t>
            </w:r>
          </w:p>
        </w:tc>
      </w:tr>
    </w:tbl>
    <w:p w:rsidR="00000000" w:rsidRPr="00AA2DFC" w:rsidP="00AA2DFC">
      <w:pPr>
        <w:pStyle w:val="BodyText"/>
      </w:pPr>
    </w:p>
    <w:p w:rsidR="00000000" w:rsidRPr="00AA2DFC" w:rsidP="00AA2DFC">
      <w:pPr>
        <w:pStyle w:val="AllowPageBreak"/>
      </w:pPr>
    </w:p>
    <w:p w:rsidR="00000000" w:rsidRPr="00AA2DFC" w:rsidP="00AA2DFC">
      <w:pPr>
        <w:pStyle w:val="Heading1"/>
      </w:pPr>
      <w:bookmarkStart w:id="10" w:name="O_404101"/>
      <w:bookmarkEnd w:id="10"/>
      <w:r w:rsidRPr="00AA2DFC">
        <w:t>Evidence Guide</w:t>
      </w:r>
    </w:p>
    <w:tbl>
      <w:tblPr>
        <w:tblW w:w="0" w:type="auto"/>
        <w:tblLayout w:type="fixed"/>
        <w:tblCellMar>
          <w:left w:w="62" w:type="dxa"/>
          <w:right w:w="62" w:type="dxa"/>
        </w:tblCellMar>
        <w:tblLook w:val="0000"/>
      </w:tblPr>
      <w:tblGrid>
        <w:gridCol w:w="2988"/>
        <w:gridCol w:w="6084"/>
      </w:tblGrid>
      <w:tr w:rsidTr="009F6C6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2DFC">
            <w:pPr>
              <w:pStyle w:val="BodyText"/>
              <w:rPr>
                <w:lang w:val="en-NZ"/>
              </w:rPr>
            </w:pPr>
            <w:r w:rsidRPr="00AA2DFC">
              <w:t>The evidence guide provides advice on assessment and must be read in conjunction with the performance criteria, required skills and knowledge, the range statement and the Assessment Guidelines for the Training Package.</w:t>
            </w:r>
          </w:p>
        </w:tc>
      </w:tr>
      <w:tr w:rsidTr="009F6C6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AA2DFC">
            <w:pPr>
              <w:pStyle w:val="BodyText"/>
              <w:rPr>
                <w:lang w:val="en-NZ"/>
              </w:rPr>
            </w:pPr>
            <w:r w:rsidRPr="00AA2DFC">
              <w:rPr>
                <w:rStyle w:val="SpecialBold"/>
              </w:rPr>
              <w:t>Critical aspects for assessment and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AA2DFC" w:rsidP="00AA2DFC">
            <w:pPr>
              <w:pStyle w:val="BodyText"/>
            </w:pPr>
            <w:r w:rsidRPr="00AA2DFC">
              <w:t>The candidate should demonstrate the ability to work near utility services during the construction, repair or installation of utilities' infrastructure including:</w:t>
            </w:r>
          </w:p>
          <w:p w:rsidR="00000000" w:rsidRPr="00AA2DFC" w:rsidP="00AA2DFC">
            <w:pPr>
              <w:pStyle w:val="ListBullet"/>
            </w:pPr>
            <w:r w:rsidRPr="00AA2DFC">
              <w:t>gathering information regarding location of utilities at a particular site</w:t>
            </w:r>
          </w:p>
          <w:p w:rsidR="00000000" w:rsidRPr="00AA2DFC" w:rsidP="00AA2DFC">
            <w:pPr>
              <w:pStyle w:val="ListBullet"/>
            </w:pPr>
            <w:r w:rsidRPr="00AA2DFC">
              <w:t>gathering and applying safe work methods for locating and protecting utilities at or near a work site</w:t>
            </w:r>
          </w:p>
          <w:p w:rsidR="00000000" w:rsidRPr="00AA2DFC" w:rsidP="00AA2DFC">
            <w:pPr>
              <w:pStyle w:val="ListBullet"/>
            </w:pPr>
            <w:r w:rsidRPr="00AA2DFC">
              <w:t>selecting appropriate tools and equipment</w:t>
            </w:r>
          </w:p>
          <w:p w:rsidR="00000000" w:rsidRPr="00AA2DFC" w:rsidP="00AA2DFC">
            <w:pPr>
              <w:pStyle w:val="ListBullet"/>
            </w:pPr>
            <w:r w:rsidRPr="00AA2DFC">
              <w:t>monitoring use of equipment and usin</w:t>
            </w:r>
            <w:r w:rsidRPr="00AA2DFC">
              <w:t>g agreed procedures and signals to ensure timely warnings of proximity to utilities' apparatus</w:t>
            </w:r>
          </w:p>
          <w:p w:rsidR="00000000" w:rsidRPr="00AA2DFC" w:rsidP="00AA2DFC">
            <w:pPr>
              <w:pStyle w:val="ListBullet"/>
            </w:pPr>
            <w:r w:rsidRPr="00AA2DFC">
              <w:t>protecting and supporting apparatus during performance of work tasks and during site restoration</w:t>
            </w:r>
          </w:p>
          <w:p w:rsidR="00000000" w:rsidP="00AA2DFC">
            <w:pPr>
              <w:pStyle w:val="ListBullet"/>
              <w:rPr>
                <w:lang w:val="en-NZ"/>
              </w:rPr>
            </w:pPr>
            <w:r w:rsidRPr="00AA2DFC">
              <w:t>applying emergency procedures in response to a range of specific</w:t>
            </w:r>
            <w:r w:rsidRPr="00AA2DFC">
              <w:t xml:space="preserve"> incidents</w:t>
            </w:r>
          </w:p>
        </w:tc>
      </w:tr>
      <w:tr w:rsidTr="009F6C6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AA2DFC">
            <w:pPr>
              <w:pStyle w:val="BodyText"/>
              <w:rPr>
                <w:lang w:val="en-NZ"/>
              </w:rPr>
            </w:pPr>
            <w:r w:rsidRPr="00AA2DFC">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AA2DFC" w:rsidP="00AA2DFC">
            <w:pPr>
              <w:pStyle w:val="BodyText"/>
            </w:pPr>
            <w:r w:rsidRPr="00AA2DFC">
              <w:t xml:space="preserve">Access to the workplace and resources including: </w:t>
            </w:r>
          </w:p>
          <w:p w:rsidR="00000000" w:rsidRPr="00AA2DFC" w:rsidP="00AA2DFC">
            <w:pPr>
              <w:pStyle w:val="ListBullet"/>
            </w:pPr>
            <w:r w:rsidRPr="00AA2DFC">
              <w:t>documentation that should normally be available in a water industry organisation</w:t>
            </w:r>
          </w:p>
          <w:p w:rsidR="00000000" w:rsidRPr="00AA2DFC" w:rsidP="00AA2DFC">
            <w:pPr>
              <w:pStyle w:val="ListBullet"/>
            </w:pPr>
            <w:r w:rsidRPr="00AA2DFC">
              <w:t>relevant codes, standards and government regulations</w:t>
            </w:r>
          </w:p>
          <w:p w:rsidR="00000000" w:rsidRPr="00AA2DFC" w:rsidP="00AA2DFC">
            <w:pPr>
              <w:pStyle w:val="BodyText"/>
            </w:pPr>
            <w:r w:rsidRPr="00AA2DFC">
              <w:t>Where applicable, physical resources should include equipment modified for people with disabilities.</w:t>
            </w:r>
          </w:p>
          <w:p w:rsidR="00000000" w:rsidRPr="00AA2DFC" w:rsidP="00AA2DFC">
            <w:pPr>
              <w:pStyle w:val="BodyText"/>
            </w:pPr>
            <w:r w:rsidRPr="00AA2DFC">
              <w:t>Access must be provided to appropriate learning and assessment support when required.</w:t>
            </w:r>
          </w:p>
          <w:p w:rsidR="00000000" w:rsidRPr="00AA2DFC" w:rsidP="00AA2DFC">
            <w:pPr>
              <w:pStyle w:val="BodyText"/>
            </w:pPr>
            <w:r w:rsidRPr="00AA2DFC">
              <w:t>Assessment processes and techniques must be culturally appropriate, a</w:t>
            </w:r>
            <w:r w:rsidRPr="00AA2DFC">
              <w:t xml:space="preserve">nd appropriate to the language and literacy capacity of the candidate and the work being performed. </w:t>
            </w:r>
          </w:p>
          <w:p w:rsidR="00000000" w:rsidRPr="00AA2DFC" w:rsidP="00AA2DFC">
            <w:pPr>
              <w:pStyle w:val="BodyText"/>
            </w:pPr>
            <w:r w:rsidRPr="00AA2DFC">
              <w:t>Validity and sufficiency of evidence requires that:</w:t>
            </w:r>
          </w:p>
          <w:p w:rsidR="00000000" w:rsidRPr="00AA2DFC" w:rsidP="00AA2DFC">
            <w:pPr>
              <w:pStyle w:val="ListBullet"/>
            </w:pPr>
            <w:r w:rsidRPr="00AA2DFC">
              <w:t>competency will need to be demonstrated over a period of time reflecting the scope of the role and the</w:t>
            </w:r>
            <w:r w:rsidRPr="00AA2DFC">
              <w:t xml:space="preserve"> practical requirements of the workplace</w:t>
            </w:r>
          </w:p>
          <w:p w:rsidR="00000000" w:rsidRPr="00AA2DFC" w:rsidP="00AA2DFC">
            <w:pPr>
              <w:pStyle w:val="ListBullet"/>
            </w:pPr>
            <w:r w:rsidRPr="00AA2DFC">
              <w:t>where the assessment is part of a structured learning experience the evidence collected must relate to a number of performances assessed at different points in time and separated by further learning and practice</w:t>
            </w:r>
          </w:p>
          <w:p w:rsidR="00000000" w:rsidRPr="00AA2DFC" w:rsidP="00AA2DFC">
            <w:pPr>
              <w:pStyle w:val="ListBullet"/>
            </w:pPr>
            <w:r w:rsidRPr="00AA2DFC">
              <w:t>a d</w:t>
            </w:r>
            <w:r w:rsidRPr="00AA2DFC">
              <w:t>ecision of competence only taken at the point when the assessor has complete confidence in the person's competence over time and in various contexts</w:t>
            </w:r>
          </w:p>
          <w:p w:rsidR="00000000" w:rsidRPr="00AA2DFC" w:rsidP="00AA2DFC">
            <w:pPr>
              <w:pStyle w:val="ListBullet"/>
            </w:pPr>
            <w:r w:rsidRPr="00AA2DFC">
              <w:t>all assessment that is part of a structured learning experience must include a combination of direct, indir</w:t>
            </w:r>
            <w:r w:rsidRPr="00AA2DFC">
              <w:t>ect and supplementary evidence</w:t>
            </w:r>
          </w:p>
          <w:p w:rsidR="00000000" w:rsidRPr="00AA2DFC" w:rsidP="00AA2DFC">
            <w:pPr>
              <w:pStyle w:val="ListBullet"/>
            </w:pPr>
            <w:r w:rsidRPr="00AA2DFC">
              <w:t>where assessment is for the purpose of recognition (RCC/RPL), the evidence provided will need to be authenticated and show that it represents competency demonstrated over a period of time</w:t>
            </w:r>
          </w:p>
          <w:p w:rsidR="00000000" w:rsidRPr="00AA2DFC" w:rsidP="00AA2DFC">
            <w:pPr>
              <w:pStyle w:val="ListBullet"/>
            </w:pPr>
            <w:r w:rsidRPr="00AA2DFC">
              <w:t>assessment can be through simulated p</w:t>
            </w:r>
            <w:r w:rsidRPr="00AA2DFC">
              <w:t>roject-based activity and must include evidence relating to each of the elements in this unit</w:t>
            </w:r>
          </w:p>
          <w:p w:rsidR="00000000" w:rsidRPr="00AA2DFC" w:rsidP="00AA2DFC">
            <w:pPr>
              <w:pStyle w:val="BodyText"/>
            </w:pPr>
            <w:r w:rsidRPr="00AA2DFC">
              <w:t>In all cases where practical assessment is used it will be combined with targeted questioning to assess the underpinning knowledge. Questioning will be undertaken</w:t>
            </w:r>
            <w:r w:rsidRPr="00AA2DFC">
              <w:t xml:space="preserve"> in a manner appropriate to the skill levels of the operator and cultural issues that may affect responses to the questions, and will reflect the requirements of the competency and the work being performed.</w:t>
            </w:r>
          </w:p>
        </w:tc>
      </w:tr>
    </w:tbl>
    <w:p w:rsidR="00000000" w:rsidRPr="00AA2DFC" w:rsidP="00AA2DFC">
      <w:pPr>
        <w:pStyle w:val="BodyText"/>
      </w:pPr>
    </w:p>
    <w:p w:rsidR="00000000" w:rsidRPr="00AA2DFC" w:rsidP="00AA2DFC">
      <w:pPr>
        <w:pStyle w:val="AllowPageBreak"/>
      </w:pPr>
    </w:p>
    <w:p w:rsidR="00000000" w:rsidRPr="00AA2DFC" w:rsidP="00AA2DFC">
      <w:pPr>
        <w:pStyle w:val="Heading1"/>
      </w:pPr>
      <w:bookmarkStart w:id="11" w:name="O_404096"/>
      <w:bookmarkEnd w:id="11"/>
      <w:r w:rsidRPr="00AA2DFC">
        <w:t>Range Statement</w:t>
      </w:r>
    </w:p>
    <w:tbl>
      <w:tblPr>
        <w:tblW w:w="0" w:type="auto"/>
        <w:tblLayout w:type="fixed"/>
        <w:tblCellMar>
          <w:left w:w="62" w:type="dxa"/>
          <w:right w:w="62" w:type="dxa"/>
        </w:tblCellMar>
        <w:tblLook w:val="0000"/>
      </w:tblPr>
      <w:tblGrid>
        <w:gridCol w:w="2988"/>
        <w:gridCol w:w="6084"/>
      </w:tblGrid>
      <w:tr w:rsidTr="009F6C6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2DFC">
            <w:pPr>
              <w:pStyle w:val="BodyText"/>
              <w:rPr>
                <w:lang w:val="en-NZ"/>
              </w:rPr>
            </w:pPr>
            <w:r w:rsidRPr="00AA2DFC">
              <w:t xml:space="preserve">The range statement relates to the unit of competency as a whole. It allows for different work environments and situations that may affect performance. </w:t>
            </w:r>
            <w:r w:rsidRPr="00AA2DFC">
              <w:rPr>
                <w:rStyle w:val="BoldandItalics"/>
              </w:rPr>
              <w:t>Bold italicised</w:t>
            </w:r>
            <w:r w:rsidRPr="00AA2DFC">
              <w:t xml:space="preserve"> wording, if used in the performance criteria, is detailed below. Add any essential opera</w:t>
            </w:r>
            <w:r w:rsidRPr="00AA2DFC">
              <w:t>ting conditions that may be present with training and assessment depending on the work situation, needs of the candidate, accessibility of the item, and local industry and regional contexts.</w:t>
            </w:r>
          </w:p>
        </w:tc>
      </w:tr>
      <w:tr w:rsidTr="009F6C6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AA2DFC">
            <w:pPr>
              <w:pStyle w:val="BodyText"/>
              <w:rPr>
                <w:lang w:val="en-NZ"/>
              </w:rPr>
            </w:pPr>
            <w:r w:rsidRPr="00AA2DFC">
              <w:rPr>
                <w:rStyle w:val="BoldandItalics"/>
              </w:rPr>
              <w:t>Utility service</w:t>
            </w:r>
            <w:r w:rsidRPr="00AA2DFC">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AA2DFC" w:rsidP="00AA2DFC">
            <w:pPr>
              <w:pStyle w:val="ListBullet"/>
            </w:pPr>
            <w:r w:rsidRPr="00AA2DFC">
              <w:t>electricity</w:t>
            </w:r>
          </w:p>
          <w:p w:rsidR="00000000" w:rsidRPr="00AA2DFC" w:rsidP="00AA2DFC">
            <w:pPr>
              <w:pStyle w:val="ListBullet"/>
            </w:pPr>
            <w:r w:rsidRPr="00AA2DFC">
              <w:t>gas</w:t>
            </w:r>
          </w:p>
          <w:p w:rsidR="00000000" w:rsidRPr="00AA2DFC" w:rsidP="00AA2DFC">
            <w:pPr>
              <w:pStyle w:val="ListBullet"/>
            </w:pPr>
            <w:r w:rsidRPr="00AA2DFC">
              <w:t>fuel and oil</w:t>
            </w:r>
          </w:p>
          <w:p w:rsidR="00000000" w:rsidRPr="00AA2DFC" w:rsidP="00AA2DFC">
            <w:pPr>
              <w:pStyle w:val="ListBullet"/>
            </w:pPr>
            <w:r w:rsidRPr="00AA2DFC">
              <w:t>water</w:t>
            </w:r>
          </w:p>
          <w:p w:rsidR="00000000" w:rsidRPr="00AA2DFC" w:rsidP="00AA2DFC">
            <w:pPr>
              <w:pStyle w:val="ListBullet"/>
            </w:pPr>
            <w:r w:rsidRPr="00AA2DFC">
              <w:t>sewer and stormwater</w:t>
            </w:r>
          </w:p>
          <w:p w:rsidR="00000000" w:rsidRPr="00AA2DFC" w:rsidP="00AA2DFC">
            <w:pPr>
              <w:pStyle w:val="ListBullet"/>
            </w:pPr>
            <w:r w:rsidRPr="00AA2DFC">
              <w:t>communication lines</w:t>
            </w:r>
          </w:p>
          <w:p w:rsidR="00000000" w:rsidRPr="00AA2DFC" w:rsidP="00AA2DFC">
            <w:pPr>
              <w:pStyle w:val="ListBullet"/>
            </w:pPr>
            <w:r w:rsidRPr="00AA2DFC">
              <w:t>pay television</w:t>
            </w:r>
          </w:p>
          <w:p w:rsidR="00000000" w:rsidRPr="00AA2DFC" w:rsidP="00AA2DFC">
            <w:pPr>
              <w:pStyle w:val="ListBullet"/>
            </w:pPr>
            <w:r w:rsidRPr="00AA2DFC">
              <w:t>road traffic control</w:t>
            </w:r>
          </w:p>
          <w:p w:rsidR="00000000" w:rsidRPr="00AA2DFC" w:rsidP="00AA2DFC">
            <w:pPr>
              <w:pStyle w:val="ListBullet"/>
            </w:pPr>
            <w:r w:rsidRPr="00AA2DFC">
              <w:t>power cables</w:t>
            </w:r>
          </w:p>
          <w:p w:rsidR="00000000" w:rsidRPr="00AA2DFC" w:rsidP="00AA2DFC">
            <w:pPr>
              <w:pStyle w:val="ListBullet"/>
            </w:pPr>
            <w:r w:rsidRPr="00AA2DFC">
              <w:t>steam pipes</w:t>
            </w:r>
          </w:p>
          <w:p w:rsidR="00000000" w:rsidRPr="00AA2DFC" w:rsidP="00AA2DFC">
            <w:pPr>
              <w:pStyle w:val="ListBullet"/>
            </w:pPr>
            <w:r w:rsidRPr="00AA2DFC">
              <w:t>relevant surface fittings</w:t>
            </w:r>
          </w:p>
          <w:p w:rsidR="00000000" w:rsidP="00AA2DFC">
            <w:pPr>
              <w:pStyle w:val="ListBullet"/>
              <w:rPr>
                <w:lang w:val="en-NZ"/>
              </w:rPr>
            </w:pPr>
            <w:r w:rsidRPr="00AA2DFC">
              <w:t>cathodic protection cables</w:t>
            </w:r>
          </w:p>
        </w:tc>
      </w:tr>
      <w:tr w:rsidTr="009F6C6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AA2DFC">
            <w:pPr>
              <w:pStyle w:val="BodyText"/>
              <w:rPr>
                <w:lang w:val="en-NZ"/>
              </w:rPr>
            </w:pPr>
            <w:r w:rsidRPr="00AA2DFC">
              <w:rPr>
                <w:rStyle w:val="BoldandItalics"/>
              </w:rPr>
              <w:t>Appropriate information sources</w:t>
            </w:r>
            <w:r w:rsidRPr="00AA2DFC">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AA2DFC" w:rsidP="00AA2DFC">
            <w:pPr>
              <w:pStyle w:val="ListBullet"/>
            </w:pPr>
            <w:r w:rsidRPr="00AA2DFC">
              <w:t>'Dial Before You Dig' national call centre for s</w:t>
            </w:r>
            <w:r w:rsidRPr="00AA2DFC">
              <w:t>ubscribing utilities (note: not all underground utility services are listed with 'Dial Before You Dig')</w:t>
            </w:r>
          </w:p>
          <w:p w:rsidR="00000000" w:rsidP="00AA2DFC">
            <w:pPr>
              <w:pStyle w:val="ListBullet"/>
              <w:rPr>
                <w:lang w:val="en-NZ"/>
              </w:rPr>
            </w:pPr>
            <w:r w:rsidRPr="00AA2DFC">
              <w:t>local agencies, which should also be contacted following 'Dial Before You Dig' enquiries</w:t>
            </w:r>
          </w:p>
        </w:tc>
      </w:tr>
      <w:tr w:rsidTr="009F6C6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AA2DFC">
            <w:pPr>
              <w:pStyle w:val="BodyText"/>
              <w:rPr>
                <w:lang w:val="en-NZ"/>
              </w:rPr>
            </w:pPr>
            <w:r w:rsidRPr="00AA2DFC">
              <w:rPr>
                <w:rStyle w:val="BoldandItalics"/>
              </w:rPr>
              <w:t>Alignment of services</w:t>
            </w:r>
            <w:r w:rsidRPr="00AA2DFC">
              <w:t xml:space="preserve"> refers to:</w:t>
            </w:r>
          </w:p>
        </w:tc>
        <w:tc>
          <w:tcPr>
            <w:tcW w:w="6084" w:type="dxa"/>
            <w:tcBorders>
              <w:top w:val="nil"/>
              <w:left w:val="nil"/>
              <w:bottom w:val="nil"/>
              <w:right w:val="nil"/>
            </w:tcBorders>
            <w:tcMar>
              <w:top w:w="0" w:type="dxa"/>
              <w:left w:w="62" w:type="dxa"/>
              <w:bottom w:w="0" w:type="dxa"/>
              <w:right w:w="62" w:type="dxa"/>
            </w:tcMar>
          </w:tcPr>
          <w:p w:rsidR="00000000" w:rsidP="00AA2DFC">
            <w:pPr>
              <w:pStyle w:val="ListBullet"/>
              <w:rPr>
                <w:lang w:val="en-NZ"/>
              </w:rPr>
            </w:pPr>
            <w:r w:rsidRPr="00AA2DFC">
              <w:t>location of utilities' assets at a certain or agreed distance from property boundaries in the road reserve</w:t>
            </w:r>
          </w:p>
        </w:tc>
      </w:tr>
      <w:tr w:rsidTr="009F6C6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AA2DFC">
            <w:pPr>
              <w:pStyle w:val="BodyText"/>
              <w:rPr>
                <w:lang w:val="en-NZ"/>
              </w:rPr>
            </w:pPr>
            <w:r w:rsidRPr="00AA2DFC">
              <w:rPr>
                <w:rStyle w:val="BoldandItalics"/>
              </w:rPr>
              <w:t>Utility locating procedures</w:t>
            </w:r>
            <w:r w:rsidRPr="00AA2DFC">
              <w:t xml:space="preserve"> may include locating utility apparatus using:</w:t>
            </w:r>
          </w:p>
        </w:tc>
        <w:tc>
          <w:tcPr>
            <w:tcW w:w="6084" w:type="dxa"/>
            <w:tcBorders>
              <w:top w:val="nil"/>
              <w:left w:val="nil"/>
              <w:bottom w:val="nil"/>
              <w:right w:val="nil"/>
            </w:tcBorders>
            <w:tcMar>
              <w:top w:w="0" w:type="dxa"/>
              <w:left w:w="62" w:type="dxa"/>
              <w:bottom w:w="0" w:type="dxa"/>
              <w:right w:w="62" w:type="dxa"/>
            </w:tcMar>
          </w:tcPr>
          <w:p w:rsidR="00000000" w:rsidRPr="00AA2DFC" w:rsidP="00AA2DFC">
            <w:pPr>
              <w:pStyle w:val="ListBullet"/>
            </w:pPr>
            <w:r w:rsidRPr="00AA2DFC">
              <w:t>utility plans</w:t>
            </w:r>
          </w:p>
          <w:p w:rsidR="00000000" w:rsidRPr="00AA2DFC" w:rsidP="00AA2DFC">
            <w:pPr>
              <w:pStyle w:val="ListBullet"/>
            </w:pPr>
            <w:r w:rsidRPr="00AA2DFC">
              <w:t>surface fittings</w:t>
            </w:r>
          </w:p>
          <w:p w:rsidR="00000000" w:rsidRPr="00AA2DFC" w:rsidP="00AA2DFC">
            <w:pPr>
              <w:pStyle w:val="ListBullet"/>
            </w:pPr>
            <w:r w:rsidRPr="00AA2DFC">
              <w:t>indicators or markers</w:t>
            </w:r>
          </w:p>
          <w:p w:rsidR="00000000" w:rsidRPr="00AA2DFC" w:rsidP="00AA2DFC">
            <w:pPr>
              <w:pStyle w:val="ListBullet"/>
            </w:pPr>
            <w:r w:rsidRPr="00AA2DFC">
              <w:t>standard allocations</w:t>
            </w:r>
          </w:p>
          <w:p w:rsidR="00000000" w:rsidRPr="00AA2DFC" w:rsidP="00AA2DFC">
            <w:pPr>
              <w:pStyle w:val="ListBullet"/>
            </w:pPr>
            <w:r w:rsidRPr="00AA2DFC">
              <w:t>on-site features</w:t>
            </w:r>
          </w:p>
          <w:p w:rsidR="00000000" w:rsidP="00AA2DFC">
            <w:pPr>
              <w:pStyle w:val="ListBullet"/>
              <w:rPr>
                <w:lang w:val="en-NZ"/>
              </w:rPr>
            </w:pPr>
            <w:r w:rsidRPr="00AA2DFC">
              <w:t>manual location</w:t>
            </w:r>
          </w:p>
        </w:tc>
      </w:tr>
      <w:tr w:rsidTr="009F6C6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AA2DFC">
            <w:pPr>
              <w:pStyle w:val="BodyText"/>
              <w:rPr>
                <w:lang w:val="en-NZ"/>
              </w:rPr>
            </w:pPr>
            <w:r w:rsidRPr="00AA2DFC">
              <w:rPr>
                <w:rStyle w:val="BoldandItalics"/>
              </w:rPr>
              <w:t>Type</w:t>
            </w:r>
            <w:r w:rsidRPr="00AA2DFC">
              <w:t xml:space="preserve">, </w:t>
            </w:r>
            <w:r w:rsidRPr="00AA2DFC">
              <w:rPr>
                <w:rStyle w:val="BoldandItalics"/>
              </w:rPr>
              <w:t>size and likely configuration</w:t>
            </w:r>
            <w:r w:rsidRPr="00AA2DFC">
              <w:t xml:space="preserve"> of utility apparatus may include:</w:t>
            </w:r>
          </w:p>
        </w:tc>
        <w:tc>
          <w:tcPr>
            <w:tcW w:w="6084" w:type="dxa"/>
            <w:tcBorders>
              <w:top w:val="nil"/>
              <w:left w:val="nil"/>
              <w:bottom w:val="nil"/>
              <w:right w:val="nil"/>
            </w:tcBorders>
            <w:tcMar>
              <w:top w:w="0" w:type="dxa"/>
              <w:left w:w="62" w:type="dxa"/>
              <w:bottom w:w="0" w:type="dxa"/>
              <w:right w:w="62" w:type="dxa"/>
            </w:tcMar>
          </w:tcPr>
          <w:p w:rsidR="00000000" w:rsidRPr="00AA2DFC" w:rsidP="00AA2DFC">
            <w:pPr>
              <w:pStyle w:val="ListBullet"/>
            </w:pPr>
            <w:r w:rsidRPr="00AA2DFC">
              <w:t>colour</w:t>
            </w:r>
          </w:p>
          <w:p w:rsidR="00000000" w:rsidRPr="00AA2DFC" w:rsidP="00AA2DFC">
            <w:pPr>
              <w:pStyle w:val="ListBullet"/>
            </w:pPr>
            <w:r w:rsidRPr="00AA2DFC">
              <w:t>materials</w:t>
            </w:r>
          </w:p>
          <w:p w:rsidR="00000000" w:rsidRPr="00AA2DFC" w:rsidP="00AA2DFC">
            <w:pPr>
              <w:pStyle w:val="ListBullet"/>
            </w:pPr>
            <w:r w:rsidRPr="00AA2DFC">
              <w:t>appearance</w:t>
            </w:r>
          </w:p>
          <w:p w:rsidR="00000000" w:rsidRPr="00AA2DFC" w:rsidP="00AA2DFC">
            <w:pPr>
              <w:pStyle w:val="ListBullet"/>
            </w:pPr>
            <w:r w:rsidRPr="00AA2DFC">
              <w:t>dimensions</w:t>
            </w:r>
          </w:p>
          <w:p w:rsidR="00000000" w:rsidRPr="00AA2DFC" w:rsidP="00AA2DFC">
            <w:pPr>
              <w:pStyle w:val="ListBullet"/>
            </w:pPr>
            <w:r w:rsidRPr="00AA2DFC">
              <w:t>installation practices</w:t>
            </w:r>
          </w:p>
          <w:p w:rsidR="00000000" w:rsidP="00AA2DFC">
            <w:pPr>
              <w:pStyle w:val="ListBullet"/>
              <w:rPr>
                <w:lang w:val="en-NZ"/>
              </w:rPr>
            </w:pPr>
            <w:r w:rsidRPr="00AA2DFC">
              <w:t>arrangement of apparatus</w:t>
            </w:r>
          </w:p>
        </w:tc>
      </w:tr>
      <w:tr w:rsidTr="009F6C6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AA2DFC">
            <w:pPr>
              <w:pStyle w:val="BodyText"/>
              <w:rPr>
                <w:lang w:val="en-NZ"/>
              </w:rPr>
            </w:pPr>
            <w:r w:rsidRPr="00AA2DFC">
              <w:rPr>
                <w:rStyle w:val="BoldandItalics"/>
              </w:rPr>
              <w:t>Legislative and organisational requirements</w:t>
            </w:r>
            <w:r w:rsidRPr="00AA2DFC">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AA2DFC" w:rsidP="00AA2DFC">
            <w:pPr>
              <w:pStyle w:val="ListBullet"/>
            </w:pPr>
            <w:r w:rsidRPr="00AA2DFC">
              <w:t>relevant federal and state or territory legislation and regulations</w:t>
            </w:r>
          </w:p>
          <w:p w:rsidR="00000000" w:rsidRPr="00AA2DFC" w:rsidP="00AA2DFC">
            <w:pPr>
              <w:pStyle w:val="ListBullet"/>
            </w:pPr>
            <w:r w:rsidRPr="00AA2DFC">
              <w:t>codes of practice, associated standards and guidance material</w:t>
            </w:r>
          </w:p>
          <w:p w:rsidR="00000000" w:rsidRPr="00AA2DFC" w:rsidP="00AA2DFC">
            <w:pPr>
              <w:pStyle w:val="ListBullet"/>
            </w:pPr>
            <w:r w:rsidRPr="00AA2DFC">
              <w:t>documented organisational policies, manuals and induction programs</w:t>
            </w:r>
          </w:p>
          <w:p w:rsidR="00000000" w:rsidP="00AA2DFC">
            <w:pPr>
              <w:pStyle w:val="ListBullet"/>
              <w:rPr>
                <w:lang w:val="en-NZ"/>
              </w:rPr>
            </w:pPr>
            <w:r w:rsidRPr="00AA2DFC">
              <w:t>relevant community planning and development agreements, suc</w:t>
            </w:r>
            <w:r w:rsidRPr="00AA2DFC">
              <w:t>h as land care agreements</w:t>
            </w:r>
          </w:p>
        </w:tc>
      </w:tr>
      <w:tr w:rsidTr="009F6C6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AA2DFC">
            <w:pPr>
              <w:pStyle w:val="BodyText"/>
              <w:rPr>
                <w:lang w:val="en-NZ"/>
              </w:rPr>
            </w:pPr>
            <w:r w:rsidRPr="00AA2DFC">
              <w:rPr>
                <w:rStyle w:val="BoldandItalics"/>
              </w:rPr>
              <w:t>Appropriate tools and equipment</w:t>
            </w:r>
            <w:r w:rsidRPr="00AA2DFC">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AA2DFC" w:rsidP="00AA2DFC">
            <w:pPr>
              <w:pStyle w:val="ListBullet"/>
            </w:pPr>
            <w:r w:rsidRPr="00AA2DFC">
              <w:t xml:space="preserve">personal protective equipment </w:t>
            </w:r>
          </w:p>
          <w:p w:rsidR="00000000" w:rsidRPr="00AA2DFC" w:rsidP="00AA2DFC">
            <w:pPr>
              <w:pStyle w:val="ListBullet"/>
            </w:pPr>
            <w:r w:rsidRPr="00AA2DFC">
              <w:t>shovels with insulated handles</w:t>
            </w:r>
          </w:p>
          <w:p w:rsidR="00000000" w:rsidRPr="00AA2DFC" w:rsidP="00AA2DFC">
            <w:pPr>
              <w:pStyle w:val="ListBullet"/>
            </w:pPr>
            <w:r w:rsidRPr="00AA2DFC">
              <w:t>crow bars with insulated handles</w:t>
            </w:r>
          </w:p>
          <w:p w:rsidR="00000000" w:rsidRPr="00AA2DFC" w:rsidP="00AA2DFC">
            <w:pPr>
              <w:pStyle w:val="ListBullet"/>
            </w:pPr>
            <w:r w:rsidRPr="00AA2DFC">
              <w:t>air or water vacuum potholing equipment</w:t>
            </w:r>
          </w:p>
          <w:p w:rsidR="00000000" w:rsidRPr="00AA2DFC" w:rsidP="00AA2DFC">
            <w:pPr>
              <w:pStyle w:val="ListBullet"/>
            </w:pPr>
            <w:r w:rsidRPr="00AA2DFC">
              <w:t>hand and power tools</w:t>
            </w:r>
          </w:p>
          <w:p w:rsidR="00000000" w:rsidRPr="00AA2DFC" w:rsidP="00AA2DFC">
            <w:pPr>
              <w:pStyle w:val="ListBullet"/>
            </w:pPr>
            <w:r w:rsidRPr="00AA2DFC">
              <w:t>lifting and winching equipment</w:t>
            </w:r>
          </w:p>
          <w:p w:rsidR="00000000" w:rsidRPr="00AA2DFC" w:rsidP="00AA2DFC">
            <w:pPr>
              <w:pStyle w:val="ListBullet"/>
            </w:pPr>
            <w:r w:rsidRPr="00AA2DFC">
              <w:t>mechanical excavation equipment</w:t>
            </w:r>
          </w:p>
          <w:p w:rsidR="00000000" w:rsidRPr="00AA2DFC" w:rsidP="00AA2DFC">
            <w:pPr>
              <w:pStyle w:val="ListBullet"/>
            </w:pPr>
            <w:r w:rsidRPr="00AA2DFC">
              <w:t>pneumatic and motorised equipment, including:</w:t>
            </w:r>
          </w:p>
          <w:p w:rsidR="00000000" w:rsidRPr="00AA2DFC" w:rsidP="00AA2DFC">
            <w:pPr>
              <w:pStyle w:val="ListBullet2"/>
            </w:pPr>
            <w:r w:rsidRPr="00AA2DFC">
              <w:t>compressors</w:t>
            </w:r>
          </w:p>
          <w:p w:rsidR="00000000" w:rsidRPr="00AA2DFC" w:rsidP="00AA2DFC">
            <w:pPr>
              <w:pStyle w:val="ListBullet2"/>
            </w:pPr>
            <w:r w:rsidRPr="00AA2DFC">
              <w:t>pneumatic spades and attachments</w:t>
            </w:r>
          </w:p>
          <w:p w:rsidR="00000000" w:rsidRPr="00AA2DFC" w:rsidP="00AA2DFC">
            <w:pPr>
              <w:pStyle w:val="ListBullet2"/>
            </w:pPr>
            <w:r w:rsidRPr="00AA2DFC">
              <w:t>motorised cutting equipment</w:t>
            </w:r>
          </w:p>
          <w:p w:rsidR="00000000" w:rsidRPr="00AA2DFC" w:rsidP="00AA2DFC">
            <w:pPr>
              <w:pStyle w:val="ListBullet"/>
            </w:pPr>
            <w:r w:rsidRPr="00AA2DFC">
              <w:t>on- and off-road vehicles</w:t>
            </w:r>
          </w:p>
          <w:p w:rsidR="00000000" w:rsidRPr="00AA2DFC" w:rsidP="00AA2DFC">
            <w:pPr>
              <w:pStyle w:val="ListBullet"/>
            </w:pPr>
            <w:r w:rsidRPr="00AA2DFC">
              <w:t>portable pumps</w:t>
            </w:r>
          </w:p>
          <w:p w:rsidR="00000000" w:rsidP="00AA2DFC">
            <w:pPr>
              <w:pStyle w:val="ListBullet"/>
              <w:rPr>
                <w:lang w:val="en-NZ"/>
              </w:rPr>
            </w:pPr>
            <w:r w:rsidRPr="00AA2DFC">
              <w:t>communication equipment</w:t>
            </w:r>
          </w:p>
        </w:tc>
      </w:tr>
      <w:tr w:rsidTr="009F6C6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AA2DFC">
            <w:pPr>
              <w:pStyle w:val="BodyText"/>
              <w:rPr>
                <w:lang w:val="en-NZ"/>
              </w:rPr>
            </w:pPr>
            <w:r w:rsidRPr="00AA2DFC">
              <w:rPr>
                <w:rStyle w:val="BoldandItalics"/>
              </w:rPr>
              <w:t>Apparatus</w:t>
            </w:r>
            <w:r w:rsidRPr="00AA2DFC">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AA2DFC" w:rsidP="00AA2DFC">
            <w:pPr>
              <w:pStyle w:val="ListBullet"/>
            </w:pPr>
            <w:r w:rsidRPr="00AA2DFC">
              <w:t>pipes, including:</w:t>
            </w:r>
          </w:p>
          <w:p w:rsidR="00000000" w:rsidRPr="00AA2DFC" w:rsidP="00AA2DFC">
            <w:pPr>
              <w:pStyle w:val="ListBullet2"/>
            </w:pPr>
            <w:r w:rsidRPr="00AA2DFC">
              <w:t>vitrified clay</w:t>
            </w:r>
          </w:p>
          <w:p w:rsidR="00000000" w:rsidRPr="00AA2DFC" w:rsidP="00AA2DFC">
            <w:pPr>
              <w:pStyle w:val="ListBullet2"/>
            </w:pPr>
            <w:r w:rsidRPr="00AA2DFC">
              <w:t>reinforced concrete</w:t>
            </w:r>
          </w:p>
          <w:p w:rsidR="00000000" w:rsidRPr="00AA2DFC" w:rsidP="00AA2DFC">
            <w:pPr>
              <w:pStyle w:val="ListBullet2"/>
            </w:pPr>
            <w:r w:rsidRPr="00AA2DFC">
              <w:t>polyvinyl chloride (PVC)</w:t>
            </w:r>
          </w:p>
          <w:p w:rsidR="00000000" w:rsidRPr="00AA2DFC" w:rsidP="00AA2DFC">
            <w:pPr>
              <w:pStyle w:val="ListBullet2"/>
            </w:pPr>
            <w:r w:rsidRPr="00AA2DFC">
              <w:t>polyethylene</w:t>
            </w:r>
          </w:p>
          <w:p w:rsidR="00000000" w:rsidRPr="00AA2DFC" w:rsidP="00AA2DFC">
            <w:pPr>
              <w:pStyle w:val="ListBullet2"/>
            </w:pPr>
            <w:r w:rsidRPr="00AA2DFC">
              <w:t>cast iron cement lined</w:t>
            </w:r>
          </w:p>
          <w:p w:rsidR="00000000" w:rsidRPr="00AA2DFC" w:rsidP="00AA2DFC">
            <w:pPr>
              <w:pStyle w:val="ListBullet2"/>
            </w:pPr>
            <w:r w:rsidRPr="00AA2DFC">
              <w:t>ductile iron cement lined</w:t>
            </w:r>
          </w:p>
          <w:p w:rsidR="00000000" w:rsidRPr="00AA2DFC" w:rsidP="00AA2DFC">
            <w:pPr>
              <w:pStyle w:val="ListBullet2"/>
            </w:pPr>
            <w:r w:rsidRPr="00AA2DFC">
              <w:t>glass reinforced piping</w:t>
            </w:r>
          </w:p>
          <w:p w:rsidR="00000000" w:rsidRPr="00AA2DFC" w:rsidP="00AA2DFC">
            <w:pPr>
              <w:pStyle w:val="ListBullet2"/>
            </w:pPr>
            <w:r w:rsidRPr="00AA2DFC">
              <w:t>mild steel cement lined</w:t>
            </w:r>
          </w:p>
          <w:p w:rsidR="00000000" w:rsidRPr="00AA2DFC" w:rsidP="00AA2DFC">
            <w:pPr>
              <w:pStyle w:val="ListBullet"/>
            </w:pPr>
            <w:r w:rsidRPr="00AA2DFC">
              <w:t>structures, including:</w:t>
            </w:r>
          </w:p>
          <w:p w:rsidR="00000000" w:rsidRPr="00AA2DFC" w:rsidP="00AA2DFC">
            <w:pPr>
              <w:pStyle w:val="ListBullet2"/>
            </w:pPr>
            <w:r w:rsidRPr="00AA2DFC">
              <w:t>meter pits</w:t>
            </w:r>
          </w:p>
          <w:p w:rsidR="00000000" w:rsidRPr="00AA2DFC" w:rsidP="00AA2DFC">
            <w:pPr>
              <w:pStyle w:val="ListBullet2"/>
            </w:pPr>
            <w:r w:rsidRPr="00AA2DFC">
              <w:t>valve pits</w:t>
            </w:r>
          </w:p>
          <w:p w:rsidR="00000000" w:rsidRPr="00AA2DFC" w:rsidP="00AA2DFC">
            <w:pPr>
              <w:pStyle w:val="ListBullet2"/>
            </w:pPr>
            <w:r w:rsidRPr="00AA2DFC">
              <w:t>drop structures</w:t>
            </w:r>
          </w:p>
          <w:p w:rsidR="00000000" w:rsidRPr="00AA2DFC" w:rsidP="00AA2DFC">
            <w:pPr>
              <w:pStyle w:val="ListBullet2"/>
            </w:pPr>
            <w:r w:rsidRPr="00AA2DFC">
              <w:t>regulators</w:t>
            </w:r>
          </w:p>
          <w:p w:rsidR="00000000" w:rsidRPr="00AA2DFC" w:rsidP="00AA2DFC">
            <w:pPr>
              <w:pStyle w:val="ListBullet2"/>
            </w:pPr>
            <w:r w:rsidRPr="00AA2DFC">
              <w:t>erosion barriers</w:t>
            </w:r>
          </w:p>
          <w:p w:rsidR="00000000" w:rsidRPr="00AA2DFC" w:rsidP="00AA2DFC">
            <w:pPr>
              <w:pStyle w:val="ListBullet2"/>
            </w:pPr>
            <w:r w:rsidRPr="00AA2DFC">
              <w:t>person access chambers and pits</w:t>
            </w:r>
          </w:p>
          <w:p w:rsidR="00000000" w:rsidRPr="00AA2DFC" w:rsidP="00AA2DFC">
            <w:pPr>
              <w:pStyle w:val="ListBullet2"/>
            </w:pPr>
            <w:r w:rsidRPr="00AA2DFC">
              <w:t>head walls</w:t>
            </w:r>
          </w:p>
          <w:p w:rsidR="00000000" w:rsidRPr="00AA2DFC" w:rsidP="00AA2DFC">
            <w:pPr>
              <w:pStyle w:val="ListBullet2"/>
            </w:pPr>
            <w:r w:rsidRPr="00AA2DFC">
              <w:t>thrust blocks</w:t>
            </w:r>
          </w:p>
          <w:p w:rsidR="00000000" w:rsidRPr="00AA2DFC" w:rsidP="00AA2DFC">
            <w:pPr>
              <w:pStyle w:val="ListBullet2"/>
            </w:pPr>
            <w:r w:rsidRPr="00AA2DFC">
              <w:t>inspection shafts</w:t>
            </w:r>
          </w:p>
        </w:tc>
      </w:tr>
    </w:tbl>
    <w:p w:rsidR="009F6C61" w:rsidP="00AA2DFC">
      <w:pPr>
        <w:pStyle w:val="BodyText"/>
      </w:pPr>
    </w:p>
    <w:p w:rsidR="009F6C61" w:rsidP="00AA2DFC">
      <w:pPr>
        <w:pStyle w:val="BodyText"/>
      </w:pPr>
    </w:p>
    <w:p w:rsidR="00000000" w:rsidRPr="00AA2DFC" w:rsidP="00AA2DFC">
      <w:pPr>
        <w:pStyle w:val="Heading1"/>
      </w:pPr>
      <w:bookmarkStart w:id="12" w:name="O_404093"/>
      <w:bookmarkEnd w:id="12"/>
      <w:r w:rsidRPr="00AA2DFC">
        <w:t>Unit Sector(s)</w:t>
      </w:r>
    </w:p>
    <w:p w:rsidR="00000000" w:rsidRPr="00AA2DFC" w:rsidP="00AA2DFC">
      <w:pPr>
        <w:pStyle w:val="BodyText"/>
      </w:pPr>
      <w:r w:rsidRPr="00AA2DFC">
        <w:t>Not applicable.</w:t>
      </w:r>
    </w:p>
    <w:p w:rsidR="00000000" w:rsidRPr="00AA2DFC" w:rsidP="00AA2DFC">
      <w:pPr>
        <w:pStyle w:val="AllowPageBreak"/>
      </w:pPr>
    </w:p>
    <w:p w:rsidR="00000000" w:rsidRPr="00AA2DFC" w:rsidP="00AA2DFC">
      <w:pPr>
        <w:pStyle w:val="Heading1"/>
      </w:pPr>
      <w:bookmarkStart w:id="13" w:name="O_404105"/>
      <w:bookmarkEnd w:id="13"/>
      <w:r w:rsidRPr="00AA2DFC">
        <w:t>Competency field</w:t>
      </w:r>
    </w:p>
    <w:p w:rsidR="00000000" w:rsidRPr="00AA2DFC" w:rsidP="00AA2DFC">
      <w:pPr>
        <w:pStyle w:val="BodyText"/>
      </w:pPr>
      <w:r w:rsidRPr="00AA2DFC">
        <w:t>Common.</w:t>
      </w:r>
    </w:p>
    <w:p w:rsidR="00000000" w:rsidRPr="00AA2DFC" w:rsidP="00AA2DFC"/>
    <w:sectPr w:rsidSect="00AA2D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D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6C61" w:rsidP="009F6C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D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C61" w:rsidP="00AA2D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F6C61" w:rsidP="00AA2D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F6C61" w:rsidP="00AA2D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D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DFC" w:rsidRPr="009F6C61" w:rsidP="009F6C6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D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C61" w:rsidP="00AA2DFC">
    <w:pPr>
      <w:pStyle w:val="Header"/>
      <w:framePr w:wrap="around"/>
    </w:pPr>
    <w:r>
      <w:fldChar w:fldCharType="begin"/>
    </w:r>
    <w:r>
      <w:instrText xml:space="preserve"> TITLE   \* MERGEFORMAT </w:instrText>
    </w:r>
    <w:r>
      <w:fldChar w:fldCharType="separate"/>
    </w:r>
    <w:r>
      <w:t>NWP234B Locate, identify and protect utility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6C61" w:rsidP="00AA2D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7CE8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CA79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349F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D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2DFC"/>
    <w:pPr>
      <w:spacing w:before="360" w:after="60"/>
      <w:outlineLvl w:val="0"/>
    </w:pPr>
    <w:rPr>
      <w:sz w:val="32"/>
    </w:rPr>
  </w:style>
  <w:style w:type="paragraph" w:styleId="Heading2">
    <w:name w:val="heading 2"/>
    <w:basedOn w:val="HeadingBase"/>
    <w:next w:val="BodyText"/>
    <w:link w:val="Heading2Char"/>
    <w:qFormat/>
    <w:rsid w:val="00AA2DFC"/>
    <w:pPr>
      <w:keepLines/>
      <w:spacing w:before="240" w:after="120"/>
      <w:outlineLvl w:val="1"/>
    </w:pPr>
    <w:rPr>
      <w:sz w:val="28"/>
      <w:szCs w:val="40"/>
    </w:rPr>
  </w:style>
  <w:style w:type="paragraph" w:styleId="Heading3">
    <w:name w:val="heading 3"/>
    <w:basedOn w:val="HeadingBase"/>
    <w:next w:val="BodyText"/>
    <w:link w:val="Heading3Char"/>
    <w:qFormat/>
    <w:rsid w:val="00AA2DFC"/>
    <w:pPr>
      <w:spacing w:before="180" w:after="120"/>
      <w:outlineLvl w:val="2"/>
    </w:pPr>
    <w:rPr>
      <w:spacing w:val="-10"/>
      <w:kern w:val="32"/>
    </w:rPr>
  </w:style>
  <w:style w:type="paragraph" w:styleId="Heading4">
    <w:name w:val="heading 4"/>
    <w:basedOn w:val="HeadingBase"/>
    <w:next w:val="BodyText"/>
    <w:link w:val="Heading4Char"/>
    <w:qFormat/>
    <w:rsid w:val="00AA2DFC"/>
    <w:pPr>
      <w:spacing w:before="160" w:after="120"/>
      <w:outlineLvl w:val="3"/>
    </w:pPr>
    <w:rPr>
      <w:sz w:val="22"/>
    </w:rPr>
  </w:style>
  <w:style w:type="paragraph" w:styleId="Heading5">
    <w:name w:val="heading 5"/>
    <w:basedOn w:val="HeadingBase"/>
    <w:next w:val="Normal"/>
    <w:link w:val="Heading5Char"/>
    <w:qFormat/>
    <w:rsid w:val="00AA2DFC"/>
    <w:pPr>
      <w:spacing w:before="80"/>
      <w:outlineLvl w:val="4"/>
    </w:pPr>
    <w:rPr>
      <w:color w:val="918585"/>
      <w:sz w:val="20"/>
    </w:rPr>
  </w:style>
  <w:style w:type="paragraph" w:styleId="Heading6">
    <w:name w:val="heading 6"/>
    <w:basedOn w:val="HeadingBase"/>
    <w:next w:val="Normal"/>
    <w:link w:val="Heading6Char"/>
    <w:qFormat/>
    <w:rsid w:val="00AA2DFC"/>
    <w:pPr>
      <w:spacing w:before="60"/>
      <w:outlineLvl w:val="5"/>
    </w:pPr>
    <w:rPr>
      <w:color w:val="918585"/>
      <w:sz w:val="20"/>
    </w:rPr>
  </w:style>
  <w:style w:type="paragraph" w:styleId="Heading7">
    <w:name w:val="heading 7"/>
    <w:basedOn w:val="Normal"/>
    <w:next w:val="Normal"/>
    <w:link w:val="Heading7Char"/>
    <w:qFormat/>
    <w:rsid w:val="00AA2DFC"/>
    <w:pPr>
      <w:ind w:left="720"/>
      <w:outlineLvl w:val="6"/>
    </w:pPr>
    <w:rPr>
      <w:i/>
    </w:rPr>
  </w:style>
  <w:style w:type="paragraph" w:styleId="Heading8">
    <w:name w:val="heading 8"/>
    <w:basedOn w:val="Normal"/>
    <w:next w:val="Normal"/>
    <w:link w:val="Heading8Char"/>
    <w:qFormat/>
    <w:rsid w:val="00AA2DFC"/>
    <w:pPr>
      <w:ind w:left="720"/>
      <w:outlineLvl w:val="7"/>
    </w:pPr>
    <w:rPr>
      <w:i/>
    </w:rPr>
  </w:style>
  <w:style w:type="paragraph" w:styleId="Heading9">
    <w:name w:val="heading 9"/>
    <w:basedOn w:val="Normal"/>
    <w:next w:val="Normal"/>
    <w:link w:val="Heading9Char"/>
    <w:qFormat/>
    <w:rsid w:val="00AA2DFC"/>
    <w:pPr>
      <w:ind w:left="720"/>
      <w:outlineLvl w:val="8"/>
    </w:pPr>
    <w:rPr>
      <w:i/>
    </w:rPr>
  </w:style>
  <w:style w:type="character" w:default="1" w:styleId="DefaultParagraphFont">
    <w:name w:val="Default Paragraph Font"/>
    <w:uiPriority w:val="1"/>
    <w:unhideWhenUsed/>
    <w:rsid w:val="00AA2D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2DFC"/>
  </w:style>
  <w:style w:type="character" w:customStyle="1" w:styleId="Heading1Char">
    <w:name w:val="Heading 1 Char"/>
    <w:link w:val="Heading1"/>
    <w:rsid w:val="00AA2DFC"/>
    <w:rPr>
      <w:rFonts w:ascii="Times New Roman" w:eastAsia="Times New Roman" w:hAnsi="Times New Roman" w:cs="Times New Roman"/>
      <w:b/>
      <w:sz w:val="32"/>
      <w:szCs w:val="20"/>
      <w:lang w:eastAsia="en-US"/>
    </w:rPr>
  </w:style>
  <w:style w:type="paragraph" w:styleId="BodyText">
    <w:name w:val="Body Text"/>
    <w:basedOn w:val="Normal"/>
    <w:link w:val="BodyTextChar"/>
    <w:rsid w:val="00AA2DFC"/>
    <w:pPr>
      <w:spacing w:before="120" w:after="120"/>
      <w:contextualSpacing/>
    </w:pPr>
    <w:rPr>
      <w:rFonts w:ascii="Times New Roman" w:hAnsi="Times New Roman"/>
      <w:sz w:val="24"/>
      <w:szCs w:val="22"/>
    </w:rPr>
  </w:style>
  <w:style w:type="character" w:customStyle="1" w:styleId="BodyTextChar">
    <w:name w:val="Body Text Char"/>
    <w:link w:val="BodyText"/>
    <w:rsid w:val="00AA2DFC"/>
    <w:rPr>
      <w:rFonts w:ascii="Times New Roman" w:eastAsia="Times New Roman" w:hAnsi="Times New Roman" w:cs="Times New Roman"/>
      <w:sz w:val="24"/>
      <w:lang w:val="en-US" w:eastAsia="en-US"/>
    </w:rPr>
  </w:style>
  <w:style w:type="paragraph" w:styleId="Footer">
    <w:name w:val="footer"/>
    <w:basedOn w:val="Normal"/>
    <w:link w:val="FooterChar"/>
    <w:rsid w:val="00AA2D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A2DFC"/>
    <w:rPr>
      <w:rFonts w:ascii="Times New Roman" w:eastAsia="Times New Roman" w:hAnsi="Times New Roman" w:cs="Times New Roman"/>
      <w:sz w:val="16"/>
      <w:lang w:val="en-US" w:eastAsia="en-US"/>
    </w:rPr>
  </w:style>
  <w:style w:type="paragraph" w:styleId="List">
    <w:name w:val="List"/>
    <w:basedOn w:val="BodyText"/>
    <w:next w:val="BodyText"/>
    <w:rsid w:val="00AA2DFC"/>
    <w:pPr>
      <w:tabs>
        <w:tab w:val="left" w:pos="340"/>
      </w:tabs>
      <w:spacing w:before="60" w:after="60"/>
      <w:ind w:left="340" w:hanging="340"/>
    </w:pPr>
  </w:style>
  <w:style w:type="paragraph" w:styleId="ListBullet">
    <w:name w:val="List Bullet"/>
    <w:basedOn w:val="List"/>
    <w:rsid w:val="00AA2DFC"/>
    <w:pPr>
      <w:numPr>
        <w:numId w:val="13"/>
      </w:numPr>
      <w:tabs>
        <w:tab w:val="clear" w:pos="340"/>
      </w:tabs>
      <w:spacing w:before="40" w:after="40"/>
    </w:pPr>
  </w:style>
  <w:style w:type="character" w:customStyle="1" w:styleId="SpecialBold">
    <w:name w:val="Special Bold"/>
    <w:rsid w:val="00AA2DFC"/>
    <w:rPr>
      <w:b/>
      <w:spacing w:val="0"/>
    </w:rPr>
  </w:style>
  <w:style w:type="paragraph" w:styleId="ListBullet2">
    <w:name w:val="List Bullet 2"/>
    <w:basedOn w:val="List2"/>
    <w:rsid w:val="00AA2DFC"/>
    <w:pPr>
      <w:numPr>
        <w:numId w:val="14"/>
      </w:numPr>
      <w:tabs>
        <w:tab w:val="clear" w:pos="680"/>
      </w:tabs>
    </w:pPr>
  </w:style>
  <w:style w:type="paragraph" w:customStyle="1" w:styleId="SuperHeading">
    <w:name w:val="SuperHeading"/>
    <w:basedOn w:val="Normal"/>
    <w:rsid w:val="00AA2DFC"/>
    <w:pPr>
      <w:spacing w:before="240" w:after="120"/>
      <w:outlineLvl w:val="0"/>
    </w:pPr>
    <w:rPr>
      <w:rFonts w:ascii="Times New Roman" w:hAnsi="Times New Roman"/>
      <w:b/>
      <w:sz w:val="28"/>
    </w:rPr>
  </w:style>
  <w:style w:type="paragraph" w:customStyle="1" w:styleId="AllowPageBreak">
    <w:name w:val="AllowPageBreak"/>
    <w:rsid w:val="00AA2D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A2DFC"/>
    <w:rPr>
      <w:b/>
      <w:i/>
      <w:u w:val="none"/>
    </w:rPr>
  </w:style>
  <w:style w:type="character" w:customStyle="1" w:styleId="Heading2Char">
    <w:name w:val="Heading 2 Char"/>
    <w:link w:val="Heading2"/>
    <w:rsid w:val="00AA2DFC"/>
    <w:rPr>
      <w:rFonts w:ascii="Times New Roman" w:eastAsia="Times New Roman" w:hAnsi="Times New Roman" w:cs="Times New Roman"/>
      <w:b/>
      <w:sz w:val="28"/>
      <w:szCs w:val="40"/>
      <w:lang w:eastAsia="en-US"/>
    </w:rPr>
  </w:style>
  <w:style w:type="character" w:customStyle="1" w:styleId="Heading3Char">
    <w:name w:val="Heading 3 Char"/>
    <w:link w:val="Heading3"/>
    <w:rsid w:val="00AA2DF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A2DFC"/>
    <w:rPr>
      <w:rFonts w:ascii="Times New Roman" w:eastAsia="Times New Roman" w:hAnsi="Times New Roman" w:cs="Times New Roman"/>
      <w:b/>
      <w:szCs w:val="20"/>
      <w:lang w:eastAsia="en-US"/>
    </w:rPr>
  </w:style>
  <w:style w:type="character" w:customStyle="1" w:styleId="Heading5Char">
    <w:name w:val="Heading 5 Char"/>
    <w:link w:val="Heading5"/>
    <w:rsid w:val="00AA2DF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A2D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2D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2D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2DFC"/>
    <w:rPr>
      <w:rFonts w:ascii="Courier New" w:eastAsia="Times New Roman" w:hAnsi="Courier New" w:cs="Times New Roman"/>
      <w:i/>
      <w:szCs w:val="20"/>
      <w:lang w:val="en-US" w:eastAsia="en-US"/>
    </w:rPr>
  </w:style>
  <w:style w:type="paragraph" w:customStyle="1" w:styleId="HeadingBase">
    <w:name w:val="Heading Base"/>
    <w:rsid w:val="00AA2D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2DFC"/>
    <w:pPr>
      <w:tabs>
        <w:tab w:val="right" w:leader="dot" w:pos="9072"/>
      </w:tabs>
      <w:ind w:left="567"/>
    </w:pPr>
    <w:rPr>
      <w:szCs w:val="22"/>
    </w:rPr>
  </w:style>
  <w:style w:type="paragraph" w:customStyle="1" w:styleId="TOCBase">
    <w:name w:val="TOC Base"/>
    <w:rsid w:val="00AA2D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2DFC"/>
    <w:pPr>
      <w:tabs>
        <w:tab w:val="right" w:leader="dot" w:pos="9072"/>
      </w:tabs>
      <w:spacing w:before="40" w:after="40"/>
      <w:ind w:left="284"/>
    </w:pPr>
    <w:rPr>
      <w:rFonts w:ascii="Times New Roman" w:hAnsi="Times New Roman"/>
    </w:rPr>
  </w:style>
  <w:style w:type="paragraph" w:styleId="TOC1">
    <w:name w:val="toc 1"/>
    <w:basedOn w:val="TOCBase"/>
    <w:next w:val="Normal"/>
    <w:rsid w:val="00AA2D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2DFC"/>
    <w:pPr>
      <w:spacing w:before="5040"/>
      <w:jc w:val="center"/>
    </w:pPr>
    <w:rPr>
      <w:sz w:val="48"/>
      <w:szCs w:val="72"/>
      <w:lang w:val="en-US"/>
    </w:rPr>
  </w:style>
  <w:style w:type="character" w:customStyle="1" w:styleId="TitleChar">
    <w:name w:val="Title Char"/>
    <w:link w:val="Title"/>
    <w:rsid w:val="00AA2D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2DFC"/>
    <w:pPr>
      <w:tabs>
        <w:tab w:val="left" w:pos="3600"/>
        <w:tab w:val="left" w:pos="3958"/>
      </w:tabs>
    </w:pPr>
  </w:style>
  <w:style w:type="paragraph" w:customStyle="1" w:styleId="Note">
    <w:name w:val="Note"/>
    <w:basedOn w:val="BodyText"/>
    <w:rsid w:val="00AA2D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2DFC"/>
    <w:pPr>
      <w:framePr w:wrap="auto" w:hAnchor="text" w:y="6049"/>
    </w:pPr>
    <w:rPr>
      <w:color w:val="000000"/>
      <w:sz w:val="40"/>
    </w:rPr>
  </w:style>
  <w:style w:type="paragraph" w:customStyle="1" w:styleId="TOCTitle">
    <w:name w:val="TOCTitle"/>
    <w:basedOn w:val="Heading1"/>
    <w:rsid w:val="00AA2DFC"/>
    <w:pPr>
      <w:spacing w:after="240"/>
      <w:jc w:val="center"/>
      <w:outlineLvl w:val="9"/>
    </w:pPr>
    <w:rPr>
      <w:caps/>
    </w:rPr>
  </w:style>
  <w:style w:type="paragraph" w:customStyle="1" w:styleId="Version">
    <w:name w:val="Version"/>
    <w:rsid w:val="00AA2D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2DFC"/>
    <w:pPr>
      <w:keepNext w:val="0"/>
      <w:tabs>
        <w:tab w:val="right" w:pos="4176"/>
      </w:tabs>
      <w:ind w:left="198" w:hanging="198"/>
    </w:pPr>
    <w:rPr>
      <w:rFonts w:ascii="Garamond" w:hAnsi="Garamond"/>
    </w:rPr>
  </w:style>
  <w:style w:type="paragraph" w:styleId="IndexHeading">
    <w:name w:val="index heading"/>
    <w:basedOn w:val="Normal"/>
    <w:next w:val="Index1"/>
    <w:semiHidden/>
    <w:rsid w:val="00AA2DFC"/>
    <w:pPr>
      <w:spacing w:before="120" w:after="120"/>
    </w:pPr>
    <w:rPr>
      <w:rFonts w:ascii="Arial" w:hAnsi="Arial"/>
      <w:b/>
      <w:color w:val="918585"/>
      <w:sz w:val="24"/>
    </w:rPr>
  </w:style>
  <w:style w:type="paragraph" w:styleId="Header">
    <w:name w:val="header"/>
    <w:basedOn w:val="Normal"/>
    <w:link w:val="HeaderChar"/>
    <w:rsid w:val="00AA2D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A2DFC"/>
    <w:rPr>
      <w:rFonts w:ascii="Times New Roman" w:eastAsia="Times New Roman" w:hAnsi="Times New Roman" w:cs="Times New Roman"/>
      <w:sz w:val="16"/>
      <w:szCs w:val="20"/>
      <w:lang w:val="en-GB" w:eastAsia="en-US"/>
    </w:rPr>
  </w:style>
  <w:style w:type="paragraph" w:customStyle="1" w:styleId="Chapter">
    <w:name w:val="Chapter"/>
    <w:basedOn w:val="Normal"/>
    <w:rsid w:val="00AA2DFC"/>
    <w:pPr>
      <w:spacing w:before="240"/>
    </w:pPr>
    <w:rPr>
      <w:rFonts w:ascii="Times New Roman" w:hAnsi="Times New Roman"/>
      <w:smallCaps/>
      <w:spacing w:val="80"/>
      <w:sz w:val="28"/>
    </w:rPr>
  </w:style>
  <w:style w:type="paragraph" w:customStyle="1" w:styleId="InChapter">
    <w:name w:val="InChapter"/>
    <w:basedOn w:val="Heading3"/>
    <w:rsid w:val="00AA2DFC"/>
    <w:pPr>
      <w:spacing w:after="240"/>
      <w:outlineLvl w:val="9"/>
    </w:pPr>
    <w:rPr>
      <w:noProof/>
    </w:rPr>
  </w:style>
  <w:style w:type="paragraph" w:styleId="Index2">
    <w:name w:val="index 2"/>
    <w:basedOn w:val="Normal"/>
    <w:next w:val="Normal"/>
    <w:semiHidden/>
    <w:rsid w:val="00AA2DFC"/>
    <w:pPr>
      <w:tabs>
        <w:tab w:val="right" w:pos="4176"/>
      </w:tabs>
      <w:ind w:left="568" w:hanging="284"/>
    </w:pPr>
    <w:rPr>
      <w:rFonts w:ascii="Garamond" w:hAnsi="Garamond"/>
    </w:rPr>
  </w:style>
  <w:style w:type="paragraph" w:customStyle="1" w:styleId="Byline">
    <w:name w:val="Byline"/>
    <w:rsid w:val="00AA2D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2DFC"/>
    <w:pPr>
      <w:tabs>
        <w:tab w:val="clear" w:pos="3600"/>
        <w:tab w:val="clear" w:pos="3958"/>
      </w:tabs>
      <w:jc w:val="right"/>
    </w:pPr>
  </w:style>
  <w:style w:type="character" w:styleId="Emphasis">
    <w:name w:val="Emphasis"/>
    <w:qFormat/>
    <w:rsid w:val="00AA2DFC"/>
    <w:rPr>
      <w:i/>
    </w:rPr>
  </w:style>
  <w:style w:type="paragraph" w:styleId="Caption">
    <w:name w:val="caption"/>
    <w:basedOn w:val="BodyText"/>
    <w:next w:val="Normal"/>
    <w:qFormat/>
    <w:rsid w:val="00AA2DFC"/>
    <w:pPr>
      <w:framePr w:w="2268" w:hSpace="181" w:vSpace="181" w:wrap="around" w:vAnchor="text" w:hAnchor="page" w:x="1135" w:y="285" w:anchorLock="1"/>
    </w:pPr>
    <w:rPr>
      <w:i/>
    </w:rPr>
  </w:style>
  <w:style w:type="paragraph" w:customStyle="1" w:styleId="MiniTOCTitle">
    <w:name w:val="MiniTOCTitle"/>
    <w:basedOn w:val="Heading4"/>
    <w:rsid w:val="00AA2DFC"/>
    <w:pPr>
      <w:spacing w:before="240"/>
      <w:outlineLvl w:val="9"/>
    </w:pPr>
    <w:rPr>
      <w:noProof/>
      <w:sz w:val="24"/>
    </w:rPr>
  </w:style>
  <w:style w:type="paragraph" w:customStyle="1" w:styleId="MiniTOCItem">
    <w:name w:val="MiniTOCItem"/>
    <w:basedOn w:val="ListBullet"/>
    <w:rsid w:val="00AA2DFC"/>
    <w:pPr>
      <w:numPr>
        <w:numId w:val="0"/>
      </w:numPr>
      <w:tabs>
        <w:tab w:val="right" w:leader="dot" w:pos="6521"/>
      </w:tabs>
      <w:spacing w:before="0" w:after="0"/>
    </w:pPr>
  </w:style>
  <w:style w:type="paragraph" w:customStyle="1" w:styleId="TOFTitle">
    <w:name w:val="TOFTitle"/>
    <w:basedOn w:val="TOCTitle"/>
    <w:rsid w:val="00AA2DFC"/>
  </w:style>
  <w:style w:type="paragraph" w:styleId="TableofFigures">
    <w:name w:val="table of figures"/>
    <w:basedOn w:val="Normal"/>
    <w:next w:val="Normal"/>
    <w:semiHidden/>
    <w:rsid w:val="00AA2DFC"/>
    <w:pPr>
      <w:tabs>
        <w:tab w:val="right" w:leader="dot" w:pos="9072"/>
      </w:tabs>
      <w:ind w:left="970" w:hanging="403"/>
    </w:pPr>
    <w:rPr>
      <w:rFonts w:ascii="Times New Roman" w:hAnsi="Times New Roman"/>
      <w:b/>
    </w:rPr>
  </w:style>
  <w:style w:type="paragraph" w:styleId="ListNumber">
    <w:name w:val="List Number"/>
    <w:basedOn w:val="List"/>
    <w:rsid w:val="00AA2DFC"/>
    <w:pPr>
      <w:numPr>
        <w:numId w:val="11"/>
      </w:numPr>
    </w:pPr>
  </w:style>
  <w:style w:type="character" w:customStyle="1" w:styleId="WingdingSymbols">
    <w:name w:val="Wingding Symbols"/>
    <w:rsid w:val="00AA2DFC"/>
    <w:rPr>
      <w:rFonts w:ascii="Wingdings" w:hAnsi="Wingdings"/>
    </w:rPr>
  </w:style>
  <w:style w:type="paragraph" w:customStyle="1" w:styleId="TableHeading">
    <w:name w:val="Table Heading"/>
    <w:basedOn w:val="HeadingBase"/>
    <w:rsid w:val="00AA2DFC"/>
    <w:pPr>
      <w:keepLines/>
      <w:pBdr>
        <w:bottom w:val="single" w:sz="6" w:space="1" w:color="918585"/>
      </w:pBdr>
      <w:spacing w:before="240"/>
    </w:pPr>
  </w:style>
  <w:style w:type="character" w:customStyle="1" w:styleId="HotSpot">
    <w:name w:val="HotSpot"/>
    <w:rsid w:val="00AA2DFC"/>
    <w:rPr>
      <w:color w:val="0033CC"/>
      <w:u w:val="none"/>
    </w:rPr>
  </w:style>
  <w:style w:type="paragraph" w:customStyle="1" w:styleId="BodyTextRight">
    <w:name w:val="Body Text Right"/>
    <w:basedOn w:val="BodyText"/>
    <w:rsid w:val="00AA2DFC"/>
    <w:pPr>
      <w:spacing w:before="0" w:after="0"/>
      <w:jc w:val="right"/>
    </w:pPr>
  </w:style>
  <w:style w:type="paragraph" w:styleId="Index3">
    <w:name w:val="index 3"/>
    <w:basedOn w:val="ListNumber2"/>
    <w:next w:val="Normal"/>
    <w:semiHidden/>
    <w:rsid w:val="00AA2DFC"/>
    <w:pPr>
      <w:numPr>
        <w:numId w:val="0"/>
      </w:numPr>
      <w:tabs>
        <w:tab w:val="right" w:leader="dot" w:pos="4176"/>
      </w:tabs>
    </w:pPr>
  </w:style>
  <w:style w:type="paragraph" w:styleId="ListNumber2">
    <w:name w:val="List Number 2"/>
    <w:basedOn w:val="List2"/>
    <w:rsid w:val="00AA2DFC"/>
    <w:pPr>
      <w:numPr>
        <w:numId w:val="10"/>
      </w:numPr>
      <w:tabs>
        <w:tab w:val="clear" w:pos="1060"/>
      </w:tabs>
    </w:pPr>
  </w:style>
  <w:style w:type="paragraph" w:customStyle="1" w:styleId="MarginNote">
    <w:name w:val="Margin Note"/>
    <w:basedOn w:val="BodyText"/>
    <w:rsid w:val="00AA2D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2D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A2D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2DFC"/>
    <w:rPr>
      <w:sz w:val="32"/>
    </w:rPr>
  </w:style>
  <w:style w:type="paragraph" w:customStyle="1" w:styleId="HeadingProcedure">
    <w:name w:val="Heading Procedure"/>
    <w:basedOn w:val="HeadingBase"/>
    <w:next w:val="Normal"/>
    <w:rsid w:val="00AA2DFC"/>
    <w:pPr>
      <w:tabs>
        <w:tab w:val="left" w:pos="0"/>
      </w:tabs>
      <w:spacing w:before="120" w:after="60"/>
    </w:pPr>
    <w:rPr>
      <w:i/>
      <w:color w:val="918585"/>
      <w:sz w:val="22"/>
    </w:rPr>
  </w:style>
  <w:style w:type="paragraph" w:customStyle="1" w:styleId="TableBodyText">
    <w:name w:val="Table Body Text"/>
    <w:basedOn w:val="BodyText"/>
    <w:rsid w:val="00AA2DFC"/>
    <w:pPr>
      <w:spacing w:before="60" w:after="60"/>
    </w:pPr>
  </w:style>
  <w:style w:type="paragraph" w:styleId="ListContinue">
    <w:name w:val="List Continue"/>
    <w:basedOn w:val="List"/>
    <w:rsid w:val="00AA2DFC"/>
    <w:pPr>
      <w:ind w:firstLine="0"/>
    </w:pPr>
  </w:style>
  <w:style w:type="paragraph" w:customStyle="1" w:styleId="ListNote">
    <w:name w:val="List Note"/>
    <w:basedOn w:val="List"/>
    <w:rsid w:val="00AA2DFC"/>
    <w:pPr>
      <w:pBdr>
        <w:top w:val="single" w:sz="6" w:space="2" w:color="918585"/>
        <w:bottom w:val="single" w:sz="6" w:space="2" w:color="918585"/>
      </w:pBdr>
      <w:tabs>
        <w:tab w:val="left" w:pos="1021"/>
      </w:tabs>
      <w:ind w:firstLine="0"/>
    </w:pPr>
  </w:style>
  <w:style w:type="paragraph" w:customStyle="1" w:styleId="Warning">
    <w:name w:val="Warning"/>
    <w:basedOn w:val="BodyText"/>
    <w:rsid w:val="00AA2DFC"/>
    <w:pPr>
      <w:shd w:val="clear" w:color="auto" w:fill="D9D9D9"/>
      <w:tabs>
        <w:tab w:val="left" w:pos="992"/>
      </w:tabs>
      <w:ind w:left="119" w:right="119"/>
    </w:pPr>
    <w:rPr>
      <w:sz w:val="20"/>
    </w:rPr>
  </w:style>
  <w:style w:type="paragraph" w:customStyle="1" w:styleId="MarginIcons">
    <w:name w:val="Margin Icons"/>
    <w:basedOn w:val="BodyText"/>
    <w:rsid w:val="00AA2DF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A2DFC"/>
    <w:rPr>
      <w:rFonts w:ascii="Courier New" w:hAnsi="Courier New"/>
    </w:rPr>
  </w:style>
  <w:style w:type="paragraph" w:customStyle="1" w:styleId="NoteBullet">
    <w:name w:val="Note Bullet"/>
    <w:basedOn w:val="Note"/>
    <w:rsid w:val="00AA2DFC"/>
    <w:pPr>
      <w:tabs>
        <w:tab w:val="clear" w:pos="680"/>
      </w:tabs>
      <w:spacing w:before="60" w:after="60"/>
    </w:pPr>
  </w:style>
  <w:style w:type="paragraph" w:customStyle="1" w:styleId="SubHeading2">
    <w:name w:val="SubHeading2"/>
    <w:basedOn w:val="HeadingBase"/>
    <w:rsid w:val="00AA2DFC"/>
    <w:pPr>
      <w:spacing w:before="240" w:after="60"/>
    </w:pPr>
    <w:rPr>
      <w:sz w:val="20"/>
    </w:rPr>
  </w:style>
  <w:style w:type="paragraph" w:customStyle="1" w:styleId="SubHeading1">
    <w:name w:val="SubHeading1"/>
    <w:basedOn w:val="HeadingBase"/>
    <w:rsid w:val="00AA2DFC"/>
    <w:pPr>
      <w:spacing w:before="240" w:after="60"/>
    </w:pPr>
    <w:rPr>
      <w:color w:val="918585"/>
      <w:sz w:val="22"/>
    </w:rPr>
  </w:style>
  <w:style w:type="paragraph" w:customStyle="1" w:styleId="SideHeading">
    <w:name w:val="Side Heading"/>
    <w:basedOn w:val="HeadingBase"/>
    <w:rsid w:val="00AA2D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2DFC"/>
    <w:pPr>
      <w:numPr>
        <w:numId w:val="12"/>
      </w:numPr>
    </w:pPr>
  </w:style>
  <w:style w:type="paragraph" w:styleId="PlainText">
    <w:name w:val="Plain Text"/>
    <w:basedOn w:val="Normal"/>
    <w:link w:val="PlainTextChar"/>
    <w:rsid w:val="00AA2DFC"/>
    <w:rPr>
      <w:sz w:val="20"/>
    </w:rPr>
  </w:style>
  <w:style w:type="character" w:customStyle="1" w:styleId="PlainTextChar">
    <w:name w:val="Plain Text Char"/>
    <w:basedOn w:val="DefaultParagraphFont"/>
    <w:link w:val="PlainText"/>
    <w:rsid w:val="00AA2DFC"/>
    <w:rPr>
      <w:rFonts w:ascii="Courier New" w:eastAsia="Times New Roman" w:hAnsi="Courier New" w:cs="Times New Roman"/>
      <w:sz w:val="20"/>
      <w:szCs w:val="20"/>
      <w:lang w:val="en-US" w:eastAsia="en-US"/>
    </w:rPr>
  </w:style>
  <w:style w:type="character" w:customStyle="1" w:styleId="MenuOption">
    <w:name w:val="Menu Option"/>
    <w:rsid w:val="00AA2DFC"/>
    <w:rPr>
      <w:b/>
      <w:smallCaps/>
    </w:rPr>
  </w:style>
  <w:style w:type="paragraph" w:customStyle="1" w:styleId="TableListNumber">
    <w:name w:val="Table List Number"/>
    <w:basedOn w:val="ListNumber"/>
    <w:rsid w:val="00AA2DFC"/>
    <w:pPr>
      <w:numPr>
        <w:numId w:val="0"/>
      </w:numPr>
    </w:pPr>
  </w:style>
  <w:style w:type="paragraph" w:styleId="TOC4">
    <w:name w:val="toc 4"/>
    <w:basedOn w:val="TOCBase"/>
    <w:next w:val="Normal"/>
    <w:semiHidden/>
    <w:rsid w:val="00AA2DFC"/>
    <w:pPr>
      <w:tabs>
        <w:tab w:val="right" w:leader="dot" w:pos="9071"/>
      </w:tabs>
      <w:ind w:left="1701"/>
    </w:pPr>
  </w:style>
  <w:style w:type="paragraph" w:customStyle="1" w:styleId="ListAlpha">
    <w:name w:val="List Alpha"/>
    <w:basedOn w:val="List"/>
    <w:rsid w:val="00AA2DFC"/>
    <w:pPr>
      <w:numPr>
        <w:numId w:val="9"/>
      </w:numPr>
    </w:pPr>
  </w:style>
  <w:style w:type="paragraph" w:customStyle="1" w:styleId="ListAlpha2">
    <w:name w:val="List Alpha 2"/>
    <w:basedOn w:val="List2"/>
    <w:rsid w:val="00AA2DFC"/>
    <w:pPr>
      <w:numPr>
        <w:numId w:val="8"/>
      </w:numPr>
    </w:pPr>
  </w:style>
  <w:style w:type="paragraph" w:styleId="List2">
    <w:name w:val="List 2"/>
    <w:basedOn w:val="BodyText"/>
    <w:rsid w:val="00AA2DFC"/>
    <w:pPr>
      <w:tabs>
        <w:tab w:val="left" w:pos="680"/>
      </w:tabs>
      <w:spacing w:before="60" w:after="60"/>
      <w:ind w:left="680" w:hanging="340"/>
    </w:pPr>
  </w:style>
  <w:style w:type="paragraph" w:styleId="List3">
    <w:name w:val="List 3"/>
    <w:basedOn w:val="BodyText"/>
    <w:rsid w:val="00AA2DFC"/>
    <w:pPr>
      <w:tabs>
        <w:tab w:val="left" w:pos="1021"/>
      </w:tabs>
      <w:spacing w:before="60" w:after="60"/>
      <w:ind w:left="1020" w:hanging="340"/>
    </w:pPr>
  </w:style>
  <w:style w:type="paragraph" w:styleId="List4">
    <w:name w:val="List 4"/>
    <w:basedOn w:val="BodyText"/>
    <w:rsid w:val="00AA2DFC"/>
    <w:pPr>
      <w:tabs>
        <w:tab w:val="left" w:pos="1361"/>
      </w:tabs>
      <w:spacing w:before="60" w:after="60"/>
      <w:ind w:left="1361" w:hanging="340"/>
    </w:pPr>
  </w:style>
  <w:style w:type="paragraph" w:styleId="List5">
    <w:name w:val="List 5"/>
    <w:basedOn w:val="BodyText"/>
    <w:rsid w:val="00AA2DFC"/>
    <w:pPr>
      <w:tabs>
        <w:tab w:val="left" w:pos="1701"/>
      </w:tabs>
      <w:spacing w:before="60" w:after="60"/>
      <w:ind w:left="1701" w:hanging="340"/>
    </w:pPr>
  </w:style>
  <w:style w:type="paragraph" w:styleId="ListBullet3">
    <w:name w:val="List Bullet 3"/>
    <w:basedOn w:val="List3"/>
    <w:rsid w:val="00AA2DFC"/>
    <w:pPr>
      <w:numPr>
        <w:numId w:val="15"/>
      </w:numPr>
      <w:tabs>
        <w:tab w:val="clear" w:pos="1021"/>
      </w:tabs>
      <w:ind w:left="1037" w:hanging="357"/>
    </w:pPr>
  </w:style>
  <w:style w:type="paragraph" w:styleId="ListBullet4">
    <w:name w:val="List Bullet 4"/>
    <w:basedOn w:val="List4"/>
    <w:rsid w:val="00AA2DFC"/>
    <w:pPr>
      <w:numPr>
        <w:numId w:val="3"/>
      </w:numPr>
    </w:pPr>
  </w:style>
  <w:style w:type="paragraph" w:styleId="ListBullet5">
    <w:name w:val="List Bullet 5"/>
    <w:basedOn w:val="List5"/>
    <w:rsid w:val="00AA2DFC"/>
    <w:pPr>
      <w:numPr>
        <w:numId w:val="4"/>
      </w:numPr>
    </w:pPr>
  </w:style>
  <w:style w:type="paragraph" w:styleId="ListContinue2">
    <w:name w:val="List Continue 2"/>
    <w:basedOn w:val="List2"/>
    <w:rsid w:val="00AA2DFC"/>
    <w:pPr>
      <w:ind w:firstLine="0"/>
    </w:pPr>
  </w:style>
  <w:style w:type="paragraph" w:styleId="ListContinue3">
    <w:name w:val="List Continue 3"/>
    <w:basedOn w:val="List3"/>
    <w:rsid w:val="00AA2DFC"/>
    <w:pPr>
      <w:ind w:left="1021" w:firstLine="0"/>
    </w:pPr>
  </w:style>
  <w:style w:type="paragraph" w:styleId="ListContinue4">
    <w:name w:val="List Continue 4"/>
    <w:basedOn w:val="List4"/>
    <w:rsid w:val="00AA2DFC"/>
    <w:pPr>
      <w:ind w:firstLine="0"/>
    </w:pPr>
  </w:style>
  <w:style w:type="paragraph" w:styleId="ListContinue5">
    <w:name w:val="List Continue 5"/>
    <w:basedOn w:val="List5"/>
    <w:rsid w:val="00AA2DFC"/>
    <w:pPr>
      <w:ind w:firstLine="0"/>
    </w:pPr>
  </w:style>
  <w:style w:type="paragraph" w:styleId="ListNumber3">
    <w:name w:val="List Number 3"/>
    <w:basedOn w:val="List3"/>
    <w:rsid w:val="00AA2DFC"/>
    <w:pPr>
      <w:numPr>
        <w:numId w:val="5"/>
      </w:numPr>
    </w:pPr>
  </w:style>
  <w:style w:type="paragraph" w:styleId="ListNumber4">
    <w:name w:val="List Number 4"/>
    <w:basedOn w:val="List4"/>
    <w:rsid w:val="00AA2DFC"/>
    <w:pPr>
      <w:numPr>
        <w:numId w:val="6"/>
      </w:numPr>
    </w:pPr>
  </w:style>
  <w:style w:type="paragraph" w:styleId="ListNumber5">
    <w:name w:val="List Number 5"/>
    <w:basedOn w:val="List5"/>
    <w:rsid w:val="00AA2DFC"/>
    <w:pPr>
      <w:numPr>
        <w:numId w:val="7"/>
      </w:numPr>
    </w:pPr>
  </w:style>
  <w:style w:type="paragraph" w:styleId="BlockText">
    <w:name w:val="Block Text"/>
    <w:basedOn w:val="Normal"/>
    <w:rsid w:val="00AA2DFC"/>
    <w:pPr>
      <w:spacing w:after="120"/>
      <w:ind w:left="1440" w:right="1440"/>
    </w:pPr>
  </w:style>
  <w:style w:type="character" w:customStyle="1" w:styleId="Subscript">
    <w:name w:val="Subscript"/>
    <w:rsid w:val="00AA2DFC"/>
    <w:rPr>
      <w:sz w:val="16"/>
      <w:vertAlign w:val="subscript"/>
    </w:rPr>
  </w:style>
  <w:style w:type="character" w:customStyle="1" w:styleId="Superscript">
    <w:name w:val="Superscript"/>
    <w:rsid w:val="00AA2DFC"/>
    <w:rPr>
      <w:sz w:val="16"/>
      <w:vertAlign w:val="superscript"/>
    </w:rPr>
  </w:style>
  <w:style w:type="character" w:customStyle="1" w:styleId="Symbols">
    <w:name w:val="Symbols"/>
    <w:rsid w:val="00AA2DFC"/>
    <w:rPr>
      <w:rFonts w:ascii="Symbol" w:hAnsi="Symbol"/>
    </w:rPr>
  </w:style>
  <w:style w:type="character" w:customStyle="1" w:styleId="MenuOptions">
    <w:name w:val="Menu Options"/>
    <w:rsid w:val="00AA2DFC"/>
    <w:rPr>
      <w:rFonts w:ascii="Arial Narrow" w:hAnsi="Arial Narrow"/>
      <w:smallCaps/>
    </w:rPr>
  </w:style>
  <w:style w:type="character" w:customStyle="1" w:styleId="Buttons">
    <w:name w:val="Buttons"/>
    <w:rsid w:val="00AA2DFC"/>
    <w:rPr>
      <w:b/>
    </w:rPr>
  </w:style>
  <w:style w:type="character" w:customStyle="1" w:styleId="Underlined">
    <w:name w:val="Underlined"/>
    <w:rsid w:val="00AA2DFC"/>
    <w:rPr>
      <w:u w:val="single"/>
    </w:rPr>
  </w:style>
  <w:style w:type="paragraph" w:customStyle="1" w:styleId="TableBodyTextRight">
    <w:name w:val="Table Body Text Right"/>
    <w:basedOn w:val="TableBodyText"/>
    <w:rsid w:val="00AA2DFC"/>
    <w:pPr>
      <w:widowControl w:val="0"/>
      <w:autoSpaceDE w:val="0"/>
      <w:autoSpaceDN w:val="0"/>
      <w:adjustRightInd w:val="0"/>
      <w:jc w:val="right"/>
    </w:pPr>
    <w:rPr>
      <w:rFonts w:cs="Arial"/>
      <w:szCs w:val="18"/>
    </w:rPr>
  </w:style>
  <w:style w:type="paragraph" w:customStyle="1" w:styleId="CopyrightText">
    <w:name w:val="Copyright Text"/>
    <w:basedOn w:val="BodyText"/>
    <w:rsid w:val="00AA2DFC"/>
    <w:rPr>
      <w:sz w:val="18"/>
    </w:rPr>
  </w:style>
  <w:style w:type="paragraph" w:customStyle="1" w:styleId="BodySmallRight">
    <w:name w:val="Body Small Right"/>
    <w:basedOn w:val="BodyTextRight"/>
    <w:rsid w:val="00AA2DFC"/>
    <w:rPr>
      <w:sz w:val="18"/>
      <w:szCs w:val="18"/>
    </w:rPr>
  </w:style>
  <w:style w:type="paragraph" w:customStyle="1" w:styleId="MarginEdition">
    <w:name w:val="Margin Edition"/>
    <w:basedOn w:val="MarginNote"/>
    <w:rsid w:val="00AA2DFC"/>
    <w:pPr>
      <w:spacing w:before="0" w:after="0"/>
    </w:pPr>
    <w:rPr>
      <w:rFonts w:ascii="Times New Roman" w:hAnsi="Times New Roman"/>
      <w:color w:val="999999"/>
    </w:rPr>
  </w:style>
  <w:style w:type="paragraph" w:customStyle="1" w:styleId="Spacer">
    <w:name w:val="Spacer"/>
    <w:basedOn w:val="Normal"/>
    <w:rsid w:val="00AA2DFC"/>
    <w:rPr>
      <w:sz w:val="2"/>
      <w:szCs w:val="2"/>
    </w:rPr>
  </w:style>
  <w:style w:type="character" w:customStyle="1" w:styleId="Small">
    <w:name w:val="Small"/>
    <w:rsid w:val="00AA2DFC"/>
    <w:rPr>
      <w:sz w:val="16"/>
    </w:rPr>
  </w:style>
  <w:style w:type="paragraph" w:customStyle="1" w:styleId="WideTable">
    <w:name w:val="Wide Table"/>
    <w:basedOn w:val="Normal"/>
    <w:rsid w:val="00AA2DFC"/>
    <w:pPr>
      <w:ind w:left="-1418"/>
    </w:pPr>
    <w:rPr>
      <w:sz w:val="2"/>
      <w:szCs w:val="2"/>
    </w:rPr>
  </w:style>
  <w:style w:type="character" w:styleId="PageNumber">
    <w:name w:val="page number"/>
    <w:rsid w:val="00AA2DFC"/>
  </w:style>
  <w:style w:type="paragraph" w:styleId="Quote">
    <w:name w:val="Quote"/>
    <w:basedOn w:val="Heading1"/>
    <w:link w:val="QuoteChar"/>
    <w:qFormat/>
    <w:rsid w:val="00AA2DFC"/>
    <w:rPr>
      <w:b w:val="0"/>
      <w:sz w:val="72"/>
      <w:szCs w:val="72"/>
      <w:lang w:val="en-NZ"/>
    </w:rPr>
  </w:style>
  <w:style w:type="character" w:customStyle="1" w:styleId="QuoteChar">
    <w:name w:val="Quote Char"/>
    <w:link w:val="Quote"/>
    <w:rsid w:val="00AA2D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2DFC"/>
    <w:pPr>
      <w:pageBreakBefore/>
    </w:pPr>
  </w:style>
  <w:style w:type="paragraph" w:customStyle="1" w:styleId="Border">
    <w:name w:val="Border"/>
    <w:basedOn w:val="Normal"/>
    <w:qFormat/>
    <w:rsid w:val="00AA2DFC"/>
    <w:pPr>
      <w:pBdr>
        <w:top w:val="single" w:sz="18" w:space="1" w:color="auto"/>
      </w:pBdr>
    </w:pPr>
    <w:rPr>
      <w:rFonts w:ascii="Times New Roman" w:hAnsi="Times New Roman"/>
      <w:color w:val="FFFFFF"/>
      <w:sz w:val="2"/>
    </w:rPr>
  </w:style>
  <w:style w:type="character" w:styleId="IntenseEmphasis">
    <w:name w:val="Intense Emphasis"/>
    <w:uiPriority w:val="21"/>
    <w:qFormat/>
    <w:rsid w:val="00AA2DFC"/>
    <w:rPr>
      <w:b/>
      <w:bCs/>
      <w:i/>
      <w:iCs/>
      <w:color w:val="auto"/>
    </w:rPr>
  </w:style>
  <w:style w:type="paragraph" w:styleId="IntenseQuote">
    <w:name w:val="Intense Quote"/>
    <w:basedOn w:val="Normal"/>
    <w:next w:val="Normal"/>
    <w:link w:val="IntenseQuoteChar"/>
    <w:uiPriority w:val="30"/>
    <w:qFormat/>
    <w:rsid w:val="00AA2DF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A2DFC"/>
    <w:rPr>
      <w:rFonts w:ascii="Courier New" w:eastAsia="Times New Roman" w:hAnsi="Courier New" w:cs="Times New Roman"/>
      <w:b/>
      <w:bCs/>
      <w:i/>
      <w:iCs/>
      <w:szCs w:val="20"/>
      <w:lang w:val="en-US" w:eastAsia="en-US"/>
    </w:rPr>
  </w:style>
  <w:style w:type="character" w:styleId="SubtleReference">
    <w:name w:val="Subtle Reference"/>
    <w:uiPriority w:val="31"/>
    <w:qFormat/>
    <w:rsid w:val="00AA2DFC"/>
    <w:rPr>
      <w:smallCaps/>
      <w:color w:val="auto"/>
      <w:u w:val="single"/>
    </w:rPr>
  </w:style>
  <w:style w:type="character" w:styleId="IntenseReference">
    <w:name w:val="Intense Reference"/>
    <w:uiPriority w:val="32"/>
    <w:qFormat/>
    <w:rsid w:val="00AA2DFC"/>
    <w:rPr>
      <w:b/>
      <w:bCs/>
      <w:smallCaps/>
      <w:color w:val="auto"/>
      <w:spacing w:val="5"/>
      <w:u w:val="single"/>
    </w:rPr>
  </w:style>
  <w:style w:type="paragraph" w:customStyle="1" w:styleId="2ColumnHeading">
    <w:name w:val="2Column Heading"/>
    <w:basedOn w:val="BodyText"/>
    <w:qFormat/>
    <w:rsid w:val="00AA2DFC"/>
    <w:pPr>
      <w:spacing w:after="60"/>
      <w:ind w:left="-2268"/>
    </w:pPr>
    <w:rPr>
      <w:b/>
    </w:rPr>
  </w:style>
  <w:style w:type="paragraph" w:customStyle="1" w:styleId="Heading1TOC">
    <w:name w:val="Heading1 TOC"/>
    <w:basedOn w:val="Normal"/>
    <w:qFormat/>
    <w:rsid w:val="00AA2DFC"/>
    <w:pPr>
      <w:spacing w:before="240" w:after="120"/>
    </w:pPr>
    <w:rPr>
      <w:rFonts w:ascii="Times New Roman" w:hAnsi="Times New Roman"/>
      <w:b/>
      <w:sz w:val="32"/>
    </w:rPr>
  </w:style>
  <w:style w:type="paragraph" w:customStyle="1" w:styleId="Heading2TOC">
    <w:name w:val="Heading2 TOC"/>
    <w:basedOn w:val="Normal"/>
    <w:qFormat/>
    <w:rsid w:val="00AA2DFC"/>
    <w:pPr>
      <w:spacing w:before="240" w:after="60"/>
    </w:pPr>
    <w:rPr>
      <w:rFonts w:ascii="Times New Roman" w:hAnsi="Times New Roman"/>
      <w:b/>
      <w:sz w:val="28"/>
    </w:rPr>
  </w:style>
  <w:style w:type="character" w:customStyle="1" w:styleId="Underline">
    <w:name w:val="Underline"/>
    <w:qFormat/>
    <w:rsid w:val="00AA2DFC"/>
    <w:rPr>
      <w:u w:val="single"/>
    </w:rPr>
  </w:style>
  <w:style w:type="paragraph" w:styleId="BalloonText">
    <w:name w:val="Balloon Text"/>
    <w:basedOn w:val="Normal"/>
    <w:link w:val="BalloonTextChar"/>
    <w:rsid w:val="00AA2DFC"/>
    <w:rPr>
      <w:rFonts w:ascii="Tahoma" w:hAnsi="Tahoma" w:cs="Tahoma"/>
      <w:sz w:val="16"/>
      <w:szCs w:val="16"/>
    </w:rPr>
  </w:style>
  <w:style w:type="character" w:customStyle="1" w:styleId="BalloonTextChar">
    <w:name w:val="Balloon Text Char"/>
    <w:link w:val="BalloonText"/>
    <w:rsid w:val="00AA2D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2DF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A2DF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1431</Words>
  <Characters>8963</Characters>
  <Application>Microsoft Office Word</Application>
  <DocSecurity>0</DocSecurity>
  <Lines>294</Lines>
  <Paragraphs>172</Paragraphs>
  <ScaleCrop>false</ScaleCrop>
  <Company>Author-it Software Corporation Ltd.</Company>
  <LinksUpToDate>false</LinksUpToDate>
  <CharactersWithSpaces>10326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NWP234B Locate, identify and protect utility services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2012-05-27T09:26:00Z</dcterms:created>
  <dcterms:modified xsi:type="dcterms:W3CDTF">2012-05-27T09:26:00Z</dcterms:modified>
</cp:coreProperties>
</file>