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FC4" w:rsidP="00FF4FC4">
      <w:pPr>
        <w:pStyle w:val="Title"/>
      </w:pPr>
      <w:bookmarkStart w:id="0" w:name="_GoBack"/>
      <w:bookmarkEnd w:id="0"/>
      <w:r>
        <w:fldChar w:fldCharType="begin"/>
      </w:r>
      <w:r>
        <w:instrText xml:space="preserve"> TITLE   \* MERGEFORMAT </w:instrText>
      </w:r>
      <w:r>
        <w:fldChar w:fldCharType="separate"/>
      </w:r>
      <w:r>
        <w:t>NWP223A Install basic metering equipment, flow control and regulating devices</w:t>
      </w:r>
      <w:r>
        <w:fldChar w:fldCharType="end"/>
      </w:r>
    </w:p>
    <w:p w:rsidR="00FF4FC4" w:rsidP="00FF4FC4">
      <w:pPr>
        <w:pStyle w:val="Version"/>
        <w:sectPr w:rsidSect="00EA1B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A1BBF" w:rsidP="00EA1BBF">
      <w:pPr>
        <w:pStyle w:val="SuperHeading"/>
      </w:pPr>
      <w:r w:rsidRPr="00EA1BBF">
        <w:t>NWP223A Install basic metering equipment, flow control and regulating devices</w:t>
      </w:r>
    </w:p>
    <w:p w:rsidR="00000000" w:rsidRPr="00EA1BBF" w:rsidP="00EA1BBF">
      <w:pPr>
        <w:pStyle w:val="SuperHeading"/>
      </w:pPr>
    </w:p>
    <w:p w:rsidR="00000000" w:rsidRPr="00EA1BBF" w:rsidP="00EA1BBF">
      <w:pPr>
        <w:pStyle w:val="Heading1"/>
      </w:pPr>
      <w:bookmarkStart w:id="1" w:name="O_403963"/>
      <w:bookmarkEnd w:id="1"/>
      <w:r w:rsidRPr="00EA1BBF">
        <w:t>Modification History</w:t>
      </w:r>
    </w:p>
    <w:p w:rsidR="00000000" w:rsidRPr="00EA1BBF" w:rsidP="00EA1BBF">
      <w:pPr>
        <w:pStyle w:val="BodyText"/>
      </w:pPr>
      <w:r w:rsidRPr="00EA1BBF">
        <w:t>NWP223A Release 2:</w:t>
      </w:r>
      <w:r w:rsidRPr="00EA1BBF">
        <w:tab/>
        <w:t xml:space="preserve">Layout adjusted. No changes to </w:t>
      </w:r>
      <w:r w:rsidRPr="00EA1BBF">
        <w:t>content.</w:t>
      </w:r>
    </w:p>
    <w:p w:rsidR="00000000" w:rsidRPr="00EA1BBF" w:rsidP="00EA1BBF">
      <w:pPr>
        <w:pStyle w:val="BodyText"/>
      </w:pPr>
      <w:r w:rsidRPr="00EA1BBF">
        <w:t>NWP223A Release 1:</w:t>
      </w:r>
      <w:r w:rsidRPr="00EA1BBF">
        <w:tab/>
        <w:t>Primary release.</w:t>
      </w:r>
    </w:p>
    <w:p w:rsidR="00000000" w:rsidRPr="00EA1BBF" w:rsidP="00EA1BBF">
      <w:pPr>
        <w:pStyle w:val="AllowPageBreak"/>
      </w:pPr>
    </w:p>
    <w:p w:rsidR="00000000" w:rsidRPr="00EA1BBF" w:rsidP="00EA1BBF">
      <w:pPr>
        <w:pStyle w:val="Heading1"/>
      </w:pPr>
      <w:bookmarkStart w:id="2" w:name="O_403959"/>
      <w:bookmarkEnd w:id="2"/>
      <w:r w:rsidRPr="00EA1BBF">
        <w:t>Unit Descriptor</w:t>
      </w:r>
    </w:p>
    <w:p w:rsidR="00000000" w:rsidRPr="00EA1BBF" w:rsidP="00EA1BBF">
      <w:pPr>
        <w:pStyle w:val="BodyText"/>
      </w:pPr>
      <w:r w:rsidRPr="00EA1BBF">
        <w:t>This unit of competency describes the outcomes required to install meters, flow control and regulating devices for water distribution or wastewater collection systems.</w:t>
      </w:r>
    </w:p>
    <w:p w:rsidR="00000000" w:rsidRPr="00EA1BBF" w:rsidP="00EA1BBF">
      <w:pPr>
        <w:pStyle w:val="AllowPageBreak"/>
      </w:pPr>
    </w:p>
    <w:p w:rsidR="00000000" w:rsidRPr="00EA1BBF" w:rsidP="00EA1BBF">
      <w:pPr>
        <w:pStyle w:val="Heading1"/>
      </w:pPr>
      <w:bookmarkStart w:id="3" w:name="O_403971"/>
      <w:bookmarkEnd w:id="3"/>
      <w:r w:rsidRPr="00EA1BBF">
        <w:t>Application of the Unit</w:t>
      </w:r>
    </w:p>
    <w:p w:rsidR="00000000" w:rsidRPr="00EA1BBF" w:rsidP="00EA1BBF">
      <w:pPr>
        <w:pStyle w:val="BodyText"/>
      </w:pPr>
      <w:r w:rsidRPr="00EA1BBF">
        <w:t xml:space="preserve">This unit supports the attainment of skills and knowledge required for field and operational staff involved in the accurate installation of key water industry metering and flow control devices. </w:t>
      </w:r>
    </w:p>
    <w:p w:rsidR="00000000" w:rsidRPr="00EA1BBF" w:rsidP="00EA1BBF">
      <w:pPr>
        <w:pStyle w:val="AllowPageBreak"/>
      </w:pPr>
    </w:p>
    <w:p w:rsidR="00000000" w:rsidRPr="00EA1BBF" w:rsidP="00EA1BBF">
      <w:pPr>
        <w:pStyle w:val="Heading1"/>
      </w:pPr>
      <w:bookmarkStart w:id="4" w:name="O_403964"/>
      <w:bookmarkEnd w:id="4"/>
      <w:r w:rsidRPr="00EA1BBF">
        <w:t>Licensing/Reg</w:t>
      </w:r>
      <w:r w:rsidRPr="00EA1BBF">
        <w:t>ulatory Information</w:t>
      </w:r>
    </w:p>
    <w:p w:rsidR="00000000" w:rsidRPr="00EA1BBF" w:rsidP="00EA1BBF">
      <w:pPr>
        <w:pStyle w:val="BodyText"/>
      </w:pPr>
      <w:r w:rsidRPr="00EA1BBF">
        <w:t>Not applicable.</w:t>
      </w:r>
    </w:p>
    <w:p w:rsidR="00000000" w:rsidRPr="00EA1BBF" w:rsidP="00EA1BBF">
      <w:pPr>
        <w:pStyle w:val="AllowPageBreak"/>
      </w:pPr>
    </w:p>
    <w:p w:rsidR="00000000" w:rsidRPr="00EA1BBF" w:rsidP="00EA1BBF">
      <w:pPr>
        <w:pStyle w:val="Heading1"/>
      </w:pPr>
      <w:bookmarkStart w:id="5" w:name="O_403962"/>
      <w:bookmarkEnd w:id="5"/>
      <w:r w:rsidRPr="00EA1BBF">
        <w:t>Pre-Requisites</w:t>
      </w:r>
    </w:p>
    <w:p w:rsidR="00000000" w:rsidRPr="00EA1BBF" w:rsidP="00EA1BBF">
      <w:pPr>
        <w:pStyle w:val="BodyText"/>
      </w:pPr>
      <w:r w:rsidRPr="00EA1BBF">
        <w:t>Not applicable.</w:t>
      </w:r>
    </w:p>
    <w:p w:rsidR="00000000" w:rsidRPr="00EA1BBF" w:rsidP="00EA1BBF">
      <w:pPr>
        <w:pStyle w:val="AllowPageBreak"/>
      </w:pPr>
    </w:p>
    <w:p w:rsidR="00000000" w:rsidRPr="00EA1BBF" w:rsidP="00EA1BBF">
      <w:pPr>
        <w:pStyle w:val="Heading1"/>
      </w:pPr>
      <w:bookmarkStart w:id="6" w:name="O_403967"/>
      <w:bookmarkEnd w:id="6"/>
      <w:r w:rsidRPr="00EA1BBF">
        <w:t>Employability Skills Information</w:t>
      </w:r>
    </w:p>
    <w:p w:rsidR="00000000" w:rsidRPr="00EA1BBF" w:rsidP="00EA1BBF">
      <w:pPr>
        <w:pStyle w:val="BodyText"/>
      </w:pPr>
      <w:r w:rsidRPr="00EA1BBF">
        <w:t>This unit of competency contains employability skills.</w:t>
      </w:r>
    </w:p>
    <w:p w:rsidR="00000000" w:rsidRPr="00EA1BBF" w:rsidP="00EA1BBF">
      <w:pPr>
        <w:pStyle w:val="AllowPageBreak"/>
      </w:pPr>
    </w:p>
    <w:p w:rsidR="00000000" w:rsidRPr="00EA1BBF" w:rsidP="00EA1BBF">
      <w:pPr>
        <w:pStyle w:val="Heading1"/>
      </w:pPr>
      <w:bookmarkStart w:id="7" w:name="O_403968"/>
      <w:bookmarkEnd w:id="7"/>
      <w:r w:rsidRPr="00EA1BBF">
        <w:t>Elements and Performance Criteria Pre-Content</w:t>
      </w:r>
    </w:p>
    <w:tbl>
      <w:tblPr>
        <w:tblW w:w="0" w:type="auto"/>
        <w:tblLayout w:type="fixed"/>
        <w:tblCellMar>
          <w:left w:w="62" w:type="dxa"/>
          <w:right w:w="62" w:type="dxa"/>
        </w:tblCellMar>
        <w:tblLook w:val="0000"/>
      </w:tblPr>
      <w:tblGrid>
        <w:gridCol w:w="2268"/>
        <w:gridCol w:w="6804"/>
      </w:tblGrid>
      <w:tr w:rsidTr="00FF4FC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EA1BBF" w:rsidP="00EA1BBF">
            <w:pPr>
              <w:pStyle w:val="BodyText"/>
            </w:pPr>
            <w:r w:rsidRPr="00EA1BBF">
              <w:t xml:space="preserve">Performance criteria describe the required performance needed to demonstrate achievement of the element. Where </w:t>
            </w:r>
            <w:r w:rsidRPr="00EA1BBF">
              <w:rPr>
                <w:rStyle w:val="BoldandItalics"/>
              </w:rPr>
              <w:t>bold italicised</w:t>
            </w:r>
            <w:r w:rsidRPr="00EA1BBF">
              <w:t xml:space="preserve"> text is used, further information is detailed in the range stat</w:t>
            </w:r>
            <w:r w:rsidRPr="00EA1BBF">
              <w:t>ement. Assessment of performance is to be consistent with the evidence guide.</w:t>
            </w:r>
          </w:p>
        </w:tc>
      </w:tr>
    </w:tbl>
    <w:p w:rsidR="00000000" w:rsidRPr="00EA1BBF" w:rsidP="00EA1BBF">
      <w:pPr>
        <w:pStyle w:val="BodyText"/>
      </w:pPr>
    </w:p>
    <w:p w:rsidR="00000000" w:rsidRPr="00EA1BBF" w:rsidP="00EA1BBF">
      <w:pPr>
        <w:pStyle w:val="AllowPageBreak"/>
      </w:pPr>
    </w:p>
    <w:p w:rsidR="00000000" w:rsidRPr="00EA1BBF" w:rsidP="00EA1BBF">
      <w:pPr>
        <w:pStyle w:val="Heading1"/>
      </w:pPr>
      <w:bookmarkStart w:id="8" w:name="O_403969"/>
      <w:bookmarkEnd w:id="8"/>
      <w:r w:rsidRPr="00EA1BBF">
        <w:t>Elements and Performance Criteria</w:t>
      </w:r>
    </w:p>
    <w:tbl>
      <w:tblPr>
        <w:tblW w:w="0" w:type="auto"/>
        <w:tblLayout w:type="fixed"/>
        <w:tblCellMar>
          <w:left w:w="62" w:type="dxa"/>
          <w:right w:w="62" w:type="dxa"/>
        </w:tblCellMar>
        <w:tblLook w:val="0000"/>
      </w:tblPr>
      <w:tblGrid>
        <w:gridCol w:w="2268"/>
        <w:gridCol w:w="6804"/>
      </w:tblGrid>
      <w:tr w:rsidTr="00FF4FC4">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EA1BBF" w:rsidP="00EA1BBF">
            <w:pPr>
              <w:pStyle w:val="BodyText"/>
            </w:pPr>
            <w:r w:rsidRPr="00EA1BBF">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rPr>
                <w:rStyle w:val="SpecialBold"/>
              </w:rPr>
              <w:t>PERFORMANCE CRITERIA</w:t>
            </w:r>
          </w:p>
        </w:tc>
      </w:tr>
      <w:tr w:rsidTr="00FF4FC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A1BBF">
            <w:pPr>
              <w:pStyle w:val="List"/>
              <w:rPr>
                <w:lang w:val="en-NZ"/>
              </w:rPr>
            </w:pPr>
            <w:r w:rsidRPr="00EA1BBF">
              <w:rPr>
                <w:rStyle w:val="SpecialBold"/>
              </w:rPr>
              <w:t>1</w:t>
            </w:r>
            <w:r w:rsidRPr="00EA1BBF">
              <w:tab/>
            </w:r>
            <w:r w:rsidRPr="00EA1BBF">
              <w:rPr>
                <w:rStyle w:val="SpecialBold"/>
              </w:rPr>
              <w:t>Plan and prepare work</w:t>
            </w:r>
            <w:r w:rsidRPr="00EA1BBF">
              <w:t>.</w:t>
            </w:r>
          </w:p>
        </w:tc>
        <w:tc>
          <w:tcPr>
            <w:tcW w:w="6804" w:type="dxa"/>
            <w:tcBorders>
              <w:top w:val="nil"/>
              <w:left w:val="nil"/>
              <w:bottom w:val="nil"/>
              <w:right w:val="nil"/>
            </w:tcBorders>
            <w:tcMar>
              <w:top w:w="0" w:type="dxa"/>
              <w:left w:w="62" w:type="dxa"/>
              <w:bottom w:w="0" w:type="dxa"/>
              <w:right w:w="62" w:type="dxa"/>
            </w:tcMar>
          </w:tcPr>
          <w:p w:rsidR="00000000" w:rsidRPr="00EA1BBF" w:rsidP="00EA1BBF">
            <w:pPr>
              <w:pStyle w:val="List"/>
            </w:pPr>
            <w:r w:rsidRPr="00EA1BBF">
              <w:t>1.1</w:t>
            </w:r>
            <w:r w:rsidRPr="00EA1BBF">
              <w:tab/>
              <w:t xml:space="preserve">Determine work requirements for installation of </w:t>
            </w:r>
            <w:r w:rsidRPr="00EA1BBF">
              <w:rPr>
                <w:rStyle w:val="BoldandItalics"/>
              </w:rPr>
              <w:t>flow control and metering devices</w:t>
            </w:r>
            <w:r w:rsidRPr="00EA1BBF">
              <w:t xml:space="preserve"> in water distribution or wastewater collection systems from plans, specifications and instructions. </w:t>
            </w:r>
          </w:p>
          <w:p w:rsidR="00000000" w:rsidRPr="00EA1BBF" w:rsidP="00EA1BBF">
            <w:pPr>
              <w:pStyle w:val="List"/>
            </w:pPr>
            <w:r w:rsidRPr="00EA1BBF">
              <w:t>1.2</w:t>
            </w:r>
            <w:r w:rsidRPr="00EA1BBF">
              <w:tab/>
              <w:t>Prepare work plans to ensure safety within workplace.</w:t>
            </w:r>
          </w:p>
          <w:p w:rsidR="00000000" w:rsidRPr="00EA1BBF" w:rsidP="00EA1BBF">
            <w:pPr>
              <w:pStyle w:val="List"/>
            </w:pPr>
            <w:r w:rsidRPr="00EA1BBF">
              <w:t>1.3</w:t>
            </w:r>
            <w:r w:rsidRPr="00EA1BBF">
              <w:tab/>
              <w:t xml:space="preserve">Select and check </w:t>
            </w:r>
            <w:r w:rsidRPr="00EA1BBF">
              <w:rPr>
                <w:rStyle w:val="BoldandItalics"/>
              </w:rPr>
              <w:t>equipment and tools</w:t>
            </w:r>
            <w:r w:rsidRPr="00EA1BBF">
              <w:t xml:space="preserve"> to meet safety require</w:t>
            </w:r>
            <w:r w:rsidRPr="00EA1BBF">
              <w:t>ments of task and site.</w:t>
            </w:r>
          </w:p>
          <w:p w:rsidR="00000000" w:rsidP="00EA1BBF">
            <w:pPr>
              <w:pStyle w:val="List"/>
              <w:rPr>
                <w:lang w:val="en-NZ"/>
              </w:rPr>
            </w:pPr>
            <w:r w:rsidRPr="00EA1BBF">
              <w:t>1.4</w:t>
            </w:r>
            <w:r w:rsidRPr="00EA1BBF">
              <w:tab/>
              <w:t>Select, fit and use personal protective equipment.</w:t>
            </w:r>
          </w:p>
        </w:tc>
      </w:tr>
      <w:tr w:rsidTr="00FF4FC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A1BBF">
            <w:pPr>
              <w:pStyle w:val="List"/>
              <w:rPr>
                <w:lang w:val="en-NZ"/>
              </w:rPr>
            </w:pPr>
            <w:r w:rsidRPr="00EA1BBF">
              <w:rPr>
                <w:rStyle w:val="SpecialBold"/>
              </w:rPr>
              <w:t>2</w:t>
            </w:r>
            <w:r w:rsidRPr="00EA1BBF">
              <w:tab/>
            </w:r>
            <w:r w:rsidRPr="00EA1BBF">
              <w:rPr>
                <w:rStyle w:val="SpecialBold"/>
              </w:rPr>
              <w:t>Install flow control devices</w:t>
            </w:r>
            <w:r w:rsidRPr="00EA1BBF">
              <w:t>.</w:t>
            </w:r>
          </w:p>
        </w:tc>
        <w:tc>
          <w:tcPr>
            <w:tcW w:w="6804" w:type="dxa"/>
            <w:tcBorders>
              <w:top w:val="nil"/>
              <w:left w:val="nil"/>
              <w:bottom w:val="nil"/>
              <w:right w:val="nil"/>
            </w:tcBorders>
            <w:tcMar>
              <w:top w:w="0" w:type="dxa"/>
              <w:left w:w="62" w:type="dxa"/>
              <w:bottom w:w="0" w:type="dxa"/>
              <w:right w:w="62" w:type="dxa"/>
            </w:tcMar>
          </w:tcPr>
          <w:p w:rsidR="00000000" w:rsidRPr="00EA1BBF" w:rsidP="00EA1BBF">
            <w:pPr>
              <w:pStyle w:val="List"/>
            </w:pPr>
            <w:r w:rsidRPr="00EA1BBF">
              <w:t>2.1</w:t>
            </w:r>
            <w:r w:rsidRPr="00EA1BBF">
              <w:tab/>
              <w:t>Carry out installation of flow control devices in water distribution or wastewater collection systems according to manufacturer guidelines a</w:t>
            </w:r>
            <w:r w:rsidRPr="00EA1BBF">
              <w:t xml:space="preserve">nd </w:t>
            </w:r>
            <w:r w:rsidRPr="00EA1BBF">
              <w:rPr>
                <w:rStyle w:val="BoldandItalics"/>
              </w:rPr>
              <w:t>legislative and organisational requirements</w:t>
            </w:r>
            <w:r w:rsidRPr="00EA1BBF">
              <w:t>.</w:t>
            </w:r>
          </w:p>
          <w:p w:rsidR="00000000" w:rsidP="00EA1BBF">
            <w:pPr>
              <w:pStyle w:val="List"/>
              <w:rPr>
                <w:lang w:val="en-NZ"/>
              </w:rPr>
            </w:pPr>
            <w:r w:rsidRPr="00EA1BBF">
              <w:t>2.2</w:t>
            </w:r>
            <w:r w:rsidRPr="00EA1BBF">
              <w:tab/>
              <w:t>Check that flow control devices meet specifications.</w:t>
            </w:r>
          </w:p>
        </w:tc>
      </w:tr>
      <w:tr w:rsidTr="00FF4FC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A1BBF">
            <w:pPr>
              <w:pStyle w:val="List"/>
              <w:rPr>
                <w:lang w:val="en-NZ"/>
              </w:rPr>
            </w:pPr>
            <w:r w:rsidRPr="00EA1BBF">
              <w:rPr>
                <w:rStyle w:val="SpecialBold"/>
              </w:rPr>
              <w:t>3</w:t>
            </w:r>
            <w:r w:rsidRPr="00EA1BBF">
              <w:tab/>
            </w:r>
            <w:r w:rsidRPr="00EA1BBF">
              <w:rPr>
                <w:rStyle w:val="SpecialBold"/>
              </w:rPr>
              <w:t>Install metering devices</w:t>
            </w:r>
            <w:r w:rsidRPr="00EA1BBF">
              <w:t>.</w:t>
            </w:r>
          </w:p>
        </w:tc>
        <w:tc>
          <w:tcPr>
            <w:tcW w:w="6804" w:type="dxa"/>
            <w:tcBorders>
              <w:top w:val="nil"/>
              <w:left w:val="nil"/>
              <w:bottom w:val="nil"/>
              <w:right w:val="nil"/>
            </w:tcBorders>
            <w:tcMar>
              <w:top w:w="0" w:type="dxa"/>
              <w:left w:w="62" w:type="dxa"/>
              <w:bottom w:w="0" w:type="dxa"/>
              <w:right w:w="62" w:type="dxa"/>
            </w:tcMar>
          </w:tcPr>
          <w:p w:rsidR="00000000" w:rsidRPr="00EA1BBF" w:rsidP="00EA1BBF">
            <w:pPr>
              <w:pStyle w:val="List"/>
            </w:pPr>
            <w:r w:rsidRPr="00EA1BBF">
              <w:t>3.1</w:t>
            </w:r>
            <w:r w:rsidRPr="00EA1BBF">
              <w:tab/>
              <w:t>Carry out installation of metering devices in water distribution or wastewater collection systems according to manufac</w:t>
            </w:r>
            <w:r w:rsidRPr="00EA1BBF">
              <w:t>turer guidelines and legislative and organisational requirements.</w:t>
            </w:r>
          </w:p>
          <w:p w:rsidR="00000000" w:rsidP="00EA1BBF">
            <w:pPr>
              <w:pStyle w:val="List"/>
              <w:rPr>
                <w:lang w:val="en-NZ"/>
              </w:rPr>
            </w:pPr>
            <w:r w:rsidRPr="00EA1BBF">
              <w:t>3.2</w:t>
            </w:r>
            <w:r w:rsidRPr="00EA1BBF">
              <w:tab/>
              <w:t>Check that installed metering devices meet specifications.</w:t>
            </w:r>
          </w:p>
        </w:tc>
      </w:tr>
      <w:tr w:rsidTr="00FF4FC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A1BBF">
            <w:pPr>
              <w:pStyle w:val="List"/>
              <w:rPr>
                <w:lang w:val="en-NZ"/>
              </w:rPr>
            </w:pPr>
            <w:r w:rsidRPr="00EA1BBF">
              <w:rPr>
                <w:rStyle w:val="SpecialBold"/>
              </w:rPr>
              <w:t>4</w:t>
            </w:r>
            <w:r w:rsidRPr="00EA1BBF">
              <w:tab/>
            </w:r>
            <w:r w:rsidRPr="00EA1BBF">
              <w:rPr>
                <w:rStyle w:val="SpecialBold"/>
              </w:rPr>
              <w:t>Maintain flow control and metering devices in water distribution or wastewater collection systems</w:t>
            </w:r>
            <w:r w:rsidRPr="00EA1BBF">
              <w:t>.</w:t>
            </w:r>
          </w:p>
        </w:tc>
        <w:tc>
          <w:tcPr>
            <w:tcW w:w="6804" w:type="dxa"/>
            <w:tcBorders>
              <w:top w:val="nil"/>
              <w:left w:val="nil"/>
              <w:bottom w:val="nil"/>
              <w:right w:val="nil"/>
            </w:tcBorders>
            <w:tcMar>
              <w:top w:w="0" w:type="dxa"/>
              <w:left w:w="62" w:type="dxa"/>
              <w:bottom w:w="0" w:type="dxa"/>
              <w:right w:w="62" w:type="dxa"/>
            </w:tcMar>
          </w:tcPr>
          <w:p w:rsidR="00000000" w:rsidRPr="00EA1BBF" w:rsidP="00EA1BBF">
            <w:pPr>
              <w:pStyle w:val="List"/>
            </w:pPr>
            <w:r w:rsidRPr="00EA1BBF">
              <w:t>4.1</w:t>
            </w:r>
            <w:r w:rsidRPr="00EA1BBF">
              <w:tab/>
              <w:t>Carry out routine ins</w:t>
            </w:r>
            <w:r w:rsidRPr="00EA1BBF">
              <w:t>pections of flow control and metering facilities in water distribution or wastewater collection systems according to organisational procedures.</w:t>
            </w:r>
          </w:p>
          <w:p w:rsidR="00000000" w:rsidP="00EA1BBF">
            <w:pPr>
              <w:pStyle w:val="List"/>
              <w:rPr>
                <w:lang w:val="en-NZ"/>
              </w:rPr>
            </w:pPr>
            <w:r w:rsidRPr="00EA1BBF">
              <w:t>4.2</w:t>
            </w:r>
            <w:r w:rsidRPr="00EA1BBF">
              <w:tab/>
            </w:r>
            <w:r w:rsidRPr="00EA1BBF">
              <w:t>Carry out preventative maintenance and service of equipment and facilities according to manufacturer guidelines and organisational requirements.</w:t>
            </w:r>
          </w:p>
        </w:tc>
      </w:tr>
      <w:tr w:rsidTr="00FF4FC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EA1BBF">
            <w:pPr>
              <w:pStyle w:val="List"/>
              <w:rPr>
                <w:lang w:val="en-NZ"/>
              </w:rPr>
            </w:pPr>
            <w:r w:rsidRPr="00EA1BBF">
              <w:rPr>
                <w:rStyle w:val="SpecialBold"/>
              </w:rPr>
              <w:t>5</w:t>
            </w:r>
            <w:r w:rsidRPr="00EA1BBF">
              <w:tab/>
            </w:r>
            <w:r w:rsidRPr="00EA1BBF">
              <w:rPr>
                <w:rStyle w:val="SpecialBold"/>
              </w:rPr>
              <w:t>Review</w:t>
            </w:r>
            <w:r w:rsidRPr="00EA1BBF">
              <w:t xml:space="preserve">, </w:t>
            </w:r>
            <w:r w:rsidRPr="00EA1BBF">
              <w:rPr>
                <w:rStyle w:val="SpecialBold"/>
              </w:rPr>
              <w:t>record and report activities</w:t>
            </w:r>
            <w:r w:rsidRPr="00EA1BBF">
              <w:t>.</w:t>
            </w:r>
          </w:p>
        </w:tc>
        <w:tc>
          <w:tcPr>
            <w:tcW w:w="6804" w:type="dxa"/>
            <w:tcBorders>
              <w:top w:val="nil"/>
              <w:left w:val="nil"/>
              <w:bottom w:val="nil"/>
              <w:right w:val="nil"/>
            </w:tcBorders>
            <w:tcMar>
              <w:top w:w="0" w:type="dxa"/>
              <w:left w:w="62" w:type="dxa"/>
              <w:bottom w:w="0" w:type="dxa"/>
              <w:right w:w="62" w:type="dxa"/>
            </w:tcMar>
          </w:tcPr>
          <w:p w:rsidR="00000000" w:rsidRPr="00EA1BBF" w:rsidP="00EA1BBF">
            <w:pPr>
              <w:pStyle w:val="List"/>
            </w:pPr>
            <w:r w:rsidRPr="00EA1BBF">
              <w:t>5.1</w:t>
            </w:r>
            <w:r w:rsidRPr="00EA1BBF">
              <w:tab/>
              <w:t>Check, maintain and store equipment, tools and materials according</w:t>
            </w:r>
            <w:r w:rsidRPr="00EA1BBF">
              <w:t xml:space="preserve"> to manufacturer guidelines and organisational procedures.</w:t>
            </w:r>
          </w:p>
          <w:p w:rsidR="00000000" w:rsidRPr="00EA1BBF" w:rsidP="00EA1BBF">
            <w:pPr>
              <w:pStyle w:val="List"/>
            </w:pPr>
            <w:r w:rsidRPr="00EA1BBF">
              <w:t>5.2</w:t>
            </w:r>
            <w:r w:rsidRPr="00EA1BBF">
              <w:tab/>
              <w:t>Restore work site to meet environmental and organisational requirements.</w:t>
            </w:r>
          </w:p>
          <w:p w:rsidR="00000000" w:rsidRPr="00EA1BBF" w:rsidP="00EA1BBF">
            <w:pPr>
              <w:pStyle w:val="List"/>
            </w:pPr>
            <w:r w:rsidRPr="00EA1BBF">
              <w:t>5.3</w:t>
            </w:r>
            <w:r w:rsidRPr="00EA1BBF">
              <w:tab/>
              <w:t>Record and report activities according to organisational procedures.</w:t>
            </w:r>
          </w:p>
        </w:tc>
      </w:tr>
    </w:tbl>
    <w:p w:rsidR="00000000" w:rsidRPr="00EA1BBF" w:rsidP="00EA1BBF">
      <w:pPr>
        <w:pStyle w:val="BodyText"/>
      </w:pPr>
    </w:p>
    <w:p w:rsidR="00000000" w:rsidRPr="00EA1BBF" w:rsidP="00EA1BBF">
      <w:pPr>
        <w:pStyle w:val="AllowPageBreak"/>
      </w:pPr>
    </w:p>
    <w:p w:rsidR="00000000" w:rsidRPr="00EA1BBF" w:rsidP="00EA1BBF">
      <w:pPr>
        <w:pStyle w:val="Heading1"/>
      </w:pPr>
      <w:bookmarkStart w:id="9" w:name="O_403960"/>
      <w:bookmarkEnd w:id="9"/>
      <w:r w:rsidRPr="00EA1BBF">
        <w:t>Required Skills and Knowledg</w:t>
      </w:r>
      <w:r w:rsidRPr="00EA1BBF">
        <w:t>e</w:t>
      </w:r>
    </w:p>
    <w:tbl>
      <w:tblPr>
        <w:tblW w:w="0" w:type="auto"/>
        <w:tblLayout w:type="fixed"/>
        <w:tblCellMar>
          <w:left w:w="62" w:type="dxa"/>
          <w:right w:w="62" w:type="dxa"/>
        </w:tblCellMar>
        <w:tblLook w:val="0000"/>
      </w:tblPr>
      <w:tblGrid>
        <w:gridCol w:w="9072"/>
      </w:tblGrid>
      <w:tr w:rsidTr="00FF4F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t>This describes the essential skills and knowledge and their level, required for this unit.</w:t>
            </w:r>
          </w:p>
        </w:tc>
      </w:tr>
      <w:tr w:rsidTr="00FF4F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1BBF" w:rsidP="00EA1BBF">
            <w:pPr>
              <w:pStyle w:val="BodyText"/>
            </w:pPr>
            <w:r w:rsidRPr="00EA1BBF">
              <w:rPr>
                <w:rStyle w:val="SpecialBold"/>
              </w:rPr>
              <w:t>Required skills</w:t>
            </w:r>
            <w:r w:rsidRPr="00EA1BBF">
              <w:t>:</w:t>
            </w:r>
          </w:p>
          <w:p w:rsidR="00000000" w:rsidRPr="00EA1BBF" w:rsidP="00EA1BBF">
            <w:pPr>
              <w:pStyle w:val="ListBullet"/>
            </w:pPr>
            <w:r w:rsidRPr="00EA1BBF">
              <w:t>identify and respond to operational problems</w:t>
            </w:r>
          </w:p>
          <w:p w:rsidR="00000000" w:rsidRPr="00EA1BBF" w:rsidP="00EA1BBF">
            <w:pPr>
              <w:pStyle w:val="ListBullet"/>
            </w:pPr>
            <w:r w:rsidRPr="00EA1BBF">
              <w:t>produce reports and logs</w:t>
            </w:r>
          </w:p>
          <w:p w:rsidR="00000000" w:rsidRPr="00EA1BBF" w:rsidP="00EA1BBF">
            <w:pPr>
              <w:pStyle w:val="ListBullet"/>
            </w:pPr>
            <w:r w:rsidRPr="00EA1BBF">
              <w:t>operate communications equipment</w:t>
            </w:r>
          </w:p>
          <w:p w:rsidR="00000000" w:rsidRPr="00EA1BBF" w:rsidP="00EA1BBF">
            <w:pPr>
              <w:pStyle w:val="ListBullet"/>
            </w:pPr>
            <w:r w:rsidRPr="00EA1BBF">
              <w:t>follow plans, charts and instructions</w:t>
            </w:r>
          </w:p>
          <w:p w:rsidR="00000000" w:rsidRPr="00EA1BBF" w:rsidP="00EA1BBF">
            <w:pPr>
              <w:pStyle w:val="ListBullet"/>
            </w:pPr>
            <w:r w:rsidRPr="00EA1BBF">
              <w:t>perform work-related calculations</w:t>
            </w:r>
          </w:p>
          <w:p w:rsidR="00000000" w:rsidRPr="00EA1BBF" w:rsidP="00EA1BBF">
            <w:pPr>
              <w:pStyle w:val="ListBullet"/>
            </w:pPr>
            <w:r w:rsidRPr="00EA1BBF">
              <w:t>follow procedures and standards</w:t>
            </w:r>
          </w:p>
          <w:p w:rsidR="00000000" w:rsidRPr="00EA1BBF" w:rsidP="00EA1BBF">
            <w:pPr>
              <w:pStyle w:val="ListBullet"/>
            </w:pPr>
            <w:r w:rsidRPr="00EA1BBF">
              <w:t>use safety equipment and personal protective equipment</w:t>
            </w:r>
          </w:p>
          <w:p w:rsidR="00000000" w:rsidRPr="00EA1BBF" w:rsidP="00EA1BBF">
            <w:pPr>
              <w:pStyle w:val="ListBullet"/>
            </w:pPr>
            <w:r w:rsidRPr="00EA1BBF">
              <w:t>communicate with customers and other employees</w:t>
            </w:r>
          </w:p>
          <w:p w:rsidR="00000000" w:rsidRPr="00EA1BBF" w:rsidP="00EA1BBF">
            <w:pPr>
              <w:pStyle w:val="ListBullet"/>
            </w:pPr>
            <w:r w:rsidRPr="00EA1BBF">
              <w:t>work effectively as part of a team</w:t>
            </w:r>
          </w:p>
          <w:p w:rsidR="00000000" w:rsidRPr="00EA1BBF" w:rsidP="00EA1BBF">
            <w:pPr>
              <w:pStyle w:val="ListBullet"/>
            </w:pPr>
            <w:r w:rsidRPr="00EA1BBF">
              <w:t>install flow control devices</w:t>
            </w:r>
          </w:p>
          <w:p w:rsidR="00000000" w:rsidRPr="00EA1BBF" w:rsidP="00EA1BBF">
            <w:pPr>
              <w:pStyle w:val="ListBullet"/>
            </w:pPr>
            <w:r w:rsidRPr="00EA1BBF">
              <w:t>install metering devices</w:t>
            </w:r>
          </w:p>
          <w:p w:rsidR="00000000" w:rsidRPr="00EA1BBF" w:rsidP="00EA1BBF">
            <w:pPr>
              <w:pStyle w:val="ListBullet"/>
            </w:pPr>
            <w:r w:rsidRPr="00EA1BBF">
              <w:t xml:space="preserve">use literacy skills in regard to verbal and written communication in the workplace </w:t>
            </w:r>
          </w:p>
          <w:p w:rsidR="00000000" w:rsidP="00EA1BBF">
            <w:pPr>
              <w:pStyle w:val="ListBullet"/>
              <w:rPr>
                <w:lang w:val="en-NZ"/>
              </w:rPr>
            </w:pPr>
            <w:r w:rsidRPr="00EA1BBF">
              <w:t>identify control system and metering faults</w:t>
            </w:r>
          </w:p>
        </w:tc>
      </w:tr>
      <w:tr w:rsidTr="00FF4F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1BBF" w:rsidP="00EA1BBF">
            <w:pPr>
              <w:pStyle w:val="BodyText"/>
            </w:pPr>
            <w:r w:rsidRPr="00EA1BBF">
              <w:rPr>
                <w:rStyle w:val="SpecialBold"/>
              </w:rPr>
              <w:t>Required knowledge</w:t>
            </w:r>
            <w:r w:rsidRPr="00EA1BBF">
              <w:t>:</w:t>
            </w:r>
          </w:p>
          <w:p w:rsidR="00000000" w:rsidRPr="00EA1BBF" w:rsidP="00EA1BBF">
            <w:pPr>
              <w:pStyle w:val="ListBullet"/>
            </w:pPr>
            <w:r w:rsidRPr="00EA1BBF">
              <w:t xml:space="preserve">impact of the principles of hydraulics on the operation of flows </w:t>
            </w:r>
          </w:p>
          <w:p w:rsidR="00000000" w:rsidRPr="00EA1BBF" w:rsidP="00EA1BBF">
            <w:pPr>
              <w:pStyle w:val="ListBullet"/>
            </w:pPr>
            <w:r w:rsidRPr="00EA1BBF">
              <w:t>system layout</w:t>
            </w:r>
          </w:p>
          <w:p w:rsidR="00000000" w:rsidRPr="00EA1BBF" w:rsidP="00EA1BBF">
            <w:pPr>
              <w:pStyle w:val="ListBullet"/>
            </w:pPr>
            <w:r w:rsidRPr="00EA1BBF">
              <w:t>lock-out procedures for me</w:t>
            </w:r>
            <w:r w:rsidRPr="00EA1BBF">
              <w:t>chanical and electrical installations</w:t>
            </w:r>
          </w:p>
          <w:p w:rsidR="00000000" w:rsidRPr="00EA1BBF" w:rsidP="00EA1BBF">
            <w:pPr>
              <w:pStyle w:val="ListBullet"/>
            </w:pPr>
            <w:r w:rsidRPr="00EA1BBF">
              <w:t>organisational communication systems</w:t>
            </w:r>
          </w:p>
          <w:p w:rsidR="00000000" w:rsidRPr="00EA1BBF" w:rsidP="00EA1BBF">
            <w:pPr>
              <w:pStyle w:val="ListBullet"/>
            </w:pPr>
            <w:r w:rsidRPr="00EA1BBF">
              <w:t>effective workplace communication processes</w:t>
            </w:r>
          </w:p>
          <w:p w:rsidR="00000000" w:rsidRPr="00EA1BBF" w:rsidP="00EA1BBF">
            <w:pPr>
              <w:pStyle w:val="ListBullet"/>
            </w:pPr>
            <w:r w:rsidRPr="00EA1BBF">
              <w:t>materials handling</w:t>
            </w:r>
          </w:p>
          <w:p w:rsidR="00000000" w:rsidRPr="00EA1BBF" w:rsidP="00EA1BBF">
            <w:pPr>
              <w:pStyle w:val="ListBullet"/>
            </w:pPr>
            <w:r w:rsidRPr="00EA1BBF">
              <w:t>environmental, landscape and ground structure of work area</w:t>
            </w:r>
          </w:p>
          <w:p w:rsidR="00000000" w:rsidRPr="00EA1BBF" w:rsidP="00EA1BBF">
            <w:pPr>
              <w:pStyle w:val="ListBullet"/>
            </w:pPr>
            <w:r w:rsidRPr="00EA1BBF">
              <w:t>risk factors and potential hazards</w:t>
            </w:r>
          </w:p>
          <w:p w:rsidR="00000000" w:rsidRPr="00EA1BBF" w:rsidP="00EA1BBF">
            <w:pPr>
              <w:pStyle w:val="ListBullet"/>
            </w:pPr>
            <w:r w:rsidRPr="00EA1BBF">
              <w:t>equipment operation, capacity and limitations</w:t>
            </w:r>
          </w:p>
          <w:p w:rsidR="00000000" w:rsidRPr="00EA1BBF" w:rsidP="00EA1BBF">
            <w:pPr>
              <w:pStyle w:val="ListBullet"/>
            </w:pPr>
            <w:r w:rsidRPr="00EA1BBF">
              <w:t>effects of weather and conditions on operation of system, site and plant</w:t>
            </w:r>
          </w:p>
          <w:p w:rsidR="00000000" w:rsidRPr="00EA1BBF" w:rsidP="00EA1BBF">
            <w:pPr>
              <w:pStyle w:val="ListBullet"/>
            </w:pPr>
            <w:r w:rsidRPr="00EA1BBF">
              <w:t>flow measurement principles and procedures</w:t>
            </w:r>
          </w:p>
          <w:p w:rsidR="00000000" w:rsidRPr="00EA1BBF" w:rsidP="00EA1BBF">
            <w:pPr>
              <w:pStyle w:val="ListBullet"/>
            </w:pPr>
            <w:r w:rsidRPr="00EA1BBF">
              <w:t>layout and performance of pipes and fittings</w:t>
            </w:r>
          </w:p>
          <w:p w:rsidR="00000000" w:rsidRPr="00EA1BBF" w:rsidP="00EA1BBF">
            <w:pPr>
              <w:pStyle w:val="ListBullet"/>
            </w:pPr>
            <w:r w:rsidRPr="00EA1BBF">
              <w:t>operation of control systems</w:t>
            </w:r>
          </w:p>
        </w:tc>
      </w:tr>
    </w:tbl>
    <w:p w:rsidR="00000000" w:rsidRPr="00EA1BBF" w:rsidP="00EA1BBF">
      <w:pPr>
        <w:pStyle w:val="BodyText"/>
      </w:pPr>
    </w:p>
    <w:p w:rsidR="00000000" w:rsidRPr="00EA1BBF" w:rsidP="00EA1BBF">
      <w:pPr>
        <w:pStyle w:val="AllowPageBreak"/>
      </w:pPr>
    </w:p>
    <w:p w:rsidR="00000000" w:rsidRPr="00EA1BBF" w:rsidP="00EA1BBF">
      <w:pPr>
        <w:pStyle w:val="Heading1"/>
      </w:pPr>
      <w:bookmarkStart w:id="10" w:name="O_403966"/>
      <w:bookmarkEnd w:id="10"/>
      <w:r w:rsidRPr="00EA1BBF">
        <w:t>E</w:t>
      </w:r>
      <w:r w:rsidRPr="00EA1BBF">
        <w:t>vidence Guide</w:t>
      </w:r>
    </w:p>
    <w:tbl>
      <w:tblPr>
        <w:tblW w:w="0" w:type="auto"/>
        <w:tblLayout w:type="fixed"/>
        <w:tblCellMar>
          <w:left w:w="62" w:type="dxa"/>
          <w:right w:w="62" w:type="dxa"/>
        </w:tblCellMar>
        <w:tblLook w:val="0000"/>
      </w:tblPr>
      <w:tblGrid>
        <w:gridCol w:w="2988"/>
        <w:gridCol w:w="6084"/>
      </w:tblGrid>
      <w:tr w:rsidTr="00FF4F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t>The evidence guide provides advice on assessment and must be read in conjunction with the performance criteria, required skills and knowledge, the range statement and the Assessment Guidelines for the Training Package.</w:t>
            </w:r>
          </w:p>
        </w:tc>
      </w:tr>
      <w:tr w:rsidTr="00FF4FC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EA1BBF" w:rsidP="00EA1BBF">
            <w:pPr>
              <w:pStyle w:val="BodyText"/>
            </w:pPr>
            <w:r w:rsidRPr="00EA1BBF">
              <w:t>The candidate should demonstrate the ability to install meters, flow control and regulating devices for water distribution or wastewater collection systems includi</w:t>
            </w:r>
            <w:r w:rsidRPr="00EA1BBF">
              <w:t>ng:</w:t>
            </w:r>
          </w:p>
          <w:p w:rsidR="00000000" w:rsidRPr="00EA1BBF" w:rsidP="00EA1BBF">
            <w:pPr>
              <w:pStyle w:val="ListBullet"/>
            </w:pPr>
            <w:r w:rsidRPr="00EA1BBF">
              <w:t>planning and preparing for installation of flow control and metering devices</w:t>
            </w:r>
          </w:p>
          <w:p w:rsidR="00000000" w:rsidRPr="00EA1BBF" w:rsidP="00EA1BBF">
            <w:pPr>
              <w:pStyle w:val="ListBullet"/>
            </w:pPr>
            <w:r w:rsidRPr="00EA1BBF">
              <w:t>interpreting plans, specifications and instructions for installation of flow control devices</w:t>
            </w:r>
          </w:p>
          <w:p w:rsidR="00000000" w:rsidRPr="00EA1BBF" w:rsidP="00EA1BBF">
            <w:pPr>
              <w:pStyle w:val="ListBullet"/>
            </w:pPr>
            <w:r w:rsidRPr="00EA1BBF">
              <w:t>interpreting plans, specifications and instructions for installation of basic mete</w:t>
            </w:r>
            <w:r w:rsidRPr="00EA1BBF">
              <w:t>ring devices</w:t>
            </w:r>
          </w:p>
          <w:p w:rsidR="00000000" w:rsidRPr="00EA1BBF" w:rsidP="00EA1BBF">
            <w:pPr>
              <w:pStyle w:val="ListBullet"/>
            </w:pPr>
            <w:r w:rsidRPr="00EA1BBF">
              <w:t>conducting routine inspections, maintenance and servicing of basic metering, flow control and regulating devices</w:t>
            </w:r>
          </w:p>
          <w:p w:rsidR="00000000" w:rsidP="00EA1BBF">
            <w:pPr>
              <w:pStyle w:val="ListBullet"/>
              <w:rPr>
                <w:lang w:val="en-NZ"/>
              </w:rPr>
            </w:pPr>
            <w:r w:rsidRPr="00EA1BBF">
              <w:t>completing relevant workplace documentation</w:t>
            </w:r>
          </w:p>
        </w:tc>
      </w:tr>
      <w:tr w:rsidTr="00FF4FC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EA1BBF" w:rsidP="00EA1BBF">
            <w:pPr>
              <w:pStyle w:val="BodyText"/>
            </w:pPr>
            <w:r w:rsidRPr="00EA1BBF">
              <w:t>Access to the workplace and resource</w:t>
            </w:r>
            <w:r w:rsidRPr="00EA1BBF">
              <w:t xml:space="preserve">s including: </w:t>
            </w:r>
          </w:p>
          <w:p w:rsidR="00000000" w:rsidRPr="00EA1BBF" w:rsidP="00EA1BBF">
            <w:pPr>
              <w:pStyle w:val="ListBullet"/>
            </w:pPr>
            <w:r w:rsidRPr="00EA1BBF">
              <w:t>documentation that should normally be available in a water industry organisation</w:t>
            </w:r>
          </w:p>
          <w:p w:rsidR="00000000" w:rsidRPr="00EA1BBF" w:rsidP="00EA1BBF">
            <w:pPr>
              <w:pStyle w:val="ListBullet"/>
            </w:pPr>
            <w:r w:rsidRPr="00EA1BBF">
              <w:t>relevant codes, standards and government regulations</w:t>
            </w:r>
          </w:p>
          <w:p w:rsidR="00000000" w:rsidRPr="00EA1BBF" w:rsidP="00EA1BBF">
            <w:pPr>
              <w:pStyle w:val="BodyText"/>
            </w:pPr>
            <w:r w:rsidRPr="00EA1BBF">
              <w:t>Where applicable, physical resources should include equipment modified for people with disabilities.</w:t>
            </w:r>
          </w:p>
          <w:p w:rsidR="00000000" w:rsidRPr="00EA1BBF" w:rsidP="00EA1BBF">
            <w:pPr>
              <w:pStyle w:val="BodyText"/>
            </w:pPr>
            <w:r w:rsidRPr="00EA1BBF">
              <w:t xml:space="preserve">Access </w:t>
            </w:r>
            <w:r w:rsidRPr="00EA1BBF">
              <w:t>must be provided to appropriate learning and assessment support when required.</w:t>
            </w:r>
          </w:p>
          <w:p w:rsidR="00000000" w:rsidRPr="00EA1BBF" w:rsidP="00EA1BBF">
            <w:pPr>
              <w:pStyle w:val="BodyText"/>
            </w:pPr>
            <w:r w:rsidRPr="00EA1BBF">
              <w:t xml:space="preserve">Assessment processes and techniques must be culturally appropriate, and appropriate to the language and literacy capacity of the candidate and the work being performed. </w:t>
            </w:r>
          </w:p>
          <w:p w:rsidR="00000000" w:rsidRPr="00EA1BBF" w:rsidP="00EA1BBF">
            <w:pPr>
              <w:pStyle w:val="BodyText"/>
            </w:pPr>
            <w:r w:rsidRPr="00EA1BBF">
              <w:t>Validity and sufficiency of evidence requires that:</w:t>
            </w:r>
          </w:p>
          <w:p w:rsidR="00000000" w:rsidRPr="00EA1BBF" w:rsidP="00EA1BBF">
            <w:pPr>
              <w:pStyle w:val="ListBullet"/>
            </w:pPr>
            <w:r w:rsidRPr="00EA1BBF">
              <w:t>competency will need to be demonstrated over a period of time reflecting the scope of the role and the practical requirements of the workplace</w:t>
            </w:r>
          </w:p>
          <w:p w:rsidR="00000000" w:rsidRPr="00EA1BBF" w:rsidP="00EA1BBF">
            <w:pPr>
              <w:pStyle w:val="ListBullet"/>
            </w:pPr>
            <w:r w:rsidRPr="00EA1BBF">
              <w:t>where the assessment is part of a structured learning experie</w:t>
            </w:r>
            <w:r w:rsidRPr="00EA1BBF">
              <w:t>nce the evidence collected must relate to a number of performances assessed at different points in time and separated by further learning and practice</w:t>
            </w:r>
          </w:p>
          <w:p w:rsidR="00000000" w:rsidRPr="00EA1BBF" w:rsidP="00EA1BBF">
            <w:pPr>
              <w:pStyle w:val="ListBullet"/>
            </w:pPr>
            <w:r w:rsidRPr="00EA1BBF">
              <w:t>a decision of competence only taken at the point when the assessor has complete confidence in the person'</w:t>
            </w:r>
            <w:r w:rsidRPr="00EA1BBF">
              <w:t>s competence over time and in various contexts</w:t>
            </w:r>
          </w:p>
          <w:p w:rsidR="00000000" w:rsidRPr="00EA1BBF" w:rsidP="00EA1BBF">
            <w:pPr>
              <w:pStyle w:val="ListBullet"/>
            </w:pPr>
            <w:r w:rsidRPr="00EA1BBF">
              <w:t>all assessment that is part of a structured learning experience must include a combination of direct, indirect and supplementary evidence</w:t>
            </w:r>
          </w:p>
          <w:p w:rsidR="00000000" w:rsidRPr="00EA1BBF" w:rsidP="00EA1BBF">
            <w:pPr>
              <w:pStyle w:val="ListBullet"/>
            </w:pPr>
            <w:r w:rsidRPr="00EA1BBF">
              <w:t>where assessment is for the purpose of recognition (RCC/RPL), the evide</w:t>
            </w:r>
            <w:r w:rsidRPr="00EA1BBF">
              <w:t>nce provided will need to be authenticated and show that it represents competency demonstrated over a period of time</w:t>
            </w:r>
          </w:p>
          <w:p w:rsidR="00000000" w:rsidRPr="00EA1BBF" w:rsidP="00EA1BBF">
            <w:pPr>
              <w:pStyle w:val="ListBullet"/>
            </w:pPr>
            <w:r w:rsidRPr="00EA1BBF">
              <w:t>assessment can be through simulated project-based activity and must include evidence relating to each of the elements in this unit</w:t>
            </w:r>
          </w:p>
          <w:p w:rsidR="00000000" w:rsidRPr="00EA1BBF" w:rsidP="00EA1BBF">
            <w:pPr>
              <w:pStyle w:val="BodyText"/>
            </w:pPr>
            <w:r w:rsidRPr="00EA1BBF">
              <w:t>In all c</w:t>
            </w:r>
            <w:r w:rsidRPr="00EA1BBF">
              <w:t>ases where practical assessment is used it will be combined with targeted questioning to assess the underpinning knowledge. Questioning will be undertaken in a manner appropriate to the skill levels of the operator and cultural issues that may affect respo</w:t>
            </w:r>
            <w:r w:rsidRPr="00EA1BBF">
              <w:t>nses to the questions, and will reflect the requirements of the competency and the work being performed.</w:t>
            </w:r>
          </w:p>
        </w:tc>
      </w:tr>
    </w:tbl>
    <w:p w:rsidR="00000000" w:rsidRPr="00EA1BBF" w:rsidP="00EA1BBF">
      <w:pPr>
        <w:pStyle w:val="BodyText"/>
      </w:pPr>
    </w:p>
    <w:p w:rsidR="00000000" w:rsidRPr="00EA1BBF" w:rsidP="00EA1BBF">
      <w:pPr>
        <w:pStyle w:val="AllowPageBreak"/>
      </w:pPr>
    </w:p>
    <w:p w:rsidR="00000000" w:rsidRPr="00EA1BBF" w:rsidP="00EA1BBF">
      <w:pPr>
        <w:pStyle w:val="Heading1"/>
      </w:pPr>
      <w:bookmarkStart w:id="11" w:name="O_403961"/>
      <w:bookmarkEnd w:id="11"/>
      <w:r w:rsidRPr="00EA1BBF">
        <w:t>Range Statement</w:t>
      </w:r>
    </w:p>
    <w:tbl>
      <w:tblPr>
        <w:tblW w:w="0" w:type="auto"/>
        <w:tblLayout w:type="fixed"/>
        <w:tblCellMar>
          <w:left w:w="62" w:type="dxa"/>
          <w:right w:w="62" w:type="dxa"/>
        </w:tblCellMar>
        <w:tblLook w:val="0000"/>
      </w:tblPr>
      <w:tblGrid>
        <w:gridCol w:w="2988"/>
        <w:gridCol w:w="6084"/>
      </w:tblGrid>
      <w:tr w:rsidTr="00FF4F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t>The range statement relates to the unit of competency as a whole. It allows for different work environments and situ</w:t>
            </w:r>
            <w:r w:rsidRPr="00EA1BBF">
              <w:t xml:space="preserve">ations that may affect performance. </w:t>
            </w:r>
            <w:r w:rsidRPr="00EA1BBF">
              <w:rPr>
                <w:rStyle w:val="BoldandItalics"/>
              </w:rPr>
              <w:t>Bold italicised</w:t>
            </w:r>
            <w:r w:rsidRPr="00EA1BBF">
              <w:t xml:space="preserve"> wording, if used in the performance criteria, is detailed below. Add any essential operating conditions that may be present with training and assessment depending on the work situation, needs of the candi</w:t>
            </w:r>
            <w:r w:rsidRPr="00EA1BBF">
              <w:t>date, accessibility of the item, and local industry and regional contexts.</w:t>
            </w:r>
          </w:p>
        </w:tc>
      </w:tr>
      <w:tr w:rsidTr="00FF4FC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rPr>
                <w:rStyle w:val="BoldandItalics"/>
              </w:rPr>
              <w:t>Flow control and metering devices</w:t>
            </w:r>
            <w:r w:rsidRPr="00EA1BB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EA1BBF" w:rsidP="00EA1BBF">
            <w:pPr>
              <w:pStyle w:val="ListBullet"/>
            </w:pPr>
            <w:r w:rsidRPr="00EA1BBF">
              <w:t>flow directional gates</w:t>
            </w:r>
          </w:p>
          <w:p w:rsidR="00000000" w:rsidRPr="00EA1BBF" w:rsidP="00EA1BBF">
            <w:pPr>
              <w:pStyle w:val="ListBullet"/>
            </w:pPr>
            <w:r w:rsidRPr="00EA1BBF">
              <w:t>regulators</w:t>
            </w:r>
          </w:p>
          <w:p w:rsidR="00000000" w:rsidRPr="00EA1BBF" w:rsidP="00EA1BBF">
            <w:pPr>
              <w:pStyle w:val="ListBullet"/>
            </w:pPr>
            <w:r w:rsidRPr="00EA1BBF">
              <w:t>pumping systems, including:</w:t>
            </w:r>
          </w:p>
          <w:p w:rsidR="00000000" w:rsidRPr="00EA1BBF" w:rsidP="00EA1BBF">
            <w:pPr>
              <w:pStyle w:val="ListBullet2"/>
            </w:pPr>
            <w:r w:rsidRPr="00EA1BBF">
              <w:t>centrifugal</w:t>
            </w:r>
          </w:p>
          <w:p w:rsidR="00000000" w:rsidRPr="00EA1BBF" w:rsidP="00EA1BBF">
            <w:pPr>
              <w:pStyle w:val="ListBullet2"/>
            </w:pPr>
            <w:r w:rsidRPr="00EA1BBF">
              <w:t>Archimedes screw type</w:t>
            </w:r>
          </w:p>
          <w:p w:rsidR="00000000" w:rsidRPr="00EA1BBF" w:rsidP="00EA1BBF">
            <w:pPr>
              <w:pStyle w:val="ListBullet2"/>
            </w:pPr>
            <w:r w:rsidRPr="00EA1BBF">
              <w:t>submersible</w:t>
            </w:r>
          </w:p>
          <w:p w:rsidR="00000000" w:rsidRPr="00EA1BBF" w:rsidP="00EA1BBF">
            <w:pPr>
              <w:pStyle w:val="ListBullet2"/>
            </w:pPr>
            <w:r w:rsidRPr="00EA1BBF">
              <w:t>positive displacement</w:t>
            </w:r>
          </w:p>
          <w:p w:rsidR="00000000" w:rsidRPr="00EA1BBF" w:rsidP="00EA1BBF">
            <w:pPr>
              <w:pStyle w:val="ListBullet"/>
            </w:pPr>
            <w:r w:rsidRPr="00EA1BBF">
              <w:t>valving systems, including:</w:t>
            </w:r>
          </w:p>
          <w:p w:rsidR="00000000" w:rsidRPr="00EA1BBF" w:rsidP="00EA1BBF">
            <w:pPr>
              <w:pStyle w:val="ListBullet2"/>
            </w:pPr>
            <w:r w:rsidRPr="00EA1BBF">
              <w:t>sluice</w:t>
            </w:r>
          </w:p>
          <w:p w:rsidR="00000000" w:rsidRPr="00EA1BBF" w:rsidP="00EA1BBF">
            <w:pPr>
              <w:pStyle w:val="ListBullet2"/>
            </w:pPr>
            <w:r w:rsidRPr="00EA1BBF">
              <w:t>gate</w:t>
            </w:r>
          </w:p>
          <w:p w:rsidR="00000000" w:rsidRPr="00EA1BBF" w:rsidP="00EA1BBF">
            <w:pPr>
              <w:pStyle w:val="ListBullet2"/>
            </w:pPr>
            <w:r w:rsidRPr="00EA1BBF">
              <w:t>blade</w:t>
            </w:r>
          </w:p>
          <w:p w:rsidR="00000000" w:rsidRPr="00EA1BBF" w:rsidP="00EA1BBF">
            <w:pPr>
              <w:pStyle w:val="ListBullet2"/>
            </w:pPr>
            <w:r w:rsidRPr="00EA1BBF">
              <w:t>non-return</w:t>
            </w:r>
          </w:p>
          <w:p w:rsidR="00000000" w:rsidRPr="00EA1BBF" w:rsidP="00EA1BBF">
            <w:pPr>
              <w:pStyle w:val="ListBullet2"/>
            </w:pPr>
            <w:r w:rsidRPr="00EA1BBF">
              <w:t>doors, drop structures and bars</w:t>
            </w:r>
          </w:p>
          <w:p w:rsidR="00000000" w:rsidRPr="00EA1BBF" w:rsidP="00EA1BBF">
            <w:pPr>
              <w:pStyle w:val="ListBullet2"/>
            </w:pPr>
            <w:r w:rsidRPr="00EA1BBF">
              <w:t>electronic monitoring and metering systems</w:t>
            </w:r>
          </w:p>
          <w:p w:rsidR="00000000" w:rsidRPr="00EA1BBF" w:rsidP="00EA1BBF">
            <w:pPr>
              <w:pStyle w:val="ListBullet"/>
            </w:pPr>
            <w:r w:rsidRPr="00EA1BBF">
              <w:t>mechanical flow usage meters</w:t>
            </w:r>
          </w:p>
          <w:p w:rsidR="00000000" w:rsidP="00EA1BBF">
            <w:pPr>
              <w:pStyle w:val="ListBullet"/>
              <w:rPr>
                <w:lang w:val="en-NZ"/>
              </w:rPr>
            </w:pPr>
            <w:r w:rsidRPr="00EA1BBF">
              <w:t>Dethridge-type wheels</w:t>
            </w:r>
          </w:p>
        </w:tc>
      </w:tr>
      <w:tr w:rsidTr="00FF4FC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rPr>
                <w:rStyle w:val="BoldandItalics"/>
              </w:rPr>
              <w:t>Equipment and tools</w:t>
            </w:r>
            <w:r w:rsidRPr="00EA1BBF">
              <w:t xml:space="preserve"> used may include:</w:t>
            </w:r>
          </w:p>
        </w:tc>
        <w:tc>
          <w:tcPr>
            <w:tcW w:w="6084" w:type="dxa"/>
            <w:tcBorders>
              <w:top w:val="nil"/>
              <w:left w:val="nil"/>
              <w:bottom w:val="nil"/>
              <w:right w:val="nil"/>
            </w:tcBorders>
            <w:tcMar>
              <w:top w:w="0" w:type="dxa"/>
              <w:left w:w="62" w:type="dxa"/>
              <w:bottom w:w="0" w:type="dxa"/>
              <w:right w:w="62" w:type="dxa"/>
            </w:tcMar>
          </w:tcPr>
          <w:p w:rsidR="00000000" w:rsidRPr="00EA1BBF" w:rsidP="00EA1BBF">
            <w:pPr>
              <w:pStyle w:val="ListBullet"/>
            </w:pPr>
            <w:r w:rsidRPr="00EA1BBF">
              <w:t>hand and power tools</w:t>
            </w:r>
          </w:p>
          <w:p w:rsidR="00000000" w:rsidRPr="00EA1BBF" w:rsidP="00EA1BBF">
            <w:pPr>
              <w:pStyle w:val="ListBullet"/>
            </w:pPr>
            <w:r w:rsidRPr="00EA1BBF">
              <w:t>on- and off-road vehicles</w:t>
            </w:r>
          </w:p>
          <w:p w:rsidR="00000000" w:rsidRPr="00EA1BBF" w:rsidP="00EA1BBF">
            <w:pPr>
              <w:pStyle w:val="ListBullet"/>
            </w:pPr>
            <w:r w:rsidRPr="00EA1BBF">
              <w:t>lifting and winching equipment</w:t>
            </w:r>
          </w:p>
          <w:p w:rsidR="00000000" w:rsidRPr="00EA1BBF" w:rsidP="00EA1BBF">
            <w:pPr>
              <w:pStyle w:val="ListBullet"/>
            </w:pPr>
            <w:r w:rsidRPr="00EA1BBF">
              <w:t>mechanical excavation equipment</w:t>
            </w:r>
          </w:p>
          <w:p w:rsidR="00000000" w:rsidRPr="00EA1BBF" w:rsidP="00EA1BBF">
            <w:pPr>
              <w:pStyle w:val="ListBullet"/>
            </w:pPr>
            <w:r w:rsidRPr="00EA1BBF">
              <w:t>chemical spraying apparatus</w:t>
            </w:r>
          </w:p>
          <w:p w:rsidR="00000000" w:rsidRPr="00EA1BBF" w:rsidP="00EA1BBF">
            <w:pPr>
              <w:pStyle w:val="ListBullet"/>
            </w:pPr>
            <w:r w:rsidRPr="00EA1BBF">
              <w:t>small marine craft</w:t>
            </w:r>
          </w:p>
          <w:p w:rsidR="00000000" w:rsidP="00EA1BBF">
            <w:pPr>
              <w:pStyle w:val="ListBullet"/>
              <w:rPr>
                <w:lang w:val="en-NZ"/>
              </w:rPr>
            </w:pPr>
            <w:r w:rsidRPr="00EA1BBF">
              <w:t>personal protective equipment</w:t>
            </w:r>
          </w:p>
        </w:tc>
      </w:tr>
      <w:tr w:rsidTr="00FF4FC4">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EA1BBF">
            <w:pPr>
              <w:pStyle w:val="BodyText"/>
              <w:rPr>
                <w:lang w:val="en-NZ"/>
              </w:rPr>
            </w:pPr>
            <w:r w:rsidRPr="00EA1BBF">
              <w:rPr>
                <w:rStyle w:val="BoldandItalics"/>
              </w:rPr>
              <w:t>Legislative and organisational requirements</w:t>
            </w:r>
            <w:r w:rsidRPr="00EA1BBF">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EA1BBF" w:rsidP="00EA1BBF">
            <w:pPr>
              <w:pStyle w:val="ListBullet"/>
            </w:pPr>
            <w:r w:rsidRPr="00EA1BBF">
              <w:t>relevant federal and state or territory legislation and regulations</w:t>
            </w:r>
          </w:p>
          <w:p w:rsidR="00000000" w:rsidRPr="00EA1BBF" w:rsidP="00EA1BBF">
            <w:pPr>
              <w:pStyle w:val="ListBullet"/>
            </w:pPr>
            <w:r w:rsidRPr="00EA1BBF">
              <w:t>codes of practice, associated standards and guidance material</w:t>
            </w:r>
          </w:p>
          <w:p w:rsidR="00000000" w:rsidRPr="00EA1BBF" w:rsidP="00EA1BBF">
            <w:pPr>
              <w:pStyle w:val="ListBullet"/>
            </w:pPr>
            <w:r w:rsidRPr="00EA1BBF">
              <w:t>documented organisational policies, manuals and induction programs</w:t>
            </w:r>
          </w:p>
          <w:p w:rsidR="00000000" w:rsidRPr="00EA1BBF" w:rsidP="00EA1BBF">
            <w:pPr>
              <w:pStyle w:val="ListBullet"/>
            </w:pPr>
            <w:r w:rsidRPr="00EA1BBF">
              <w:t>relevant community planning and development agreements, suc</w:t>
            </w:r>
            <w:r w:rsidRPr="00EA1BBF">
              <w:t>h as land care agreements</w:t>
            </w:r>
          </w:p>
        </w:tc>
      </w:tr>
    </w:tbl>
    <w:p w:rsidR="00FF4FC4" w:rsidP="00EA1BBF">
      <w:pPr>
        <w:pStyle w:val="BodyText"/>
      </w:pPr>
    </w:p>
    <w:p w:rsidR="00FF4FC4" w:rsidP="00EA1BBF">
      <w:pPr>
        <w:pStyle w:val="BodyText"/>
      </w:pPr>
    </w:p>
    <w:p w:rsidR="00000000" w:rsidRPr="00EA1BBF" w:rsidP="00EA1BBF">
      <w:pPr>
        <w:pStyle w:val="Heading1"/>
      </w:pPr>
      <w:bookmarkStart w:id="12" w:name="O_403958"/>
      <w:bookmarkEnd w:id="12"/>
      <w:r w:rsidRPr="00EA1BBF">
        <w:t>Unit Sector(s)</w:t>
      </w:r>
    </w:p>
    <w:p w:rsidR="00000000" w:rsidRPr="00EA1BBF" w:rsidP="00EA1BBF">
      <w:pPr>
        <w:pStyle w:val="BodyText"/>
      </w:pPr>
      <w:r w:rsidRPr="00EA1BBF">
        <w:t>Not applicable.</w:t>
      </w:r>
    </w:p>
    <w:p w:rsidR="00000000" w:rsidRPr="00EA1BBF" w:rsidP="00EA1BBF">
      <w:pPr>
        <w:pStyle w:val="AllowPageBreak"/>
      </w:pPr>
    </w:p>
    <w:p w:rsidR="00000000" w:rsidRPr="00EA1BBF" w:rsidP="00EA1BBF">
      <w:pPr>
        <w:pStyle w:val="Heading1"/>
      </w:pPr>
      <w:bookmarkStart w:id="13" w:name="O_403970"/>
      <w:bookmarkEnd w:id="13"/>
      <w:r w:rsidRPr="00EA1BBF">
        <w:t>Competency field</w:t>
      </w:r>
    </w:p>
    <w:p w:rsidR="00000000" w:rsidRPr="00EA1BBF" w:rsidP="00EA1BBF">
      <w:pPr>
        <w:pStyle w:val="BodyText"/>
      </w:pPr>
      <w:r w:rsidRPr="00EA1BBF">
        <w:t>Collection and distribution.</w:t>
      </w:r>
    </w:p>
    <w:p w:rsidR="00000000" w:rsidRPr="00EA1BBF" w:rsidP="00EA1BBF"/>
    <w:sectPr w:rsidSect="00EA1B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4FC4" w:rsidP="00FF4F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C4" w:rsidP="00EA1BB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4FC4" w:rsidP="00EA1B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F4FC4" w:rsidP="00EA1B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BF" w:rsidRPr="00FF4FC4" w:rsidP="00FF4F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B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FC4" w:rsidRPr="002D2AF8" w:rsidP="00EA1BBF">
    <w:pPr>
      <w:pStyle w:val="Header"/>
      <w:framePr w:wrap="around"/>
    </w:pPr>
    <w:r>
      <w:fldChar w:fldCharType="begin"/>
    </w:r>
    <w:r>
      <w:instrText xml:space="preserve"> TITLE   \* MERGEFORMAT </w:instrText>
    </w:r>
    <w:r>
      <w:fldChar w:fldCharType="separate"/>
    </w:r>
    <w:r>
      <w:t>NWP223A Install basic metering equipment, flow control and regulating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F4FC4" w:rsidP="00EA1B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B25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B6A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85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B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BBF"/>
    <w:pPr>
      <w:spacing w:before="360" w:after="60"/>
      <w:outlineLvl w:val="0"/>
    </w:pPr>
    <w:rPr>
      <w:sz w:val="32"/>
    </w:rPr>
  </w:style>
  <w:style w:type="paragraph" w:styleId="Heading2">
    <w:name w:val="heading 2"/>
    <w:basedOn w:val="HeadingBase"/>
    <w:next w:val="BodyText"/>
    <w:link w:val="Heading2Char"/>
    <w:qFormat/>
    <w:rsid w:val="00EA1BBF"/>
    <w:pPr>
      <w:keepLines/>
      <w:spacing w:before="240" w:after="120"/>
      <w:outlineLvl w:val="1"/>
    </w:pPr>
    <w:rPr>
      <w:sz w:val="28"/>
      <w:szCs w:val="40"/>
    </w:rPr>
  </w:style>
  <w:style w:type="paragraph" w:styleId="Heading3">
    <w:name w:val="heading 3"/>
    <w:basedOn w:val="HeadingBase"/>
    <w:next w:val="BodyText"/>
    <w:link w:val="Heading3Char"/>
    <w:qFormat/>
    <w:rsid w:val="00EA1BBF"/>
    <w:pPr>
      <w:spacing w:before="180" w:after="120"/>
      <w:outlineLvl w:val="2"/>
    </w:pPr>
    <w:rPr>
      <w:spacing w:val="-10"/>
      <w:kern w:val="32"/>
    </w:rPr>
  </w:style>
  <w:style w:type="paragraph" w:styleId="Heading4">
    <w:name w:val="heading 4"/>
    <w:basedOn w:val="HeadingBase"/>
    <w:next w:val="BodyText"/>
    <w:link w:val="Heading4Char"/>
    <w:qFormat/>
    <w:rsid w:val="00EA1BBF"/>
    <w:pPr>
      <w:spacing w:before="160" w:after="120"/>
      <w:outlineLvl w:val="3"/>
    </w:pPr>
    <w:rPr>
      <w:sz w:val="22"/>
    </w:rPr>
  </w:style>
  <w:style w:type="paragraph" w:styleId="Heading5">
    <w:name w:val="heading 5"/>
    <w:basedOn w:val="HeadingBase"/>
    <w:next w:val="Normal"/>
    <w:link w:val="Heading5Char"/>
    <w:qFormat/>
    <w:rsid w:val="00EA1BBF"/>
    <w:pPr>
      <w:spacing w:before="80"/>
      <w:outlineLvl w:val="4"/>
    </w:pPr>
    <w:rPr>
      <w:color w:val="918585"/>
      <w:sz w:val="20"/>
    </w:rPr>
  </w:style>
  <w:style w:type="paragraph" w:styleId="Heading6">
    <w:name w:val="heading 6"/>
    <w:basedOn w:val="HeadingBase"/>
    <w:next w:val="Normal"/>
    <w:link w:val="Heading6Char"/>
    <w:qFormat/>
    <w:rsid w:val="00EA1BBF"/>
    <w:pPr>
      <w:spacing w:before="60"/>
      <w:outlineLvl w:val="5"/>
    </w:pPr>
    <w:rPr>
      <w:color w:val="918585"/>
      <w:sz w:val="20"/>
    </w:rPr>
  </w:style>
  <w:style w:type="paragraph" w:styleId="Heading7">
    <w:name w:val="heading 7"/>
    <w:basedOn w:val="Normal"/>
    <w:next w:val="Normal"/>
    <w:link w:val="Heading7Char"/>
    <w:qFormat/>
    <w:rsid w:val="00EA1BBF"/>
    <w:pPr>
      <w:ind w:left="720"/>
      <w:outlineLvl w:val="6"/>
    </w:pPr>
    <w:rPr>
      <w:i/>
    </w:rPr>
  </w:style>
  <w:style w:type="paragraph" w:styleId="Heading8">
    <w:name w:val="heading 8"/>
    <w:basedOn w:val="Normal"/>
    <w:next w:val="Normal"/>
    <w:link w:val="Heading8Char"/>
    <w:qFormat/>
    <w:rsid w:val="00EA1BBF"/>
    <w:pPr>
      <w:ind w:left="720"/>
      <w:outlineLvl w:val="7"/>
    </w:pPr>
    <w:rPr>
      <w:i/>
    </w:rPr>
  </w:style>
  <w:style w:type="paragraph" w:styleId="Heading9">
    <w:name w:val="heading 9"/>
    <w:basedOn w:val="Normal"/>
    <w:next w:val="Normal"/>
    <w:link w:val="Heading9Char"/>
    <w:qFormat/>
    <w:rsid w:val="00EA1BBF"/>
    <w:pPr>
      <w:ind w:left="720"/>
      <w:outlineLvl w:val="8"/>
    </w:pPr>
    <w:rPr>
      <w:i/>
    </w:rPr>
  </w:style>
  <w:style w:type="character" w:default="1" w:styleId="DefaultParagraphFont">
    <w:name w:val="Default Paragraph Font"/>
    <w:uiPriority w:val="1"/>
    <w:unhideWhenUsed/>
    <w:rsid w:val="00EA1B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BBF"/>
  </w:style>
  <w:style w:type="character" w:customStyle="1" w:styleId="Heading1Char">
    <w:name w:val="Heading 1 Char"/>
    <w:basedOn w:val="DefaultParagraphFont"/>
    <w:link w:val="Heading1"/>
    <w:rsid w:val="00EA1BBF"/>
    <w:rPr>
      <w:rFonts w:ascii="Times New Roman" w:eastAsia="Times New Roman" w:hAnsi="Times New Roman" w:cs="Times New Roman"/>
      <w:b/>
      <w:sz w:val="32"/>
      <w:szCs w:val="20"/>
      <w:lang w:eastAsia="en-US"/>
    </w:rPr>
  </w:style>
  <w:style w:type="paragraph" w:styleId="BodyText">
    <w:name w:val="Body Text"/>
    <w:basedOn w:val="Normal"/>
    <w:link w:val="BodyTextChar"/>
    <w:rsid w:val="00EA1B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1BBF"/>
    <w:rPr>
      <w:rFonts w:ascii="Times New Roman" w:eastAsia="Times New Roman" w:hAnsi="Times New Roman" w:cs="Times New Roman"/>
      <w:sz w:val="24"/>
      <w:lang w:eastAsia="en-US"/>
    </w:rPr>
  </w:style>
  <w:style w:type="paragraph" w:styleId="Footer">
    <w:name w:val="footer"/>
    <w:basedOn w:val="Normal"/>
    <w:link w:val="FooterChar"/>
    <w:rsid w:val="00EA1B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BBF"/>
    <w:rPr>
      <w:rFonts w:ascii="Times New Roman" w:eastAsia="Times New Roman" w:hAnsi="Times New Roman" w:cs="Times New Roman"/>
      <w:sz w:val="16"/>
      <w:lang w:eastAsia="en-US"/>
    </w:rPr>
  </w:style>
  <w:style w:type="paragraph" w:styleId="List">
    <w:name w:val="List"/>
    <w:basedOn w:val="BodyText"/>
    <w:next w:val="BodyText"/>
    <w:rsid w:val="00EA1BBF"/>
    <w:pPr>
      <w:tabs>
        <w:tab w:val="left" w:pos="340"/>
      </w:tabs>
      <w:spacing w:before="60" w:after="60"/>
      <w:ind w:left="340" w:hanging="340"/>
    </w:pPr>
  </w:style>
  <w:style w:type="paragraph" w:styleId="ListBullet">
    <w:name w:val="List Bullet"/>
    <w:basedOn w:val="List"/>
    <w:rsid w:val="00EA1BBF"/>
    <w:pPr>
      <w:numPr>
        <w:numId w:val="13"/>
      </w:numPr>
      <w:tabs>
        <w:tab w:val="clear" w:pos="340"/>
      </w:tabs>
      <w:spacing w:before="40" w:after="40"/>
    </w:pPr>
  </w:style>
  <w:style w:type="character" w:customStyle="1" w:styleId="SpecialBold">
    <w:name w:val="Special Bold"/>
    <w:basedOn w:val="DefaultParagraphFont"/>
    <w:rsid w:val="00EA1BBF"/>
    <w:rPr>
      <w:b/>
      <w:spacing w:val="0"/>
    </w:rPr>
  </w:style>
  <w:style w:type="paragraph" w:styleId="ListBullet2">
    <w:name w:val="List Bullet 2"/>
    <w:basedOn w:val="List2"/>
    <w:rsid w:val="00EA1BBF"/>
    <w:pPr>
      <w:numPr>
        <w:numId w:val="14"/>
      </w:numPr>
      <w:tabs>
        <w:tab w:val="clear" w:pos="680"/>
      </w:tabs>
    </w:pPr>
  </w:style>
  <w:style w:type="paragraph" w:customStyle="1" w:styleId="SuperHeading">
    <w:name w:val="SuperHeading"/>
    <w:basedOn w:val="Normal"/>
    <w:rsid w:val="00EA1BBF"/>
    <w:pPr>
      <w:spacing w:before="240" w:after="120"/>
      <w:outlineLvl w:val="0"/>
    </w:pPr>
    <w:rPr>
      <w:rFonts w:ascii="Times New Roman" w:hAnsi="Times New Roman"/>
      <w:b/>
      <w:sz w:val="28"/>
    </w:rPr>
  </w:style>
  <w:style w:type="paragraph" w:customStyle="1" w:styleId="AllowPageBreak">
    <w:name w:val="AllowPageBreak"/>
    <w:rsid w:val="00EA1B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1BBF"/>
    <w:rPr>
      <w:b/>
      <w:i/>
      <w:u w:val="none"/>
    </w:rPr>
  </w:style>
  <w:style w:type="character" w:customStyle="1" w:styleId="Heading2Char">
    <w:name w:val="Heading 2 Char"/>
    <w:basedOn w:val="DefaultParagraphFont"/>
    <w:link w:val="Heading2"/>
    <w:rsid w:val="00EA1B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B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B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B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B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B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B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BBF"/>
    <w:rPr>
      <w:rFonts w:ascii="Courier New" w:eastAsia="Times New Roman" w:hAnsi="Courier New" w:cs="Times New Roman"/>
      <w:i/>
      <w:szCs w:val="20"/>
      <w:lang w:eastAsia="en-US"/>
    </w:rPr>
  </w:style>
  <w:style w:type="paragraph" w:customStyle="1" w:styleId="HeadingBase">
    <w:name w:val="Heading Base"/>
    <w:rsid w:val="00EA1B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BBF"/>
    <w:pPr>
      <w:tabs>
        <w:tab w:val="right" w:leader="dot" w:pos="9072"/>
      </w:tabs>
      <w:ind w:left="567"/>
    </w:pPr>
    <w:rPr>
      <w:szCs w:val="22"/>
    </w:rPr>
  </w:style>
  <w:style w:type="paragraph" w:customStyle="1" w:styleId="TOCBase">
    <w:name w:val="TOC Base"/>
    <w:rsid w:val="00EA1B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BBF"/>
    <w:pPr>
      <w:tabs>
        <w:tab w:val="right" w:leader="dot" w:pos="9072"/>
      </w:tabs>
      <w:spacing w:before="40" w:after="40"/>
      <w:ind w:left="284"/>
    </w:pPr>
    <w:rPr>
      <w:rFonts w:ascii="Times New Roman" w:hAnsi="Times New Roman"/>
    </w:rPr>
  </w:style>
  <w:style w:type="paragraph" w:styleId="TOC1">
    <w:name w:val="toc 1"/>
    <w:basedOn w:val="TOCBase"/>
    <w:next w:val="Normal"/>
    <w:rsid w:val="00EA1B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BBF"/>
    <w:pPr>
      <w:spacing w:before="5040"/>
      <w:jc w:val="center"/>
    </w:pPr>
    <w:rPr>
      <w:sz w:val="48"/>
      <w:szCs w:val="72"/>
      <w:lang w:val="en-US"/>
    </w:rPr>
  </w:style>
  <w:style w:type="character" w:customStyle="1" w:styleId="TitleChar">
    <w:name w:val="Title Char"/>
    <w:basedOn w:val="DefaultParagraphFont"/>
    <w:link w:val="Title"/>
    <w:rsid w:val="00EA1B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BBF"/>
    <w:pPr>
      <w:tabs>
        <w:tab w:val="left" w:pos="3600"/>
        <w:tab w:val="left" w:pos="3958"/>
      </w:tabs>
    </w:pPr>
  </w:style>
  <w:style w:type="paragraph" w:customStyle="1" w:styleId="Note">
    <w:name w:val="Note"/>
    <w:basedOn w:val="BodyText"/>
    <w:rsid w:val="00EA1B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BBF"/>
    <w:pPr>
      <w:framePr w:wrap="auto" w:hAnchor="text" w:y="6049"/>
    </w:pPr>
    <w:rPr>
      <w:color w:val="000000"/>
      <w:sz w:val="40"/>
    </w:rPr>
  </w:style>
  <w:style w:type="paragraph" w:customStyle="1" w:styleId="TOCTitle">
    <w:name w:val="TOCTitle"/>
    <w:basedOn w:val="Heading1"/>
    <w:rsid w:val="00EA1BBF"/>
    <w:pPr>
      <w:spacing w:after="240"/>
      <w:jc w:val="center"/>
      <w:outlineLvl w:val="9"/>
    </w:pPr>
    <w:rPr>
      <w:caps/>
    </w:rPr>
  </w:style>
  <w:style w:type="paragraph" w:customStyle="1" w:styleId="Version">
    <w:name w:val="Version"/>
    <w:rsid w:val="00EA1B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BBF"/>
    <w:pPr>
      <w:keepNext w:val="0"/>
      <w:tabs>
        <w:tab w:val="right" w:pos="4176"/>
      </w:tabs>
      <w:ind w:left="198" w:hanging="198"/>
    </w:pPr>
    <w:rPr>
      <w:rFonts w:ascii="Garamond" w:hAnsi="Garamond"/>
    </w:rPr>
  </w:style>
  <w:style w:type="paragraph" w:styleId="IndexHeading">
    <w:name w:val="index heading"/>
    <w:basedOn w:val="Normal"/>
    <w:next w:val="Index1"/>
    <w:semiHidden/>
    <w:rsid w:val="00EA1BBF"/>
    <w:pPr>
      <w:spacing w:before="120" w:after="120"/>
    </w:pPr>
    <w:rPr>
      <w:rFonts w:ascii="Arial" w:hAnsi="Arial"/>
      <w:b/>
      <w:color w:val="918585"/>
      <w:sz w:val="24"/>
    </w:rPr>
  </w:style>
  <w:style w:type="paragraph" w:styleId="Header">
    <w:name w:val="header"/>
    <w:basedOn w:val="Normal"/>
    <w:link w:val="HeaderChar"/>
    <w:rsid w:val="00EA1B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BBF"/>
    <w:rPr>
      <w:rFonts w:ascii="Times New Roman" w:eastAsia="Times New Roman" w:hAnsi="Times New Roman" w:cs="Times New Roman"/>
      <w:sz w:val="16"/>
      <w:szCs w:val="20"/>
      <w:lang w:val="en-GB" w:eastAsia="en-US"/>
    </w:rPr>
  </w:style>
  <w:style w:type="paragraph" w:customStyle="1" w:styleId="Chapter">
    <w:name w:val="Chapter"/>
    <w:basedOn w:val="Normal"/>
    <w:rsid w:val="00EA1BBF"/>
    <w:pPr>
      <w:spacing w:before="240"/>
    </w:pPr>
    <w:rPr>
      <w:rFonts w:ascii="Times New Roman" w:hAnsi="Times New Roman"/>
      <w:smallCaps/>
      <w:spacing w:val="80"/>
      <w:sz w:val="28"/>
    </w:rPr>
  </w:style>
  <w:style w:type="paragraph" w:customStyle="1" w:styleId="InChapter">
    <w:name w:val="InChapter"/>
    <w:basedOn w:val="Heading3"/>
    <w:rsid w:val="00EA1BBF"/>
    <w:pPr>
      <w:spacing w:after="240"/>
      <w:outlineLvl w:val="9"/>
    </w:pPr>
    <w:rPr>
      <w:noProof/>
    </w:rPr>
  </w:style>
  <w:style w:type="paragraph" w:styleId="Index2">
    <w:name w:val="index 2"/>
    <w:basedOn w:val="Normal"/>
    <w:next w:val="Normal"/>
    <w:semiHidden/>
    <w:rsid w:val="00EA1BBF"/>
    <w:pPr>
      <w:tabs>
        <w:tab w:val="right" w:pos="4176"/>
      </w:tabs>
      <w:ind w:left="568" w:hanging="284"/>
    </w:pPr>
    <w:rPr>
      <w:rFonts w:ascii="Garamond" w:hAnsi="Garamond"/>
    </w:rPr>
  </w:style>
  <w:style w:type="paragraph" w:customStyle="1" w:styleId="Byline">
    <w:name w:val="Byline"/>
    <w:rsid w:val="00EA1B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BBF"/>
    <w:pPr>
      <w:tabs>
        <w:tab w:val="clear" w:pos="3600"/>
        <w:tab w:val="clear" w:pos="3958"/>
      </w:tabs>
      <w:jc w:val="right"/>
    </w:pPr>
  </w:style>
  <w:style w:type="character" w:styleId="Emphasis">
    <w:name w:val="Emphasis"/>
    <w:basedOn w:val="DefaultParagraphFont"/>
    <w:qFormat/>
    <w:rsid w:val="00EA1BBF"/>
    <w:rPr>
      <w:i/>
    </w:rPr>
  </w:style>
  <w:style w:type="paragraph" w:styleId="Caption">
    <w:name w:val="caption"/>
    <w:basedOn w:val="BodyText"/>
    <w:next w:val="Normal"/>
    <w:qFormat/>
    <w:rsid w:val="00EA1BBF"/>
    <w:pPr>
      <w:framePr w:w="2268" w:hSpace="181" w:vSpace="181" w:wrap="around" w:vAnchor="text" w:hAnchor="page" w:x="1135" w:y="285" w:anchorLock="1"/>
    </w:pPr>
    <w:rPr>
      <w:i/>
    </w:rPr>
  </w:style>
  <w:style w:type="paragraph" w:customStyle="1" w:styleId="MiniTOCTitle">
    <w:name w:val="MiniTOCTitle"/>
    <w:basedOn w:val="Heading4"/>
    <w:rsid w:val="00EA1BBF"/>
    <w:pPr>
      <w:spacing w:before="240"/>
      <w:outlineLvl w:val="9"/>
    </w:pPr>
    <w:rPr>
      <w:noProof/>
      <w:sz w:val="24"/>
    </w:rPr>
  </w:style>
  <w:style w:type="paragraph" w:customStyle="1" w:styleId="MiniTOCItem">
    <w:name w:val="MiniTOCItem"/>
    <w:basedOn w:val="ListBullet"/>
    <w:rsid w:val="00EA1BBF"/>
    <w:pPr>
      <w:numPr>
        <w:numId w:val="0"/>
      </w:numPr>
      <w:tabs>
        <w:tab w:val="right" w:leader="dot" w:pos="6521"/>
      </w:tabs>
      <w:spacing w:before="0" w:after="0"/>
    </w:pPr>
  </w:style>
  <w:style w:type="paragraph" w:customStyle="1" w:styleId="TOFTitle">
    <w:name w:val="TOFTitle"/>
    <w:basedOn w:val="TOCTitle"/>
    <w:rsid w:val="00EA1BBF"/>
  </w:style>
  <w:style w:type="paragraph" w:styleId="TableofFigures">
    <w:name w:val="table of figures"/>
    <w:basedOn w:val="Normal"/>
    <w:next w:val="Normal"/>
    <w:semiHidden/>
    <w:rsid w:val="00EA1BBF"/>
    <w:pPr>
      <w:tabs>
        <w:tab w:val="right" w:leader="dot" w:pos="9072"/>
      </w:tabs>
      <w:ind w:left="970" w:hanging="403"/>
    </w:pPr>
    <w:rPr>
      <w:rFonts w:ascii="Times New Roman" w:hAnsi="Times New Roman"/>
      <w:b/>
    </w:rPr>
  </w:style>
  <w:style w:type="paragraph" w:styleId="ListNumber">
    <w:name w:val="List Number"/>
    <w:basedOn w:val="List"/>
    <w:rsid w:val="00EA1BBF"/>
    <w:pPr>
      <w:numPr>
        <w:numId w:val="11"/>
      </w:numPr>
    </w:pPr>
  </w:style>
  <w:style w:type="character" w:customStyle="1" w:styleId="WingdingSymbols">
    <w:name w:val="Wingding Symbols"/>
    <w:rsid w:val="00EA1BBF"/>
    <w:rPr>
      <w:rFonts w:ascii="Wingdings" w:hAnsi="Wingdings"/>
    </w:rPr>
  </w:style>
  <w:style w:type="paragraph" w:customStyle="1" w:styleId="TableHeading">
    <w:name w:val="Table Heading"/>
    <w:basedOn w:val="HeadingBase"/>
    <w:rsid w:val="00EA1BBF"/>
    <w:pPr>
      <w:keepLines/>
      <w:pBdr>
        <w:bottom w:val="single" w:sz="6" w:space="1" w:color="918585"/>
      </w:pBdr>
      <w:spacing w:before="240"/>
    </w:pPr>
  </w:style>
  <w:style w:type="character" w:customStyle="1" w:styleId="HotSpot">
    <w:name w:val="HotSpot"/>
    <w:rsid w:val="00EA1BBF"/>
    <w:rPr>
      <w:color w:val="0033CC"/>
      <w:u w:val="none"/>
    </w:rPr>
  </w:style>
  <w:style w:type="paragraph" w:customStyle="1" w:styleId="BodyTextRight">
    <w:name w:val="Body Text Right"/>
    <w:basedOn w:val="BodyText"/>
    <w:rsid w:val="00EA1BBF"/>
    <w:pPr>
      <w:spacing w:before="0" w:after="0"/>
      <w:jc w:val="right"/>
    </w:pPr>
  </w:style>
  <w:style w:type="paragraph" w:styleId="Index3">
    <w:name w:val="index 3"/>
    <w:basedOn w:val="ListNumber2"/>
    <w:next w:val="Normal"/>
    <w:semiHidden/>
    <w:rsid w:val="00EA1BBF"/>
    <w:pPr>
      <w:numPr>
        <w:numId w:val="0"/>
      </w:numPr>
      <w:tabs>
        <w:tab w:val="right" w:leader="dot" w:pos="4176"/>
      </w:tabs>
    </w:pPr>
  </w:style>
  <w:style w:type="paragraph" w:styleId="ListNumber2">
    <w:name w:val="List Number 2"/>
    <w:basedOn w:val="List2"/>
    <w:rsid w:val="00EA1BBF"/>
    <w:pPr>
      <w:numPr>
        <w:numId w:val="10"/>
      </w:numPr>
      <w:tabs>
        <w:tab w:val="clear" w:pos="1060"/>
      </w:tabs>
    </w:pPr>
  </w:style>
  <w:style w:type="paragraph" w:customStyle="1" w:styleId="MarginNote">
    <w:name w:val="Margin Note"/>
    <w:basedOn w:val="BodyText"/>
    <w:rsid w:val="00EA1B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B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B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BBF"/>
    <w:rPr>
      <w:sz w:val="32"/>
    </w:rPr>
  </w:style>
  <w:style w:type="paragraph" w:customStyle="1" w:styleId="HeadingProcedure">
    <w:name w:val="Heading Procedure"/>
    <w:basedOn w:val="HeadingBase"/>
    <w:next w:val="Normal"/>
    <w:rsid w:val="00EA1BBF"/>
    <w:pPr>
      <w:tabs>
        <w:tab w:val="left" w:pos="0"/>
      </w:tabs>
      <w:spacing w:before="120" w:after="60"/>
    </w:pPr>
    <w:rPr>
      <w:i/>
      <w:color w:val="918585"/>
      <w:sz w:val="22"/>
    </w:rPr>
  </w:style>
  <w:style w:type="paragraph" w:customStyle="1" w:styleId="TableBodyText">
    <w:name w:val="Table Body Text"/>
    <w:basedOn w:val="BodyText"/>
    <w:rsid w:val="00EA1BBF"/>
    <w:pPr>
      <w:spacing w:before="60" w:after="60"/>
    </w:pPr>
  </w:style>
  <w:style w:type="paragraph" w:styleId="ListContinue">
    <w:name w:val="List Continue"/>
    <w:basedOn w:val="List"/>
    <w:rsid w:val="00EA1BBF"/>
    <w:pPr>
      <w:ind w:firstLine="0"/>
    </w:pPr>
  </w:style>
  <w:style w:type="paragraph" w:customStyle="1" w:styleId="ListNote">
    <w:name w:val="List Note"/>
    <w:basedOn w:val="List"/>
    <w:rsid w:val="00EA1BBF"/>
    <w:pPr>
      <w:pBdr>
        <w:top w:val="single" w:sz="6" w:space="2" w:color="918585"/>
        <w:bottom w:val="single" w:sz="6" w:space="2" w:color="918585"/>
      </w:pBdr>
      <w:tabs>
        <w:tab w:val="left" w:pos="1021"/>
      </w:tabs>
      <w:ind w:firstLine="0"/>
    </w:pPr>
  </w:style>
  <w:style w:type="paragraph" w:customStyle="1" w:styleId="Warning">
    <w:name w:val="Warning"/>
    <w:basedOn w:val="BodyText"/>
    <w:rsid w:val="00EA1BBF"/>
    <w:pPr>
      <w:shd w:val="clear" w:color="auto" w:fill="D9D9D9"/>
      <w:tabs>
        <w:tab w:val="left" w:pos="992"/>
      </w:tabs>
      <w:ind w:left="119" w:right="119"/>
    </w:pPr>
    <w:rPr>
      <w:sz w:val="20"/>
    </w:rPr>
  </w:style>
  <w:style w:type="paragraph" w:customStyle="1" w:styleId="MarginIcons">
    <w:name w:val="Margin Icons"/>
    <w:basedOn w:val="BodyText"/>
    <w:rsid w:val="00EA1B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BBF"/>
    <w:rPr>
      <w:rFonts w:ascii="Courier New" w:hAnsi="Courier New"/>
    </w:rPr>
  </w:style>
  <w:style w:type="paragraph" w:customStyle="1" w:styleId="NoteBullet">
    <w:name w:val="Note Bullet"/>
    <w:basedOn w:val="Note"/>
    <w:rsid w:val="00EA1BBF"/>
    <w:pPr>
      <w:tabs>
        <w:tab w:val="clear" w:pos="680"/>
      </w:tabs>
      <w:spacing w:before="60" w:after="60"/>
    </w:pPr>
  </w:style>
  <w:style w:type="paragraph" w:customStyle="1" w:styleId="SubHeading2">
    <w:name w:val="SubHeading2"/>
    <w:basedOn w:val="HeadingBase"/>
    <w:rsid w:val="00EA1BBF"/>
    <w:pPr>
      <w:spacing w:before="240" w:after="60"/>
    </w:pPr>
    <w:rPr>
      <w:sz w:val="20"/>
    </w:rPr>
  </w:style>
  <w:style w:type="paragraph" w:customStyle="1" w:styleId="SubHeading1">
    <w:name w:val="SubHeading1"/>
    <w:basedOn w:val="HeadingBase"/>
    <w:rsid w:val="00EA1BBF"/>
    <w:pPr>
      <w:spacing w:before="240" w:after="60"/>
    </w:pPr>
    <w:rPr>
      <w:color w:val="918585"/>
      <w:sz w:val="22"/>
    </w:rPr>
  </w:style>
  <w:style w:type="paragraph" w:customStyle="1" w:styleId="SideHeading">
    <w:name w:val="Side Heading"/>
    <w:basedOn w:val="HeadingBase"/>
    <w:rsid w:val="00EA1B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BBF"/>
    <w:pPr>
      <w:numPr>
        <w:numId w:val="12"/>
      </w:numPr>
    </w:pPr>
  </w:style>
  <w:style w:type="paragraph" w:styleId="PlainText">
    <w:name w:val="Plain Text"/>
    <w:basedOn w:val="Normal"/>
    <w:link w:val="PlainTextChar"/>
    <w:rsid w:val="00EA1BBF"/>
    <w:rPr>
      <w:sz w:val="20"/>
    </w:rPr>
  </w:style>
  <w:style w:type="character" w:customStyle="1" w:styleId="PlainTextChar">
    <w:name w:val="Plain Text Char"/>
    <w:basedOn w:val="DefaultParagraphFont"/>
    <w:link w:val="PlainText"/>
    <w:rsid w:val="00EA1BBF"/>
    <w:rPr>
      <w:rFonts w:ascii="Courier New" w:eastAsia="Times New Roman" w:hAnsi="Courier New" w:cs="Times New Roman"/>
      <w:sz w:val="20"/>
      <w:szCs w:val="20"/>
      <w:lang w:eastAsia="en-US"/>
    </w:rPr>
  </w:style>
  <w:style w:type="character" w:customStyle="1" w:styleId="MenuOption">
    <w:name w:val="Menu Option"/>
    <w:basedOn w:val="DefaultParagraphFont"/>
    <w:rsid w:val="00EA1BBF"/>
    <w:rPr>
      <w:b/>
      <w:smallCaps/>
    </w:rPr>
  </w:style>
  <w:style w:type="paragraph" w:customStyle="1" w:styleId="TableListNumber">
    <w:name w:val="Table List Number"/>
    <w:basedOn w:val="ListNumber"/>
    <w:rsid w:val="00EA1BBF"/>
    <w:pPr>
      <w:numPr>
        <w:numId w:val="0"/>
      </w:numPr>
    </w:pPr>
  </w:style>
  <w:style w:type="paragraph" w:styleId="TOC4">
    <w:name w:val="toc 4"/>
    <w:basedOn w:val="TOCBase"/>
    <w:next w:val="Normal"/>
    <w:semiHidden/>
    <w:rsid w:val="00EA1BBF"/>
    <w:pPr>
      <w:tabs>
        <w:tab w:val="right" w:leader="dot" w:pos="9071"/>
      </w:tabs>
      <w:ind w:left="1701"/>
    </w:pPr>
  </w:style>
  <w:style w:type="paragraph" w:customStyle="1" w:styleId="ListAlpha">
    <w:name w:val="List Alpha"/>
    <w:basedOn w:val="List"/>
    <w:rsid w:val="00EA1BBF"/>
    <w:pPr>
      <w:numPr>
        <w:numId w:val="9"/>
      </w:numPr>
    </w:pPr>
  </w:style>
  <w:style w:type="paragraph" w:customStyle="1" w:styleId="ListAlpha2">
    <w:name w:val="List Alpha 2"/>
    <w:basedOn w:val="List2"/>
    <w:rsid w:val="00EA1BBF"/>
    <w:pPr>
      <w:numPr>
        <w:numId w:val="8"/>
      </w:numPr>
    </w:pPr>
  </w:style>
  <w:style w:type="paragraph" w:styleId="List2">
    <w:name w:val="List 2"/>
    <w:basedOn w:val="BodyText"/>
    <w:rsid w:val="00EA1BBF"/>
    <w:pPr>
      <w:tabs>
        <w:tab w:val="left" w:pos="680"/>
      </w:tabs>
      <w:spacing w:before="60" w:after="60"/>
      <w:ind w:left="680" w:hanging="340"/>
    </w:pPr>
  </w:style>
  <w:style w:type="paragraph" w:styleId="List3">
    <w:name w:val="List 3"/>
    <w:basedOn w:val="BodyText"/>
    <w:rsid w:val="00EA1BBF"/>
    <w:pPr>
      <w:tabs>
        <w:tab w:val="left" w:pos="1021"/>
      </w:tabs>
      <w:spacing w:before="60" w:after="60"/>
      <w:ind w:left="1020" w:hanging="340"/>
    </w:pPr>
  </w:style>
  <w:style w:type="paragraph" w:styleId="List4">
    <w:name w:val="List 4"/>
    <w:basedOn w:val="BodyText"/>
    <w:rsid w:val="00EA1BBF"/>
    <w:pPr>
      <w:tabs>
        <w:tab w:val="left" w:pos="1361"/>
      </w:tabs>
      <w:spacing w:before="60" w:after="60"/>
      <w:ind w:left="1361" w:hanging="340"/>
    </w:pPr>
  </w:style>
  <w:style w:type="paragraph" w:styleId="List5">
    <w:name w:val="List 5"/>
    <w:basedOn w:val="BodyText"/>
    <w:rsid w:val="00EA1BBF"/>
    <w:pPr>
      <w:tabs>
        <w:tab w:val="left" w:pos="1701"/>
      </w:tabs>
      <w:spacing w:before="60" w:after="60"/>
      <w:ind w:left="1701" w:hanging="340"/>
    </w:pPr>
  </w:style>
  <w:style w:type="paragraph" w:styleId="ListBullet3">
    <w:name w:val="List Bullet 3"/>
    <w:basedOn w:val="List3"/>
    <w:rsid w:val="00EA1BBF"/>
    <w:pPr>
      <w:numPr>
        <w:numId w:val="15"/>
      </w:numPr>
      <w:tabs>
        <w:tab w:val="clear" w:pos="1021"/>
      </w:tabs>
      <w:ind w:left="1037" w:hanging="357"/>
    </w:pPr>
  </w:style>
  <w:style w:type="paragraph" w:styleId="ListBullet4">
    <w:name w:val="List Bullet 4"/>
    <w:basedOn w:val="List4"/>
    <w:rsid w:val="00EA1BBF"/>
    <w:pPr>
      <w:numPr>
        <w:numId w:val="3"/>
      </w:numPr>
    </w:pPr>
  </w:style>
  <w:style w:type="paragraph" w:styleId="ListBullet5">
    <w:name w:val="List Bullet 5"/>
    <w:basedOn w:val="List5"/>
    <w:rsid w:val="00EA1BBF"/>
    <w:pPr>
      <w:numPr>
        <w:numId w:val="4"/>
      </w:numPr>
    </w:pPr>
  </w:style>
  <w:style w:type="paragraph" w:styleId="ListContinue2">
    <w:name w:val="List Continue 2"/>
    <w:basedOn w:val="List2"/>
    <w:rsid w:val="00EA1BBF"/>
    <w:pPr>
      <w:ind w:firstLine="0"/>
    </w:pPr>
  </w:style>
  <w:style w:type="paragraph" w:styleId="ListContinue3">
    <w:name w:val="List Continue 3"/>
    <w:basedOn w:val="List3"/>
    <w:rsid w:val="00EA1BBF"/>
    <w:pPr>
      <w:ind w:left="1021" w:firstLine="0"/>
    </w:pPr>
  </w:style>
  <w:style w:type="paragraph" w:styleId="ListContinue4">
    <w:name w:val="List Continue 4"/>
    <w:basedOn w:val="List4"/>
    <w:rsid w:val="00EA1BBF"/>
    <w:pPr>
      <w:ind w:firstLine="0"/>
    </w:pPr>
  </w:style>
  <w:style w:type="paragraph" w:styleId="ListContinue5">
    <w:name w:val="List Continue 5"/>
    <w:basedOn w:val="List5"/>
    <w:rsid w:val="00EA1BBF"/>
    <w:pPr>
      <w:ind w:firstLine="0"/>
    </w:pPr>
  </w:style>
  <w:style w:type="paragraph" w:styleId="ListNumber3">
    <w:name w:val="List Number 3"/>
    <w:basedOn w:val="List3"/>
    <w:rsid w:val="00EA1BBF"/>
    <w:pPr>
      <w:numPr>
        <w:numId w:val="5"/>
      </w:numPr>
    </w:pPr>
  </w:style>
  <w:style w:type="paragraph" w:styleId="ListNumber4">
    <w:name w:val="List Number 4"/>
    <w:basedOn w:val="List4"/>
    <w:rsid w:val="00EA1BBF"/>
    <w:pPr>
      <w:numPr>
        <w:numId w:val="6"/>
      </w:numPr>
    </w:pPr>
  </w:style>
  <w:style w:type="paragraph" w:styleId="ListNumber5">
    <w:name w:val="List Number 5"/>
    <w:basedOn w:val="List5"/>
    <w:rsid w:val="00EA1BBF"/>
    <w:pPr>
      <w:numPr>
        <w:numId w:val="7"/>
      </w:numPr>
    </w:pPr>
  </w:style>
  <w:style w:type="paragraph" w:styleId="BlockText">
    <w:name w:val="Block Text"/>
    <w:basedOn w:val="Normal"/>
    <w:rsid w:val="00EA1BBF"/>
    <w:pPr>
      <w:spacing w:after="120"/>
      <w:ind w:left="1440" w:right="1440"/>
    </w:pPr>
  </w:style>
  <w:style w:type="character" w:customStyle="1" w:styleId="Subscript">
    <w:name w:val="Subscript"/>
    <w:basedOn w:val="DefaultParagraphFont"/>
    <w:rsid w:val="00EA1BBF"/>
    <w:rPr>
      <w:sz w:val="16"/>
      <w:vertAlign w:val="subscript"/>
    </w:rPr>
  </w:style>
  <w:style w:type="character" w:customStyle="1" w:styleId="Superscript">
    <w:name w:val="Superscript"/>
    <w:basedOn w:val="DefaultParagraphFont"/>
    <w:rsid w:val="00EA1BBF"/>
    <w:rPr>
      <w:sz w:val="16"/>
      <w:vertAlign w:val="superscript"/>
    </w:rPr>
  </w:style>
  <w:style w:type="character" w:customStyle="1" w:styleId="Symbols">
    <w:name w:val="Symbols"/>
    <w:basedOn w:val="DefaultParagraphFont"/>
    <w:rsid w:val="00EA1BBF"/>
    <w:rPr>
      <w:rFonts w:ascii="Symbol" w:hAnsi="Symbol"/>
    </w:rPr>
  </w:style>
  <w:style w:type="character" w:customStyle="1" w:styleId="MenuOptions">
    <w:name w:val="Menu Options"/>
    <w:basedOn w:val="DefaultParagraphFont"/>
    <w:rsid w:val="00EA1BBF"/>
    <w:rPr>
      <w:rFonts w:ascii="Arial Narrow" w:hAnsi="Arial Narrow"/>
      <w:smallCaps/>
    </w:rPr>
  </w:style>
  <w:style w:type="character" w:customStyle="1" w:styleId="Buttons">
    <w:name w:val="Buttons"/>
    <w:basedOn w:val="DefaultParagraphFont"/>
    <w:rsid w:val="00EA1BBF"/>
    <w:rPr>
      <w:b/>
    </w:rPr>
  </w:style>
  <w:style w:type="character" w:customStyle="1" w:styleId="Underlined">
    <w:name w:val="Underlined"/>
    <w:basedOn w:val="DefaultParagraphFont"/>
    <w:rsid w:val="00EA1BBF"/>
    <w:rPr>
      <w:u w:val="single"/>
    </w:rPr>
  </w:style>
  <w:style w:type="paragraph" w:customStyle="1" w:styleId="TableBodyTextRight">
    <w:name w:val="Table Body Text Right"/>
    <w:basedOn w:val="TableBodyText"/>
    <w:rsid w:val="00EA1BBF"/>
    <w:pPr>
      <w:widowControl w:val="0"/>
      <w:autoSpaceDE w:val="0"/>
      <w:autoSpaceDN w:val="0"/>
      <w:adjustRightInd w:val="0"/>
      <w:jc w:val="right"/>
    </w:pPr>
    <w:rPr>
      <w:rFonts w:cs="Arial"/>
      <w:szCs w:val="18"/>
    </w:rPr>
  </w:style>
  <w:style w:type="paragraph" w:customStyle="1" w:styleId="CopyrightText">
    <w:name w:val="Copyright Text"/>
    <w:basedOn w:val="BodyText"/>
    <w:rsid w:val="00EA1BBF"/>
    <w:rPr>
      <w:sz w:val="18"/>
    </w:rPr>
  </w:style>
  <w:style w:type="paragraph" w:customStyle="1" w:styleId="BodySmallRight">
    <w:name w:val="Body Small Right"/>
    <w:basedOn w:val="BodyTextRight"/>
    <w:rsid w:val="00EA1BBF"/>
    <w:rPr>
      <w:sz w:val="18"/>
      <w:szCs w:val="18"/>
    </w:rPr>
  </w:style>
  <w:style w:type="paragraph" w:customStyle="1" w:styleId="MarginEdition">
    <w:name w:val="Margin Edition"/>
    <w:basedOn w:val="MarginNote"/>
    <w:rsid w:val="00EA1BBF"/>
    <w:pPr>
      <w:spacing w:before="0" w:after="0"/>
    </w:pPr>
    <w:rPr>
      <w:rFonts w:ascii="Times New Roman" w:hAnsi="Times New Roman"/>
      <w:color w:val="999999"/>
    </w:rPr>
  </w:style>
  <w:style w:type="paragraph" w:customStyle="1" w:styleId="Spacer">
    <w:name w:val="Spacer"/>
    <w:basedOn w:val="Normal"/>
    <w:rsid w:val="00EA1BBF"/>
    <w:rPr>
      <w:sz w:val="2"/>
      <w:szCs w:val="2"/>
    </w:rPr>
  </w:style>
  <w:style w:type="character" w:customStyle="1" w:styleId="Small">
    <w:name w:val="Small"/>
    <w:basedOn w:val="DefaultParagraphFont"/>
    <w:rsid w:val="00EA1BBF"/>
    <w:rPr>
      <w:sz w:val="16"/>
    </w:rPr>
  </w:style>
  <w:style w:type="paragraph" w:customStyle="1" w:styleId="WideTable">
    <w:name w:val="Wide Table"/>
    <w:basedOn w:val="Normal"/>
    <w:rsid w:val="00EA1BBF"/>
    <w:pPr>
      <w:ind w:left="-1418"/>
    </w:pPr>
    <w:rPr>
      <w:sz w:val="2"/>
      <w:szCs w:val="2"/>
    </w:rPr>
  </w:style>
  <w:style w:type="character" w:styleId="PageNumber">
    <w:name w:val="page number"/>
    <w:basedOn w:val="DefaultParagraphFont"/>
    <w:rsid w:val="00EA1BBF"/>
  </w:style>
  <w:style w:type="paragraph" w:styleId="Quote">
    <w:name w:val="Quote"/>
    <w:basedOn w:val="Heading1"/>
    <w:link w:val="QuoteChar"/>
    <w:qFormat/>
    <w:rsid w:val="00EA1BBF"/>
    <w:rPr>
      <w:b w:val="0"/>
      <w:sz w:val="72"/>
      <w:szCs w:val="72"/>
      <w:lang w:val="en-NZ"/>
    </w:rPr>
  </w:style>
  <w:style w:type="character" w:customStyle="1" w:styleId="QuoteChar">
    <w:name w:val="Quote Char"/>
    <w:basedOn w:val="DefaultParagraphFont"/>
    <w:link w:val="Quote"/>
    <w:rsid w:val="00EA1B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BBF"/>
    <w:pPr>
      <w:pageBreakBefore/>
    </w:pPr>
  </w:style>
  <w:style w:type="paragraph" w:customStyle="1" w:styleId="Border">
    <w:name w:val="Border"/>
    <w:basedOn w:val="Normal"/>
    <w:qFormat/>
    <w:rsid w:val="00EA1B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BBF"/>
    <w:rPr>
      <w:b/>
      <w:bCs/>
      <w:i/>
      <w:iCs/>
      <w:color w:val="auto"/>
    </w:rPr>
  </w:style>
  <w:style w:type="paragraph" w:styleId="IntenseQuote">
    <w:name w:val="Intense Quote"/>
    <w:basedOn w:val="Normal"/>
    <w:next w:val="Normal"/>
    <w:link w:val="IntenseQuoteChar"/>
    <w:uiPriority w:val="30"/>
    <w:qFormat/>
    <w:rsid w:val="00EA1B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B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BBF"/>
    <w:rPr>
      <w:smallCaps/>
      <w:color w:val="auto"/>
      <w:u w:val="single"/>
    </w:rPr>
  </w:style>
  <w:style w:type="character" w:styleId="IntenseReference">
    <w:name w:val="Intense Reference"/>
    <w:basedOn w:val="DefaultParagraphFont"/>
    <w:uiPriority w:val="32"/>
    <w:qFormat/>
    <w:rsid w:val="00EA1BBF"/>
    <w:rPr>
      <w:b/>
      <w:bCs/>
      <w:smallCaps/>
      <w:color w:val="auto"/>
      <w:spacing w:val="5"/>
      <w:u w:val="single"/>
    </w:rPr>
  </w:style>
  <w:style w:type="paragraph" w:customStyle="1" w:styleId="2ColumnHeading">
    <w:name w:val="2Column Heading"/>
    <w:basedOn w:val="BodyText"/>
    <w:qFormat/>
    <w:rsid w:val="00EA1BBF"/>
    <w:pPr>
      <w:spacing w:after="60"/>
      <w:ind w:left="-2268"/>
    </w:pPr>
    <w:rPr>
      <w:b/>
    </w:rPr>
  </w:style>
  <w:style w:type="paragraph" w:customStyle="1" w:styleId="Heading1TOC">
    <w:name w:val="Heading1 TOC"/>
    <w:basedOn w:val="Normal"/>
    <w:qFormat/>
    <w:rsid w:val="00EA1BBF"/>
    <w:pPr>
      <w:spacing w:before="240" w:after="120"/>
    </w:pPr>
    <w:rPr>
      <w:rFonts w:ascii="Times New Roman" w:hAnsi="Times New Roman"/>
      <w:b/>
      <w:sz w:val="32"/>
    </w:rPr>
  </w:style>
  <w:style w:type="paragraph" w:customStyle="1" w:styleId="Heading2TOC">
    <w:name w:val="Heading2 TOC"/>
    <w:basedOn w:val="Normal"/>
    <w:qFormat/>
    <w:rsid w:val="00EA1BBF"/>
    <w:pPr>
      <w:spacing w:before="240" w:after="60"/>
    </w:pPr>
    <w:rPr>
      <w:rFonts w:ascii="Times New Roman" w:hAnsi="Times New Roman"/>
      <w:b/>
      <w:sz w:val="28"/>
    </w:rPr>
  </w:style>
  <w:style w:type="character" w:customStyle="1" w:styleId="Underline">
    <w:name w:val="Underline"/>
    <w:basedOn w:val="DefaultParagraphFont"/>
    <w:qFormat/>
    <w:rsid w:val="00EA1BBF"/>
    <w:rPr>
      <w:u w:val="single"/>
    </w:rPr>
  </w:style>
  <w:style w:type="paragraph" w:styleId="BalloonText">
    <w:name w:val="Balloon Text"/>
    <w:basedOn w:val="Normal"/>
    <w:link w:val="BalloonTextChar"/>
    <w:rsid w:val="00EA1BBF"/>
    <w:rPr>
      <w:rFonts w:ascii="Tahoma" w:hAnsi="Tahoma" w:cs="Tahoma"/>
      <w:sz w:val="16"/>
      <w:szCs w:val="16"/>
    </w:rPr>
  </w:style>
  <w:style w:type="character" w:customStyle="1" w:styleId="BalloonTextChar">
    <w:name w:val="Balloon Text Char"/>
    <w:basedOn w:val="DefaultParagraphFont"/>
    <w:link w:val="BalloonText"/>
    <w:rsid w:val="00EA1B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B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1B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BBF"/>
    <w:rPr>
      <w:b/>
      <w:color w:val="660033"/>
      <w:spacing w:val="0"/>
    </w:rPr>
  </w:style>
  <w:style w:type="paragraph" w:customStyle="1" w:styleId="Nameditemlist">
    <w:name w:val="Named item list"/>
    <w:basedOn w:val="BodyText"/>
    <w:qFormat/>
    <w:rsid w:val="00EA1BB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1179</Words>
  <Characters>7509</Characters>
  <Application>Microsoft Office Word</Application>
  <DocSecurity>0</DocSecurity>
  <Lines>238</Lines>
  <Paragraphs>130</Paragraphs>
  <ScaleCrop>false</ScaleCrop>
  <Company>Author-it Software Corporation Ltd.</Company>
  <LinksUpToDate>false</LinksUpToDate>
  <CharactersWithSpaces>8629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NWP223A Install basic metering equipment, flow control and regulating devices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2012-10-11T18:09:00Z</dcterms:created>
  <dcterms:modified xsi:type="dcterms:W3CDTF">2012-10-11T18:09:00Z</dcterms:modified>
</cp:coreProperties>
</file>