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27B" w:rsidP="008F5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NWPTRT057 Assess and improve coagulation and flocculation processes</w:t>
      </w:r>
      <w:r>
        <w:fldChar w:fldCharType="end"/>
      </w:r>
    </w:p>
    <w:p w:rsidR="008F527B" w:rsidP="008F527B">
      <w:pPr>
        <w:pStyle w:val="Version"/>
        <w:sectPr w:rsidSect="000D1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4BC" w:rsidP="000D14BC">
      <w:pPr>
        <w:pStyle w:val="SuperHeading"/>
      </w:pPr>
      <w:r w:rsidRPr="000D14BC">
        <w:t>Assessment Requirements for NWPTRT057 Assess and improve coagulation and flocculation processes</w:t>
      </w:r>
    </w:p>
    <w:p w:rsidR="00000000" w:rsidRPr="000D14BC" w:rsidP="000D14BC">
      <w:pPr>
        <w:pStyle w:val="Heading1"/>
      </w:pPr>
      <w:bookmarkStart w:id="1" w:name="O_1122817"/>
      <w:bookmarkEnd w:id="1"/>
      <w:r w:rsidRPr="000D14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4BC" w:rsidP="000D14BC">
            <w:pPr>
              <w:pStyle w:val="BodyText"/>
            </w:pPr>
            <w:r w:rsidRPr="000D14BC">
              <w:t>Release 1. This is the first release of this unit of competency in the NWP National Water Training Package.</w:t>
            </w:r>
          </w:p>
        </w:tc>
      </w:tr>
    </w:tbl>
    <w:p w:rsidR="008F527B" w:rsidP="000D14BC">
      <w:pPr>
        <w:pStyle w:val="NoPaddingFontSize1"/>
      </w:pPr>
    </w:p>
    <w:p w:rsidR="008F527B" w:rsidP="000D14BC">
      <w:pPr>
        <w:pStyle w:val="NoPaddingFontSize1"/>
      </w:pPr>
    </w:p>
    <w:p w:rsidR="00000000" w:rsidRPr="000D14BC" w:rsidP="000D14BC">
      <w:pPr>
        <w:pStyle w:val="Heading1"/>
      </w:pPr>
      <w:bookmarkStart w:id="2" w:name="O_1122818"/>
      <w:bookmarkEnd w:id="2"/>
      <w:r w:rsidRPr="000D14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4BC">
            <w:pPr>
              <w:pStyle w:val="BodyText"/>
              <w:rPr>
                <w:lang w:val="en-NZ"/>
              </w:rPr>
            </w:pPr>
            <w:r w:rsidRPr="000D14B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D1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4BC" w:rsidP="000D14BC">
            <w:pPr>
              <w:pStyle w:val="ListBullet"/>
            </w:pPr>
            <w:r w:rsidRPr="000D14BC">
              <w:t xml:space="preserve">analysing and evaluating </w:t>
            </w:r>
            <w:r w:rsidRPr="000D14BC">
              <w:t>reports and reference materials</w:t>
            </w:r>
          </w:p>
          <w:p w:rsidR="00000000" w:rsidRPr="000D14BC" w:rsidP="000D14BC">
            <w:pPr>
              <w:pStyle w:val="ListBullet"/>
            </w:pPr>
            <w:r w:rsidRPr="000D14BC">
              <w:t>analysing problems and recommending appropriate remedial solutions</w:t>
            </w:r>
          </w:p>
          <w:p w:rsidR="00000000" w:rsidRPr="000D14BC" w:rsidP="000D14BC">
            <w:pPr>
              <w:pStyle w:val="ListBullet"/>
            </w:pPr>
            <w:r w:rsidRPr="000D14BC">
              <w:t>assessing effectiveness of treatment chemicals by conducting a range of tests</w:t>
            </w:r>
          </w:p>
          <w:p w:rsidR="00000000" w:rsidRPr="000D14BC" w:rsidP="000D14BC">
            <w:pPr>
              <w:pStyle w:val="ListBullet"/>
            </w:pPr>
            <w:r w:rsidRPr="000D14BC">
              <w:t>assessin</w:t>
            </w:r>
            <w:r w:rsidRPr="000D14BC">
              <w:t>g fault reports and investigating the current operational status of plant components</w:t>
            </w:r>
          </w:p>
          <w:p w:rsidR="00000000" w:rsidRPr="000D14BC" w:rsidP="000D14BC">
            <w:pPr>
              <w:pStyle w:val="ListBullet"/>
            </w:pPr>
            <w:r w:rsidRPr="000D14BC">
              <w:t>conducting investigations and reporting on operational and control system problems</w:t>
            </w:r>
          </w:p>
          <w:p w:rsidR="00000000" w:rsidRPr="000D14BC" w:rsidP="000D14BC">
            <w:pPr>
              <w:pStyle w:val="ListBullet"/>
            </w:pPr>
            <w:r w:rsidRPr="000D14BC">
              <w:t>identifying and responding to risks and hazards</w:t>
            </w:r>
          </w:p>
          <w:p w:rsidR="00000000" w:rsidRPr="000D14BC" w:rsidP="000D14BC">
            <w:pPr>
              <w:pStyle w:val="ListBullet"/>
            </w:pPr>
            <w:r w:rsidRPr="000D14BC">
              <w:t>identifying data deficiencies and plan a</w:t>
            </w:r>
            <w:r w:rsidRPr="000D14BC">
              <w:t>dditional data collection through appropriate sampling and testing</w:t>
            </w:r>
          </w:p>
          <w:p w:rsidR="00000000" w:rsidRPr="000D14BC" w:rsidP="000D14BC">
            <w:pPr>
              <w:pStyle w:val="ListBullet"/>
            </w:pPr>
            <w:r w:rsidRPr="000D14BC">
              <w:t>identifying opportunities for improved water treatment</w:t>
            </w:r>
          </w:p>
          <w:p w:rsidR="00000000" w:rsidRPr="000D14BC" w:rsidP="000D14BC">
            <w:pPr>
              <w:pStyle w:val="ListBullet"/>
            </w:pPr>
            <w:r w:rsidRPr="000D14BC">
              <w:t>interpreting a range of complex and technical documents including at least one of the following:</w:t>
            </w:r>
          </w:p>
          <w:p w:rsidR="00000000" w:rsidRPr="000D14BC" w:rsidP="000D14BC">
            <w:pPr>
              <w:pStyle w:val="ListBullet2"/>
            </w:pPr>
            <w:r w:rsidRPr="000D14BC">
              <w:t>codes of practice</w:t>
            </w:r>
          </w:p>
          <w:p w:rsidR="00000000" w:rsidRPr="000D14BC" w:rsidP="000D14BC">
            <w:pPr>
              <w:pStyle w:val="ListBullet2"/>
            </w:pPr>
            <w:r w:rsidRPr="000D14BC">
              <w:t>national and indus</w:t>
            </w:r>
            <w:r w:rsidRPr="000D14BC">
              <w:t>try standards</w:t>
            </w:r>
          </w:p>
          <w:p w:rsidR="00000000" w:rsidRPr="000D14BC" w:rsidP="000D14BC">
            <w:pPr>
              <w:pStyle w:val="ListBullet2"/>
            </w:pPr>
            <w:r w:rsidRPr="000D14BC">
              <w:t>organisational policies</w:t>
            </w:r>
          </w:p>
          <w:p w:rsidR="00000000" w:rsidRPr="000D14BC" w:rsidP="000D14BC">
            <w:pPr>
              <w:pStyle w:val="ListBullet2"/>
            </w:pPr>
            <w:r w:rsidRPr="000D14BC">
              <w:t>regulatory, legislative, licensing and organisational requirements</w:t>
            </w:r>
          </w:p>
          <w:p w:rsidR="00000000" w:rsidRPr="000D14BC" w:rsidP="000D14BC">
            <w:pPr>
              <w:pStyle w:val="ListBullet2"/>
            </w:pPr>
            <w:r w:rsidRPr="000D14BC">
              <w:t>specifications</w:t>
            </w:r>
          </w:p>
          <w:p w:rsidR="00000000" w:rsidRPr="000D14BC" w:rsidP="000D14BC">
            <w:pPr>
              <w:pStyle w:val="ListBullet"/>
            </w:pPr>
            <w:r w:rsidRPr="000D14BC">
              <w:t>investigating chemicals and current and potential coagulation and flocculation practices</w:t>
            </w:r>
          </w:p>
          <w:p w:rsidR="00000000" w:rsidRPr="000D14BC" w:rsidP="000D14BC">
            <w:pPr>
              <w:pStyle w:val="ListBullet"/>
            </w:pPr>
            <w:r w:rsidRPr="000D14BC">
              <w:t>operating a coagulation and flocculation process</w:t>
            </w:r>
          </w:p>
          <w:p w:rsidR="00000000" w:rsidRPr="000D14BC" w:rsidP="000D14BC">
            <w:pPr>
              <w:pStyle w:val="ListBullet"/>
            </w:pPr>
            <w:r w:rsidRPr="000D14BC">
              <w:t xml:space="preserve">planning trials to test the performance of the determined optimisation options and compiling recommendation reports </w:t>
            </w:r>
          </w:p>
          <w:p w:rsidR="00000000" w:rsidRPr="000D14BC" w:rsidP="000D14BC">
            <w:pPr>
              <w:pStyle w:val="ListBullet"/>
            </w:pPr>
            <w:r w:rsidRPr="000D14BC">
              <w:t>reviewing existing process performance with reference to historical or seasonal data, diff</w:t>
            </w:r>
            <w:r w:rsidRPr="000D14BC">
              <w:t xml:space="preserve">erences in raw water quality and plant configuration </w:t>
            </w:r>
          </w:p>
        </w:tc>
      </w:tr>
    </w:tbl>
    <w:p w:rsidR="00000000" w:rsidRPr="000D14BC" w:rsidP="000D14BC">
      <w:pPr>
        <w:pStyle w:val="NoPaddingFontSize1"/>
      </w:pPr>
    </w:p>
    <w:p w:rsidR="00000000" w:rsidRPr="000D14BC" w:rsidP="000D14BC">
      <w:pPr>
        <w:pStyle w:val="AllowPageBreak"/>
      </w:pPr>
    </w:p>
    <w:p w:rsidR="00000000" w:rsidRPr="000D14BC" w:rsidP="000D14BC">
      <w:pPr>
        <w:pStyle w:val="Heading1"/>
      </w:pPr>
      <w:bookmarkStart w:id="3" w:name="O_1122819"/>
      <w:bookmarkEnd w:id="3"/>
      <w:r w:rsidRPr="000D14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4BC">
            <w:pPr>
              <w:pStyle w:val="BodyText"/>
              <w:rPr>
                <w:lang w:val="en-NZ"/>
              </w:rPr>
            </w:pPr>
            <w:r w:rsidRPr="000D14BC">
              <w:t>Evidence required to demonstrate competence in this unit must be relevant to and satisfy all the requirements of the elements and performance criteria and include</w:t>
            </w:r>
            <w:r w:rsidRPr="000D14BC">
              <w:t xml:space="preserve"> knowledge of:</w:t>
            </w:r>
          </w:p>
        </w:tc>
      </w:tr>
      <w:tr w:rsidTr="000D1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4BC" w:rsidP="000D14BC">
            <w:pPr>
              <w:pStyle w:val="ListBullet"/>
            </w:pPr>
            <w:r w:rsidRPr="000D14BC">
              <w:t>chemical concepts and reactions relevant to coagulation and flocculation processes, including pH and alkalinity</w:t>
            </w:r>
          </w:p>
          <w:p w:rsidR="00000000" w:rsidRPr="000D14BC" w:rsidP="000D14BC">
            <w:pPr>
              <w:pStyle w:val="ListBullet"/>
            </w:pPr>
            <w:r w:rsidRPr="000D14BC">
              <w:t>chemical dosing system layout</w:t>
            </w:r>
          </w:p>
          <w:p w:rsidR="00000000" w:rsidRPr="000D14BC" w:rsidP="000D14BC">
            <w:pPr>
              <w:pStyle w:val="ListBullet"/>
            </w:pPr>
            <w:r w:rsidRPr="000D14BC">
              <w:t>coagulation and flocculation plant and equipment</w:t>
            </w:r>
          </w:p>
          <w:p w:rsidR="00000000" w:rsidRPr="000D14BC" w:rsidP="000D14BC">
            <w:pPr>
              <w:pStyle w:val="ListBullet"/>
            </w:pPr>
            <w:r w:rsidRPr="000D14BC">
              <w:t>dosing pump capacity and calibration chart inclu</w:t>
            </w:r>
            <w:r w:rsidRPr="000D14BC">
              <w:t>ding:</w:t>
            </w:r>
          </w:p>
          <w:p w:rsidR="00000000" w:rsidRPr="000D14BC" w:rsidP="000D14BC">
            <w:pPr>
              <w:pStyle w:val="ListBullet2"/>
            </w:pPr>
            <w:r w:rsidRPr="000D14BC">
              <w:t>detention times</w:t>
            </w:r>
          </w:p>
          <w:p w:rsidR="00000000" w:rsidRPr="000D14BC" w:rsidP="000D14BC">
            <w:pPr>
              <w:pStyle w:val="ListBullet2"/>
            </w:pPr>
            <w:r w:rsidRPr="000D14BC">
              <w:t>draw down tests</w:t>
            </w:r>
          </w:p>
          <w:p w:rsidR="00000000" w:rsidRPr="000D14BC" w:rsidP="000D14BC">
            <w:pPr>
              <w:pStyle w:val="ListBullet2"/>
            </w:pPr>
            <w:r w:rsidRPr="000D14BC">
              <w:t>mixing intensity for flash or rapid mixing and flocculation</w:t>
            </w:r>
          </w:p>
          <w:p w:rsidR="00000000" w:rsidRPr="000D14BC" w:rsidP="000D14BC">
            <w:pPr>
              <w:pStyle w:val="ListBullet"/>
            </w:pPr>
            <w:r w:rsidRPr="000D14BC">
              <w:t>factors affecting the selection of chemicals in coagulation and flocculation processes</w:t>
            </w:r>
          </w:p>
          <w:p w:rsidR="00000000" w:rsidRPr="000D14BC" w:rsidP="000D14BC">
            <w:pPr>
              <w:pStyle w:val="ListBullet"/>
            </w:pPr>
            <w:r w:rsidRPr="000D14BC">
              <w:t>factors influencing the effectiveness of chemicals in c</w:t>
            </w:r>
            <w:r w:rsidRPr="000D14BC">
              <w:t>oagulation and flocculation processes</w:t>
            </w:r>
          </w:p>
          <w:p w:rsidR="00000000" w:rsidRPr="000D14BC" w:rsidP="000D14BC">
            <w:pPr>
              <w:pStyle w:val="ListBullet"/>
            </w:pPr>
            <w:r w:rsidRPr="000D14BC">
              <w:t>functions of various chemicals in coagulation and flocculation processes</w:t>
            </w:r>
          </w:p>
          <w:p w:rsidR="00000000" w:rsidRPr="000D14BC" w:rsidP="000D14BC">
            <w:pPr>
              <w:pStyle w:val="ListBullet"/>
            </w:pPr>
            <w:r w:rsidRPr="000D14BC">
              <w:t xml:space="preserve">identify chemical dosing points </w:t>
            </w:r>
          </w:p>
          <w:p w:rsidR="00000000" w:rsidRPr="000D14BC" w:rsidP="000D14BC">
            <w:pPr>
              <w:pStyle w:val="ListBullet"/>
            </w:pPr>
            <w:r w:rsidRPr="000D14BC">
              <w:t>impacts of incorrect dosing</w:t>
            </w:r>
          </w:p>
          <w:p w:rsidR="00000000" w:rsidRPr="000D14BC" w:rsidP="000D14BC">
            <w:pPr>
              <w:pStyle w:val="ListBullet"/>
            </w:pPr>
            <w:r w:rsidRPr="000D14BC">
              <w:t>range and characteristics of chemicals used in coagulation and flocculation processe</w:t>
            </w:r>
            <w:r w:rsidRPr="000D14BC">
              <w:t>s</w:t>
            </w:r>
          </w:p>
          <w:p w:rsidR="00000000" w:rsidRPr="000D14BC" w:rsidP="000D14BC">
            <w:pPr>
              <w:pStyle w:val="ListBullet"/>
            </w:pPr>
            <w:r w:rsidRPr="000D14BC">
              <w:t>range of appropriate measuring and testing procedures</w:t>
            </w:r>
          </w:p>
          <w:p w:rsidR="00000000" w:rsidRPr="000D14BC" w:rsidP="000D14BC">
            <w:pPr>
              <w:pStyle w:val="ListBullet"/>
            </w:pPr>
            <w:r w:rsidRPr="000D14BC">
              <w:t>risk and hazard management principles</w:t>
            </w:r>
          </w:p>
          <w:p w:rsidR="00000000" w:rsidRPr="000D14BC" w:rsidP="000D14BC">
            <w:pPr>
              <w:pStyle w:val="ListBullet"/>
            </w:pPr>
            <w:r w:rsidRPr="000D14BC">
              <w:t>safety data sheets, site manifests and dangerous goods handling</w:t>
            </w:r>
          </w:p>
          <w:p w:rsidR="00000000" w:rsidRPr="000D14BC" w:rsidP="000D14BC">
            <w:pPr>
              <w:pStyle w:val="ListBullet"/>
            </w:pPr>
            <w:r w:rsidRPr="000D14BC">
              <w:t>workplace documentation for data and reports</w:t>
            </w:r>
          </w:p>
        </w:tc>
      </w:tr>
    </w:tbl>
    <w:p w:rsidR="00000000" w:rsidRPr="000D14BC" w:rsidP="000D14BC">
      <w:pPr>
        <w:pStyle w:val="NoPaddingFontSize1"/>
      </w:pPr>
    </w:p>
    <w:p w:rsidR="00000000" w:rsidRPr="000D14BC" w:rsidP="000D14BC">
      <w:pPr>
        <w:pStyle w:val="AllowPageBreak"/>
      </w:pPr>
    </w:p>
    <w:p w:rsidR="00000000" w:rsidRPr="000D14BC" w:rsidP="000D14BC">
      <w:pPr>
        <w:pStyle w:val="Heading1"/>
      </w:pPr>
      <w:bookmarkStart w:id="4" w:name="O_1122820"/>
      <w:bookmarkEnd w:id="4"/>
      <w:r w:rsidRPr="000D14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4BC" w:rsidP="000D14BC">
            <w:pPr>
              <w:pStyle w:val="BodyText"/>
            </w:pPr>
            <w:r w:rsidRPr="000D14BC">
              <w:t xml:space="preserve">Assessors must hold credentials specified within the Standards for Registered Training Organisations current at the time of assessment. </w:t>
            </w:r>
          </w:p>
          <w:p w:rsidR="00000000" w:rsidRPr="000D14BC" w:rsidP="000D14BC">
            <w:pPr>
              <w:pStyle w:val="BodyText"/>
            </w:pPr>
            <w:r w:rsidRPr="000D14BC">
              <w:t>Assessment must satisfy the Principles of Assessment and Rules of Evidence and all regulatory requirements included wit</w:t>
            </w:r>
            <w:r w:rsidRPr="000D14BC">
              <w:t>hin the Standards for Registered Training Organisations current at the time of assessment.</w:t>
            </w:r>
          </w:p>
          <w:p w:rsidR="00000000" w:rsidRPr="000D14BC" w:rsidP="000D14BC">
            <w:pPr>
              <w:pStyle w:val="BodyText"/>
            </w:pPr>
            <w:r w:rsidRPr="000D14BC">
              <w:t>Assessment must occur in workplace operational situations where it is appropriate to do so; where this is not appropriate, assessment must occur in simulated workpla</w:t>
            </w:r>
            <w:r w:rsidRPr="000D14BC">
              <w:t>ce operational situations that replicate workplace conditions.</w:t>
            </w:r>
          </w:p>
          <w:p w:rsidR="00000000" w:rsidRPr="000D14BC" w:rsidP="000D14BC">
            <w:pPr>
              <w:pStyle w:val="BodyText"/>
            </w:pPr>
            <w:r w:rsidRPr="000D14B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D14BC" w:rsidP="000D14BC">
            <w:pPr>
              <w:pStyle w:val="BodyText"/>
            </w:pPr>
            <w:r w:rsidRPr="000D14BC">
              <w:t xml:space="preserve">Resources for assessment </w:t>
            </w:r>
            <w:r w:rsidRPr="000D14BC">
              <w:t>must include access to:</w:t>
            </w:r>
          </w:p>
          <w:p w:rsidR="00000000" w:rsidRPr="000D14BC" w:rsidP="000D14BC">
            <w:pPr>
              <w:pStyle w:val="ListBullet"/>
            </w:pPr>
            <w:r w:rsidRPr="000D14BC">
              <w:t>relevant and appropriate materials, tools, equipment and personal protective equipment currently used in industry</w:t>
            </w:r>
          </w:p>
          <w:p w:rsidR="00000000" w:rsidRPr="000D14BC" w:rsidP="000D14BC">
            <w:pPr>
              <w:pStyle w:val="ListBullet"/>
            </w:pPr>
            <w:r w:rsidRPr="000D14BC">
              <w:t>applicable documentation including legislation, regulations, codes of practice, workplace procedures and operation ma</w:t>
            </w:r>
            <w:r w:rsidRPr="000D14BC">
              <w:t>nuals.</w:t>
            </w:r>
          </w:p>
        </w:tc>
      </w:tr>
    </w:tbl>
    <w:p w:rsidR="00000000" w:rsidRPr="000D14BC" w:rsidP="000D14BC">
      <w:pPr>
        <w:pStyle w:val="NoPaddingFontSize1"/>
      </w:pPr>
    </w:p>
    <w:p w:rsidR="00000000" w:rsidRPr="000D14BC" w:rsidP="000D14BC">
      <w:pPr>
        <w:pStyle w:val="AllowPageBreak"/>
      </w:pPr>
    </w:p>
    <w:p w:rsidR="00000000" w:rsidRPr="000D14BC" w:rsidP="000D14BC">
      <w:pPr>
        <w:pStyle w:val="Heading1"/>
      </w:pPr>
      <w:bookmarkStart w:id="5" w:name="O_1122823"/>
      <w:bookmarkEnd w:id="5"/>
      <w:r w:rsidRPr="000D14BC">
        <w:t>Links</w:t>
      </w:r>
    </w:p>
    <w:p w:rsidR="00000000" w:rsidRPr="000D14BC" w:rsidP="008F527B">
      <w:pPr>
        <w:pStyle w:val="BodyText"/>
      </w:pPr>
      <w:r w:rsidRPr="000D1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629D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D14BC" w:rsidP="000D14BC"/>
    <w:sectPr w:rsidSect="000D14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4BC" w:rsidRPr="008F527B" w:rsidP="008F5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7B" w:rsidP="000D1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27B" w:rsidP="000D1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527B" w:rsidP="000D1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4BC" w:rsidRPr="008F527B" w:rsidP="008F5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7B" w:rsidRPr="002D2AF8" w:rsidP="000D1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NWPTRT057 Assess and improve coagulation and flocculation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F527B" w:rsidP="000D1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3EF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4E0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28D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4BC"/>
  </w:style>
  <w:style w:type="character" w:customStyle="1" w:styleId="Heading1Char">
    <w:name w:val="Heading 1 Char"/>
    <w:basedOn w:val="DefaultParagraphFont"/>
    <w:link w:val="Heading1"/>
    <w:rsid w:val="000D1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4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4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1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4BC"/>
    <w:rPr>
      <w:b/>
      <w:spacing w:val="0"/>
    </w:rPr>
  </w:style>
  <w:style w:type="paragraph" w:customStyle="1" w:styleId="SuperTitle">
    <w:name w:val="SuperTitle"/>
    <w:basedOn w:val="Title"/>
    <w:rsid w:val="000D1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4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4BC"/>
    <w:rPr>
      <w:i/>
    </w:rPr>
  </w:style>
  <w:style w:type="paragraph" w:styleId="Caption">
    <w:name w:val="caption"/>
    <w:basedOn w:val="BodyText"/>
    <w:next w:val="Normal"/>
    <w:qFormat/>
    <w:rsid w:val="000D1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4BC"/>
  </w:style>
  <w:style w:type="paragraph" w:styleId="TableofFigures">
    <w:name w:val="table of figures"/>
    <w:basedOn w:val="Normal"/>
    <w:next w:val="Normal"/>
    <w:semiHidden/>
    <w:rsid w:val="000D1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4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4BC"/>
    <w:rPr>
      <w:rFonts w:ascii="Wingdings" w:hAnsi="Wingdings"/>
    </w:rPr>
  </w:style>
  <w:style w:type="paragraph" w:customStyle="1" w:styleId="TableHeading">
    <w:name w:val="Table Heading"/>
    <w:basedOn w:val="HeadingBase"/>
    <w:rsid w:val="000D1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4BC"/>
    <w:rPr>
      <w:color w:val="0033CC"/>
      <w:u w:val="none"/>
    </w:rPr>
  </w:style>
  <w:style w:type="paragraph" w:customStyle="1" w:styleId="BodyTextRight">
    <w:name w:val="Body Text Right"/>
    <w:basedOn w:val="BodyText"/>
    <w:rsid w:val="000D1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4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4BC"/>
    <w:rPr>
      <w:sz w:val="32"/>
    </w:rPr>
  </w:style>
  <w:style w:type="paragraph" w:customStyle="1" w:styleId="HeadingProcedure">
    <w:name w:val="Heading Procedure"/>
    <w:basedOn w:val="HeadingBase"/>
    <w:next w:val="Normal"/>
    <w:rsid w:val="000D1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4BC"/>
    <w:pPr>
      <w:spacing w:before="60" w:after="60"/>
    </w:pPr>
  </w:style>
  <w:style w:type="paragraph" w:styleId="ListContinue">
    <w:name w:val="List Continue"/>
    <w:basedOn w:val="List"/>
    <w:rsid w:val="000D14BC"/>
    <w:pPr>
      <w:ind w:firstLine="0"/>
    </w:pPr>
  </w:style>
  <w:style w:type="paragraph" w:customStyle="1" w:styleId="ListNote">
    <w:name w:val="List Note"/>
    <w:basedOn w:val="List"/>
    <w:rsid w:val="000D1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4BC"/>
    <w:rPr>
      <w:rFonts w:ascii="Courier New" w:hAnsi="Courier New"/>
    </w:rPr>
  </w:style>
  <w:style w:type="paragraph" w:customStyle="1" w:styleId="NoteBullet">
    <w:name w:val="Note Bullet"/>
    <w:basedOn w:val="Note"/>
    <w:rsid w:val="000D1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4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4BC"/>
    <w:rPr>
      <w:b/>
      <w:smallCaps/>
    </w:rPr>
  </w:style>
  <w:style w:type="paragraph" w:customStyle="1" w:styleId="TableListNumber">
    <w:name w:val="Table List Number"/>
    <w:basedOn w:val="ListNumber"/>
    <w:rsid w:val="000D1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4BC"/>
    <w:pPr>
      <w:numPr>
        <w:numId w:val="9"/>
      </w:numPr>
    </w:pPr>
  </w:style>
  <w:style w:type="paragraph" w:customStyle="1" w:styleId="ListAlpha2">
    <w:name w:val="List Alpha 2"/>
    <w:basedOn w:val="List2"/>
    <w:rsid w:val="000D14BC"/>
    <w:pPr>
      <w:numPr>
        <w:numId w:val="8"/>
      </w:numPr>
    </w:pPr>
  </w:style>
  <w:style w:type="paragraph" w:styleId="List2">
    <w:name w:val="List 2"/>
    <w:basedOn w:val="BodyText"/>
    <w:rsid w:val="000D1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4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4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4BC"/>
    <w:pPr>
      <w:numPr>
        <w:numId w:val="4"/>
      </w:numPr>
    </w:pPr>
  </w:style>
  <w:style w:type="paragraph" w:styleId="ListContinue2">
    <w:name w:val="List Continue 2"/>
    <w:basedOn w:val="List2"/>
    <w:rsid w:val="000D14BC"/>
    <w:pPr>
      <w:ind w:firstLine="0"/>
    </w:pPr>
  </w:style>
  <w:style w:type="paragraph" w:styleId="ListContinue3">
    <w:name w:val="List Continue 3"/>
    <w:basedOn w:val="List3"/>
    <w:rsid w:val="000D14BC"/>
    <w:pPr>
      <w:ind w:left="1021" w:firstLine="0"/>
    </w:pPr>
  </w:style>
  <w:style w:type="paragraph" w:styleId="ListContinue4">
    <w:name w:val="List Continue 4"/>
    <w:basedOn w:val="List4"/>
    <w:rsid w:val="000D14BC"/>
    <w:pPr>
      <w:ind w:firstLine="0"/>
    </w:pPr>
  </w:style>
  <w:style w:type="paragraph" w:styleId="ListContinue5">
    <w:name w:val="List Continue 5"/>
    <w:basedOn w:val="List5"/>
    <w:rsid w:val="000D14BC"/>
    <w:pPr>
      <w:ind w:firstLine="0"/>
    </w:pPr>
  </w:style>
  <w:style w:type="paragraph" w:styleId="ListNumber3">
    <w:name w:val="List Number 3"/>
    <w:basedOn w:val="List3"/>
    <w:rsid w:val="000D14BC"/>
    <w:pPr>
      <w:numPr>
        <w:numId w:val="5"/>
      </w:numPr>
    </w:pPr>
  </w:style>
  <w:style w:type="paragraph" w:styleId="ListNumber4">
    <w:name w:val="List Number 4"/>
    <w:basedOn w:val="List4"/>
    <w:rsid w:val="000D14BC"/>
    <w:pPr>
      <w:numPr>
        <w:numId w:val="6"/>
      </w:numPr>
    </w:pPr>
  </w:style>
  <w:style w:type="paragraph" w:styleId="ListNumber5">
    <w:name w:val="List Number 5"/>
    <w:basedOn w:val="List5"/>
    <w:rsid w:val="000D14BC"/>
    <w:pPr>
      <w:numPr>
        <w:numId w:val="7"/>
      </w:numPr>
    </w:pPr>
  </w:style>
  <w:style w:type="paragraph" w:styleId="BlockText">
    <w:name w:val="Block Text"/>
    <w:basedOn w:val="Normal"/>
    <w:rsid w:val="000D1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4BC"/>
    <w:rPr>
      <w:sz w:val="16"/>
      <w:vertAlign w:val="superscript"/>
    </w:rPr>
  </w:style>
  <w:style w:type="character" w:customStyle="1" w:styleId="Symbols">
    <w:name w:val="Symbols"/>
    <w:basedOn w:val="DefaultParagraphFont"/>
    <w:rsid w:val="000D14BC"/>
    <w:rPr>
      <w:rFonts w:ascii="Symbol" w:hAnsi="Symbol"/>
    </w:rPr>
  </w:style>
  <w:style w:type="character" w:customStyle="1" w:styleId="MenuOptions">
    <w:name w:val="Menu Options"/>
    <w:basedOn w:val="DefaultParagraphFont"/>
    <w:rsid w:val="000D1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4BC"/>
    <w:rPr>
      <w:b/>
    </w:rPr>
  </w:style>
  <w:style w:type="character" w:customStyle="1" w:styleId="Underlined">
    <w:name w:val="Underlined"/>
    <w:basedOn w:val="DefaultParagraphFont"/>
    <w:rsid w:val="000D14BC"/>
    <w:rPr>
      <w:u w:val="single"/>
    </w:rPr>
  </w:style>
  <w:style w:type="paragraph" w:customStyle="1" w:styleId="TableBodyTextRight">
    <w:name w:val="Table Body Text Right"/>
    <w:basedOn w:val="TableBodyText"/>
    <w:rsid w:val="000D1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4BC"/>
    <w:rPr>
      <w:sz w:val="18"/>
    </w:rPr>
  </w:style>
  <w:style w:type="paragraph" w:customStyle="1" w:styleId="BodySmallRight">
    <w:name w:val="Body Small Right"/>
    <w:basedOn w:val="BodyTextRight"/>
    <w:rsid w:val="000D14BC"/>
    <w:rPr>
      <w:sz w:val="18"/>
      <w:szCs w:val="18"/>
    </w:rPr>
  </w:style>
  <w:style w:type="paragraph" w:customStyle="1" w:styleId="MarginEdition">
    <w:name w:val="Margin Edition"/>
    <w:basedOn w:val="MarginNote"/>
    <w:rsid w:val="000D1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4BC"/>
    <w:rPr>
      <w:sz w:val="2"/>
      <w:szCs w:val="2"/>
    </w:rPr>
  </w:style>
  <w:style w:type="character" w:customStyle="1" w:styleId="Small">
    <w:name w:val="Small"/>
    <w:basedOn w:val="DefaultParagraphFont"/>
    <w:rsid w:val="000D14BC"/>
    <w:rPr>
      <w:sz w:val="16"/>
    </w:rPr>
  </w:style>
  <w:style w:type="paragraph" w:customStyle="1" w:styleId="WideTable">
    <w:name w:val="Wide Table"/>
    <w:basedOn w:val="Normal"/>
    <w:rsid w:val="000D1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4BC"/>
  </w:style>
  <w:style w:type="paragraph" w:styleId="Quote">
    <w:name w:val="Quote"/>
    <w:basedOn w:val="Heading1"/>
    <w:link w:val="QuoteChar"/>
    <w:qFormat/>
    <w:rsid w:val="000D1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4BC"/>
    <w:pPr>
      <w:pageBreakBefore/>
    </w:pPr>
  </w:style>
  <w:style w:type="paragraph" w:customStyle="1" w:styleId="Border">
    <w:name w:val="Border"/>
    <w:basedOn w:val="Normal"/>
    <w:qFormat/>
    <w:rsid w:val="000D1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4BC"/>
    <w:rPr>
      <w:u w:val="single"/>
    </w:rPr>
  </w:style>
  <w:style w:type="character" w:customStyle="1" w:styleId="BoldandItalics">
    <w:name w:val="Bold and Italics"/>
    <w:qFormat/>
    <w:rsid w:val="000D14BC"/>
    <w:rPr>
      <w:b/>
      <w:i/>
      <w:u w:val="none"/>
    </w:rPr>
  </w:style>
  <w:style w:type="paragraph" w:styleId="BalloonText">
    <w:name w:val="Balloon Text"/>
    <w:basedOn w:val="Normal"/>
    <w:link w:val="BalloonTextChar"/>
    <w:rsid w:val="000D1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4BC"/>
    <w:pPr>
      <w:spacing w:before="0" w:after="0"/>
    </w:pPr>
  </w:style>
  <w:style w:type="paragraph" w:customStyle="1" w:styleId="BodyTextBold">
    <w:name w:val="Body Text Bold"/>
    <w:basedOn w:val="BodyText"/>
    <w:qFormat/>
    <w:rsid w:val="000D14BC"/>
    <w:rPr>
      <w:b/>
    </w:rPr>
  </w:style>
  <w:style w:type="character" w:styleId="Hyperlink">
    <w:name w:val="Hyperlink"/>
    <w:basedOn w:val="DefaultParagraphFont"/>
    <w:uiPriority w:val="99"/>
    <w:unhideWhenUsed/>
    <w:rsid w:val="008F5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3754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NWPTRT057 Assess and improve coagulation and flocculation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