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B63" w:rsidP="007F5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NWPTRT046 Operate and control incineration processes</w:t>
      </w:r>
      <w:r>
        <w:fldChar w:fldCharType="end"/>
      </w:r>
    </w:p>
    <w:p w:rsidR="007F5B63" w:rsidP="007F5B63">
      <w:pPr>
        <w:pStyle w:val="Version"/>
        <w:sectPr w:rsidSect="008C7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4CB" w:rsidP="008C74CB">
      <w:pPr>
        <w:pStyle w:val="SuperHeading"/>
      </w:pPr>
      <w:r w:rsidRPr="008C74CB">
        <w:t>NWPTRT046 Operate and control incineration processes</w:t>
      </w:r>
    </w:p>
    <w:p w:rsidR="00000000" w:rsidRPr="008C74CB" w:rsidP="008C74CB">
      <w:pPr>
        <w:pStyle w:val="Heading1"/>
      </w:pPr>
      <w:bookmarkStart w:id="1" w:name="O_1063031"/>
      <w:bookmarkEnd w:id="1"/>
      <w:r w:rsidRPr="008C74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Release 1. This is the first release of this unit of competency in the NWP National Water Training Package.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2" w:name="O_1063032"/>
      <w:bookmarkEnd w:id="2"/>
      <w:r w:rsidRPr="008C74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 xml:space="preserve">This unit involves the skills and knowledge required to operate and control </w:t>
            </w:r>
            <w:r w:rsidRPr="008C74CB">
              <w:t>incineration processes.</w:t>
            </w:r>
          </w:p>
          <w:p w:rsidR="00000000" w:rsidRPr="008C74CB" w:rsidP="008C74CB">
            <w:pPr>
              <w:pStyle w:val="BodyText"/>
            </w:pPr>
            <w:r w:rsidRPr="008C74CB">
              <w:t>It includes monitoring an incineration plant, measuring and reporting on system performance and process quality control.  It also includes identifying faults and determining and applying technical adjustments essential to performanc</w:t>
            </w:r>
            <w:r w:rsidRPr="008C74CB">
              <w:t>e.</w:t>
            </w:r>
          </w:p>
          <w:p w:rsidR="00000000" w:rsidRPr="008C74CB" w:rsidP="008C74CB">
            <w:pPr>
              <w:pStyle w:val="BodyText"/>
            </w:pPr>
            <w:r w:rsidRPr="008C74CB">
              <w:t>This unit applies to operational staff with a specific responsibility for incineration processes in water treatment plants.  Those undertaking this unit would work under appropriate supervision, while performing routine tasks, within familiar contexts.</w:t>
            </w:r>
          </w:p>
          <w:p w:rsidR="00000000" w:rsidRPr="008C74CB" w:rsidP="008C74CB">
            <w:pPr>
              <w:pStyle w:val="BodyText"/>
            </w:pPr>
            <w:r w:rsidRPr="008C74CB">
              <w:t>No licensing, legislative or certification requirements apply to this unit at the time of publication.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3" w:name="O_1063033"/>
      <w:bookmarkEnd w:id="3"/>
      <w:r w:rsidRPr="008C74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Not applicable.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4" w:name="O_1063034"/>
      <w:bookmarkEnd w:id="4"/>
      <w:r w:rsidRPr="008C74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Treatment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5" w:name="O_1063035"/>
      <w:bookmarkEnd w:id="5"/>
      <w:r w:rsidRPr="008C74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Not applicable.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6" w:name="O_1063036"/>
      <w:bookmarkEnd w:id="6"/>
      <w:r w:rsidRPr="008C74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PERFORMANCE CRITERIA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Performance criteria describe the performance needed to demonstrate achievement of the element.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Determine work requirements from job specifications and plans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Select and check equipment required to meet safety requirements of task and worksite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Select, fit and use required safety equipment, including personal protective equipment (PPE)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Monitor online instrumentation trends and combustion processes to maintain parameters of operation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Conduct routine inspections according to workplace procedures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Identify and report process faults to relevant</w:t>
            </w:r>
            <w:r w:rsidRPr="008C74CB">
              <w:t xml:space="preserve"> personnel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 xml:space="preserve">Collect process samples and conduct standard tests according to workplace procedures 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 xml:space="preserve">Interpret data and make process adjustments to maintain operational parameters 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Collect, interpret and record process data according to workplace procedures and process requirements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Identify data outside of normal operational parameters and report to relevant personnel for further action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7" w:name="O_1063037"/>
      <w:bookmarkEnd w:id="7"/>
      <w:r w:rsidRPr="008C74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Foundation skills essential to performance are explicit in the performance criteria of this unit of competency.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8" w:name="O_1063038"/>
      <w:bookmarkEnd w:id="8"/>
      <w:r w:rsidRPr="008C74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Range is restricted to essential operating conditions and any other va</w:t>
            </w:r>
            <w:r w:rsidRPr="008C74CB">
              <w:t>riables essential to the work environment.</w:t>
            </w:r>
          </w:p>
          <w:p w:rsidR="00000000" w:rsidRPr="008C74CB" w:rsidP="008C74CB">
            <w:pPr>
              <w:pStyle w:val="BodyText"/>
            </w:pPr>
            <w:r w:rsidRPr="008C74CB">
              <w:t>Non-essential conditions may be found in the Companion Volume Implementation Guide.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9" w:name="O_1063039"/>
      <w:bookmarkEnd w:id="9"/>
      <w:r w:rsidRPr="008C74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 xml:space="preserve">This unit replaces and is equivalent to NWPTRT094 Operate and control incineration </w:t>
            </w:r>
            <w:r w:rsidRPr="008C74CB">
              <w:t>processes.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10" w:name="O_1063046"/>
      <w:bookmarkEnd w:id="10"/>
      <w:r w:rsidRPr="008C74CB">
        <w:t>Links</w:t>
      </w:r>
    </w:p>
    <w:p w:rsidR="00000000" w:rsidRPr="008C74CB" w:rsidP="007F5B63">
      <w:pPr>
        <w:pStyle w:val="BodyText"/>
      </w:pPr>
      <w:r w:rsidRPr="008C7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22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74CB" w:rsidP="007F5B63">
      <w:pPr>
        <w:pStyle w:val="BodyText"/>
      </w:pPr>
      <w:r w:rsidRPr="008C7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22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74CB" w:rsidP="007F5B63">
      <w:pPr>
        <w:pStyle w:val="BodyText"/>
      </w:pPr>
      <w:r w:rsidRPr="008C7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22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74CB" w:rsidP="007F5B63">
      <w:pPr>
        <w:pStyle w:val="BodyText"/>
        <w:sectPr w:rsidSect="008C74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4CB" w:rsidP="008C74CB">
      <w:pPr>
        <w:pStyle w:val="SuperHeading"/>
      </w:pPr>
      <w:r w:rsidRPr="008C74CB">
        <w:t>Assessment Requirements for NWPTRT046 Operate and control incineration processes</w:t>
      </w:r>
    </w:p>
    <w:p w:rsidR="00000000" w:rsidRPr="008C74CB" w:rsidP="008C74CB">
      <w:pPr>
        <w:pStyle w:val="Heading1"/>
      </w:pPr>
      <w:bookmarkStart w:id="11" w:name="O_1063041"/>
      <w:bookmarkEnd w:id="11"/>
      <w:r w:rsidRPr="008C74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>Release 1. This is the first release of this unit of competency in the NWP National Water Training Package.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12" w:name="O_1063042"/>
      <w:bookmarkEnd w:id="12"/>
      <w:r w:rsidRPr="008C74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ListBullet"/>
            </w:pPr>
            <w:r w:rsidRPr="008C74CB">
              <w:t>identifying control system faults</w:t>
            </w:r>
          </w:p>
          <w:p w:rsidR="00000000" w:rsidRPr="008C74CB" w:rsidP="008C74CB">
            <w:pPr>
              <w:pStyle w:val="ListBullet"/>
            </w:pPr>
            <w:r w:rsidRPr="008C74CB">
              <w:t>making system adjustments</w:t>
            </w:r>
          </w:p>
          <w:p w:rsidR="00000000" w:rsidRPr="008C74CB" w:rsidP="008C74CB">
            <w:pPr>
              <w:pStyle w:val="ListBullet"/>
            </w:pPr>
            <w:r w:rsidRPr="008C74CB">
              <w:t xml:space="preserve">monitoring and operating equipment and systems for incineration operation </w:t>
            </w:r>
          </w:p>
          <w:p w:rsidR="00000000" w:rsidRPr="008C74CB" w:rsidP="008C74CB">
            <w:pPr>
              <w:pStyle w:val="ListBullet"/>
            </w:pPr>
            <w:r w:rsidRPr="008C74CB">
              <w:t xml:space="preserve">monitoring, recording and reporting incineration by-products </w:t>
            </w:r>
          </w:p>
          <w:p w:rsidR="00000000" w:rsidRPr="008C74CB" w:rsidP="008C74CB">
            <w:pPr>
              <w:pStyle w:val="ListBullet"/>
            </w:pPr>
            <w:r w:rsidRPr="008C74CB">
              <w:t>performing routine calculations when sampling and monitoring incineration performance</w:t>
            </w:r>
          </w:p>
          <w:p w:rsidR="00000000" w:rsidRPr="008C74CB" w:rsidP="008C74CB">
            <w:pPr>
              <w:pStyle w:val="ListBullet"/>
            </w:pPr>
            <w:r w:rsidRPr="008C74CB">
              <w:t>preparing and applying incineration processes according to workplace procedures</w:t>
            </w:r>
          </w:p>
          <w:p w:rsidR="00000000" w:rsidRPr="008C74CB" w:rsidP="008C74CB">
            <w:pPr>
              <w:pStyle w:val="ListBullet"/>
            </w:pPr>
            <w:r w:rsidRPr="008C74CB">
              <w:t>reporting data outside of specified parameters to relevant personnel</w:t>
            </w:r>
          </w:p>
          <w:p w:rsidR="00000000" w:rsidRPr="008C74CB" w:rsidP="008C74CB">
            <w:pPr>
              <w:pStyle w:val="ListBullet"/>
            </w:pPr>
            <w:r w:rsidRPr="008C74CB">
              <w:t>sampling and testing products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13" w:name="O_1063043"/>
      <w:bookmarkEnd w:id="13"/>
      <w:r w:rsidRPr="008C74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CB">
            <w:pPr>
              <w:pStyle w:val="BodyText"/>
              <w:rPr>
                <w:lang w:val="en-NZ"/>
              </w:rPr>
            </w:pPr>
            <w:r w:rsidRPr="008C74CB">
              <w:t>Evidence required to demonstrate comp</w:t>
            </w:r>
            <w:r w:rsidRPr="008C74CB">
              <w:t>etence in this unit must be relevant to and satisfy all the requirements of the elements and performance criteria and includes knowledge of:</w:t>
            </w:r>
          </w:p>
        </w:tc>
      </w:tr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ListBullet"/>
            </w:pPr>
            <w:r w:rsidRPr="008C74CB">
              <w:t>components of incineration systems</w:t>
            </w:r>
          </w:p>
          <w:p w:rsidR="00000000" w:rsidRPr="008C74CB" w:rsidP="008C74CB">
            <w:pPr>
              <w:pStyle w:val="ListBullet"/>
            </w:pPr>
            <w:r w:rsidRPr="008C74CB">
              <w:t>composition of incineration end-products including:</w:t>
            </w:r>
          </w:p>
          <w:p w:rsidR="00000000" w:rsidRPr="008C74CB" w:rsidP="008C74CB">
            <w:pPr>
              <w:pStyle w:val="ListBullet2"/>
            </w:pPr>
            <w:r w:rsidRPr="008C74CB">
              <w:t>ash</w:t>
            </w:r>
          </w:p>
          <w:p w:rsidR="00000000" w:rsidRPr="008C74CB" w:rsidP="008C74CB">
            <w:pPr>
              <w:pStyle w:val="ListBullet2"/>
            </w:pPr>
            <w:r w:rsidRPr="008C74CB">
              <w:t>cooling water by-products</w:t>
            </w:r>
          </w:p>
          <w:p w:rsidR="00000000" w:rsidRPr="008C74CB" w:rsidP="008C74CB">
            <w:pPr>
              <w:pStyle w:val="ListBullet2"/>
            </w:pPr>
            <w:r w:rsidRPr="008C74CB">
              <w:t>gaseous emissions</w:t>
            </w:r>
          </w:p>
          <w:p w:rsidR="00000000" w:rsidRPr="008C74CB" w:rsidP="008C74CB">
            <w:pPr>
              <w:pStyle w:val="ListBullet"/>
            </w:pPr>
            <w:r w:rsidRPr="008C74CB">
              <w:t>equipment operation, capacity and limitations</w:t>
            </w:r>
          </w:p>
          <w:p w:rsidR="00000000" w:rsidRPr="008C74CB" w:rsidP="008C74CB">
            <w:pPr>
              <w:pStyle w:val="ListBullet"/>
            </w:pPr>
            <w:r w:rsidRPr="008C74CB">
              <w:t>hazardous materials handling</w:t>
            </w:r>
          </w:p>
          <w:p w:rsidR="00000000" w:rsidRPr="008C74CB" w:rsidP="008C74CB">
            <w:pPr>
              <w:pStyle w:val="ListBullet"/>
            </w:pPr>
            <w:r w:rsidRPr="008C74CB">
              <w:t>lockout procedures for mechanical and electrical installations</w:t>
            </w:r>
          </w:p>
          <w:p w:rsidR="00000000" w:rsidRPr="008C74CB" w:rsidP="008C74CB">
            <w:pPr>
              <w:pStyle w:val="ListBullet"/>
            </w:pPr>
            <w:r w:rsidRPr="008C74CB">
              <w:t>mechanical and electrical control systems</w:t>
            </w:r>
          </w:p>
          <w:p w:rsidR="00000000" w:rsidRPr="008C74CB" w:rsidP="008C74CB">
            <w:pPr>
              <w:pStyle w:val="ListBullet"/>
            </w:pPr>
            <w:r w:rsidRPr="008C74CB">
              <w:t>incineration system layout</w:t>
            </w:r>
          </w:p>
          <w:p w:rsidR="00000000" w:rsidRPr="008C74CB" w:rsidP="008C74CB">
            <w:pPr>
              <w:pStyle w:val="ListBullet"/>
            </w:pPr>
            <w:r w:rsidRPr="008C74CB">
              <w:t>inci</w:t>
            </w:r>
            <w:r w:rsidRPr="008C74CB">
              <w:t>neration system processes</w:t>
            </w:r>
          </w:p>
          <w:p w:rsidR="00000000" w:rsidRPr="008C74CB" w:rsidP="008C74CB">
            <w:pPr>
              <w:pStyle w:val="ListBullet"/>
            </w:pPr>
            <w:r w:rsidRPr="008C74CB">
              <w:t>relevant legislation, regulations and workplace procedures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14" w:name="O_1063044"/>
      <w:bookmarkEnd w:id="14"/>
      <w:r w:rsidRPr="008C74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4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CB" w:rsidP="008C74CB">
            <w:pPr>
              <w:pStyle w:val="BodyText"/>
            </w:pPr>
            <w:r w:rsidRPr="008C74CB">
              <w:t xml:space="preserve">Assessors must hold credentials specified within the Standards for Registered Training Organisations current at the time of assessment. </w:t>
            </w:r>
          </w:p>
          <w:p w:rsidR="00000000" w:rsidRPr="008C74CB" w:rsidP="008C74CB">
            <w:pPr>
              <w:pStyle w:val="BodyText"/>
            </w:pPr>
            <w:r w:rsidRPr="008C74CB">
              <w:t>Assessment must satisfy the Principles of Assessment and Rules of Evidence and all regulatory requirements included wit</w:t>
            </w:r>
            <w:r w:rsidRPr="008C74CB">
              <w:t>hin the Standards for Registered Training Organisations current at the time of assessment.</w:t>
            </w:r>
          </w:p>
          <w:p w:rsidR="00000000" w:rsidRPr="008C74CB" w:rsidP="008C74CB">
            <w:pPr>
              <w:pStyle w:val="BodyText"/>
            </w:pPr>
            <w:r w:rsidRPr="008C74CB">
              <w:t>Assessment must occur in workplace operational situations where it is appropriate to do so; where this is not appropriate, assessment must occur in simulated workpla</w:t>
            </w:r>
            <w:r w:rsidRPr="008C74CB">
              <w:t>ce operational situations that replicate workplace conditions.</w:t>
            </w:r>
          </w:p>
          <w:p w:rsidR="00000000" w:rsidRPr="008C74CB" w:rsidP="008C74CB">
            <w:pPr>
              <w:pStyle w:val="BodyText"/>
            </w:pPr>
            <w:r w:rsidRPr="008C74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74CB" w:rsidP="008C74CB">
            <w:pPr>
              <w:pStyle w:val="BodyText"/>
            </w:pPr>
            <w:r w:rsidRPr="008C74CB">
              <w:t xml:space="preserve">Resources for assessment </w:t>
            </w:r>
            <w:r w:rsidRPr="008C74CB">
              <w:t>must include access to:</w:t>
            </w:r>
          </w:p>
          <w:p w:rsidR="00000000" w:rsidRPr="008C74CB" w:rsidP="008C74CB">
            <w:pPr>
              <w:pStyle w:val="ListBullet"/>
            </w:pPr>
            <w:r w:rsidRPr="008C74CB">
              <w:t>relevant and appropriate materials, tools, equipment and personal protective equipment currently used in industry</w:t>
            </w:r>
          </w:p>
          <w:p w:rsidR="00000000" w:rsidRPr="008C74CB" w:rsidP="008C74CB">
            <w:pPr>
              <w:pStyle w:val="ListBullet"/>
            </w:pPr>
            <w:r w:rsidRPr="008C74CB">
              <w:t>applicable documentation including legislation, regulations, codes of practice, workplace procedures and operation ma</w:t>
            </w:r>
            <w:r w:rsidRPr="008C74CB">
              <w:t>nuals.</w:t>
            </w:r>
          </w:p>
        </w:tc>
      </w:tr>
    </w:tbl>
    <w:p w:rsidR="00000000" w:rsidRPr="008C74CB" w:rsidP="008C74CB">
      <w:pPr>
        <w:pStyle w:val="NoPaddingFontSize1"/>
      </w:pPr>
    </w:p>
    <w:p w:rsidR="00000000" w:rsidRPr="008C74CB" w:rsidP="008C74CB">
      <w:pPr>
        <w:pStyle w:val="AllowPageBreak"/>
      </w:pPr>
    </w:p>
    <w:p w:rsidR="00000000" w:rsidRPr="008C74CB" w:rsidP="008C74CB">
      <w:pPr>
        <w:pStyle w:val="Heading1"/>
      </w:pPr>
      <w:bookmarkStart w:id="15" w:name="O_1063047"/>
      <w:bookmarkEnd w:id="15"/>
      <w:r w:rsidRPr="008C74CB">
        <w:t>Links</w:t>
      </w:r>
    </w:p>
    <w:p w:rsidR="00000000" w:rsidRPr="008C74CB" w:rsidP="007F5B63">
      <w:pPr>
        <w:pStyle w:val="BodyText"/>
      </w:pPr>
      <w:r w:rsidRPr="008C7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22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74CB" w:rsidP="007F5B63">
      <w:pPr>
        <w:pStyle w:val="BodyText"/>
      </w:pPr>
      <w:r w:rsidRPr="008C7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22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74CB" w:rsidP="007F5B63">
      <w:pPr>
        <w:pStyle w:val="BodyText"/>
      </w:pPr>
      <w:r w:rsidRPr="008C7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22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74CB" w:rsidP="008C74CB"/>
    <w:sectPr w:rsidSect="008C74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 w:rsidRPr="007F5B63" w:rsidP="007F5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63" w:rsidP="008C7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B63" w:rsidP="008C7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F5B63" w:rsidP="008C74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 w:rsidP="008C7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5B63">
      <w:t>Approved</w:t>
    </w:r>
    <w:r w:rsidR="007F5B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5B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5B63">
      <w:rPr>
        <w:noProof/>
      </w:rPr>
      <w:t>4</w:t>
    </w:r>
    <w:r>
      <w:rPr>
        <w:noProof/>
      </w:rPr>
      <w:fldChar w:fldCharType="end"/>
    </w:r>
  </w:p>
  <w:p w:rsidR="008C74CB" w:rsidP="008C7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5B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5B63">
      <w:t>BuildSkills Australia</w:t>
    </w:r>
    <w:r w:rsidR="007F5B63">
      <w:fldChar w:fldCharType="end"/>
    </w:r>
  </w:p>
  <w:p w:rsidR="008C74CB" w:rsidP="008C7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4CB" w:rsidRPr="007F5B63" w:rsidP="007F5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63" w:rsidRPr="002D2AF8" w:rsidP="008C7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NWPTRT046 Operate and control incineration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5B63" w:rsidP="008C74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CB" w:rsidRPr="002D2AF8" w:rsidP="008C7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5B63">
      <w:t>NWPTRT046 Operate and control incineration processes</w:t>
    </w:r>
    <w:r w:rsidR="007F5B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5B63">
      <w:rPr>
        <w:noProof/>
      </w:rPr>
      <w:t>2 March 2025</w:t>
    </w:r>
    <w:r>
      <w:fldChar w:fldCharType="end"/>
    </w:r>
  </w:p>
  <w:p w:rsidR="008C74CB" w:rsidP="008C7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65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C63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5C5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4CB"/>
  </w:style>
  <w:style w:type="character" w:customStyle="1" w:styleId="Heading1Char">
    <w:name w:val="Heading 1 Char"/>
    <w:basedOn w:val="DefaultParagraphFont"/>
    <w:link w:val="Heading1"/>
    <w:rsid w:val="008C7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4CB"/>
    <w:rPr>
      <w:b/>
      <w:spacing w:val="0"/>
    </w:rPr>
  </w:style>
  <w:style w:type="paragraph" w:styleId="ListBullet2">
    <w:name w:val="List Bullet 2"/>
    <w:basedOn w:val="List2"/>
    <w:rsid w:val="008C74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4CB"/>
    <w:rPr>
      <w:i/>
    </w:rPr>
  </w:style>
  <w:style w:type="paragraph" w:styleId="Caption">
    <w:name w:val="caption"/>
    <w:basedOn w:val="BodyText"/>
    <w:next w:val="Normal"/>
    <w:qFormat/>
    <w:rsid w:val="008C7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4CB"/>
  </w:style>
  <w:style w:type="paragraph" w:styleId="TableofFigures">
    <w:name w:val="table of figures"/>
    <w:basedOn w:val="Normal"/>
    <w:next w:val="Normal"/>
    <w:semiHidden/>
    <w:rsid w:val="008C7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4CB"/>
    <w:rPr>
      <w:rFonts w:ascii="Wingdings" w:hAnsi="Wingdings"/>
    </w:rPr>
  </w:style>
  <w:style w:type="paragraph" w:customStyle="1" w:styleId="TableHeading">
    <w:name w:val="Table Heading"/>
    <w:basedOn w:val="HeadingBase"/>
    <w:rsid w:val="008C7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4CB"/>
    <w:rPr>
      <w:color w:val="0033CC"/>
      <w:u w:val="none"/>
    </w:rPr>
  </w:style>
  <w:style w:type="paragraph" w:customStyle="1" w:styleId="BodyTextRight">
    <w:name w:val="Body Text Right"/>
    <w:basedOn w:val="BodyText"/>
    <w:rsid w:val="008C7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4CB"/>
    <w:rPr>
      <w:sz w:val="32"/>
    </w:rPr>
  </w:style>
  <w:style w:type="paragraph" w:customStyle="1" w:styleId="HeadingProcedure">
    <w:name w:val="Heading Procedure"/>
    <w:basedOn w:val="HeadingBase"/>
    <w:next w:val="Normal"/>
    <w:rsid w:val="008C7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4CB"/>
    <w:pPr>
      <w:spacing w:before="60" w:after="60"/>
    </w:pPr>
  </w:style>
  <w:style w:type="paragraph" w:styleId="ListContinue">
    <w:name w:val="List Continue"/>
    <w:basedOn w:val="List"/>
    <w:rsid w:val="008C74CB"/>
    <w:pPr>
      <w:ind w:firstLine="0"/>
    </w:pPr>
  </w:style>
  <w:style w:type="paragraph" w:customStyle="1" w:styleId="ListNote">
    <w:name w:val="List Note"/>
    <w:basedOn w:val="List"/>
    <w:rsid w:val="008C7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4CB"/>
    <w:rPr>
      <w:rFonts w:ascii="Courier New" w:hAnsi="Courier New"/>
    </w:rPr>
  </w:style>
  <w:style w:type="paragraph" w:customStyle="1" w:styleId="NoteBullet">
    <w:name w:val="Note Bullet"/>
    <w:basedOn w:val="Note"/>
    <w:rsid w:val="008C7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4CB"/>
    <w:rPr>
      <w:b/>
      <w:smallCaps/>
    </w:rPr>
  </w:style>
  <w:style w:type="paragraph" w:customStyle="1" w:styleId="TableListNumber">
    <w:name w:val="Table List Number"/>
    <w:basedOn w:val="ListNumber"/>
    <w:rsid w:val="008C7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4CB"/>
    <w:pPr>
      <w:numPr>
        <w:numId w:val="9"/>
      </w:numPr>
    </w:pPr>
  </w:style>
  <w:style w:type="paragraph" w:customStyle="1" w:styleId="ListAlpha2">
    <w:name w:val="List Alpha 2"/>
    <w:basedOn w:val="List2"/>
    <w:rsid w:val="008C74CB"/>
    <w:pPr>
      <w:numPr>
        <w:numId w:val="8"/>
      </w:numPr>
    </w:pPr>
  </w:style>
  <w:style w:type="paragraph" w:styleId="List2">
    <w:name w:val="List 2"/>
    <w:basedOn w:val="BodyText"/>
    <w:rsid w:val="008C7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4CB"/>
    <w:pPr>
      <w:numPr>
        <w:numId w:val="4"/>
      </w:numPr>
    </w:pPr>
  </w:style>
  <w:style w:type="paragraph" w:styleId="ListContinue2">
    <w:name w:val="List Continue 2"/>
    <w:basedOn w:val="List2"/>
    <w:rsid w:val="008C74CB"/>
    <w:pPr>
      <w:ind w:firstLine="0"/>
    </w:pPr>
  </w:style>
  <w:style w:type="paragraph" w:styleId="ListContinue3">
    <w:name w:val="List Continue 3"/>
    <w:basedOn w:val="List3"/>
    <w:rsid w:val="008C74CB"/>
    <w:pPr>
      <w:ind w:left="1021" w:firstLine="0"/>
    </w:pPr>
  </w:style>
  <w:style w:type="paragraph" w:styleId="ListContinue4">
    <w:name w:val="List Continue 4"/>
    <w:basedOn w:val="List4"/>
    <w:rsid w:val="008C74CB"/>
    <w:pPr>
      <w:ind w:firstLine="0"/>
    </w:pPr>
  </w:style>
  <w:style w:type="paragraph" w:styleId="ListContinue5">
    <w:name w:val="List Continue 5"/>
    <w:basedOn w:val="List5"/>
    <w:rsid w:val="008C74CB"/>
    <w:pPr>
      <w:ind w:firstLine="0"/>
    </w:pPr>
  </w:style>
  <w:style w:type="paragraph" w:styleId="ListNumber3">
    <w:name w:val="List Number 3"/>
    <w:basedOn w:val="List3"/>
    <w:rsid w:val="008C74CB"/>
    <w:pPr>
      <w:numPr>
        <w:numId w:val="5"/>
      </w:numPr>
    </w:pPr>
  </w:style>
  <w:style w:type="paragraph" w:styleId="ListNumber4">
    <w:name w:val="List Number 4"/>
    <w:basedOn w:val="List4"/>
    <w:rsid w:val="008C74CB"/>
    <w:pPr>
      <w:numPr>
        <w:numId w:val="6"/>
      </w:numPr>
    </w:pPr>
  </w:style>
  <w:style w:type="paragraph" w:styleId="ListNumber5">
    <w:name w:val="List Number 5"/>
    <w:basedOn w:val="List5"/>
    <w:rsid w:val="008C74CB"/>
    <w:pPr>
      <w:numPr>
        <w:numId w:val="7"/>
      </w:numPr>
    </w:pPr>
  </w:style>
  <w:style w:type="paragraph" w:styleId="BlockText">
    <w:name w:val="Block Text"/>
    <w:basedOn w:val="Normal"/>
    <w:rsid w:val="008C7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4CB"/>
    <w:rPr>
      <w:sz w:val="16"/>
      <w:vertAlign w:val="superscript"/>
    </w:rPr>
  </w:style>
  <w:style w:type="character" w:customStyle="1" w:styleId="Symbols">
    <w:name w:val="Symbols"/>
    <w:basedOn w:val="DefaultParagraphFont"/>
    <w:rsid w:val="008C74CB"/>
    <w:rPr>
      <w:rFonts w:ascii="Symbol" w:hAnsi="Symbol"/>
    </w:rPr>
  </w:style>
  <w:style w:type="character" w:customStyle="1" w:styleId="MenuOptions">
    <w:name w:val="Menu Options"/>
    <w:basedOn w:val="DefaultParagraphFont"/>
    <w:rsid w:val="008C7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4CB"/>
    <w:rPr>
      <w:b/>
    </w:rPr>
  </w:style>
  <w:style w:type="character" w:customStyle="1" w:styleId="Underlined">
    <w:name w:val="Underlined"/>
    <w:basedOn w:val="DefaultParagraphFont"/>
    <w:rsid w:val="008C74CB"/>
    <w:rPr>
      <w:u w:val="single"/>
    </w:rPr>
  </w:style>
  <w:style w:type="paragraph" w:customStyle="1" w:styleId="TableBodyTextRight">
    <w:name w:val="Table Body Text Right"/>
    <w:basedOn w:val="TableBodyText"/>
    <w:rsid w:val="008C7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4CB"/>
    <w:rPr>
      <w:sz w:val="18"/>
    </w:rPr>
  </w:style>
  <w:style w:type="paragraph" w:customStyle="1" w:styleId="BodySmallRight">
    <w:name w:val="Body Small Right"/>
    <w:basedOn w:val="BodyTextRight"/>
    <w:rsid w:val="008C74CB"/>
    <w:rPr>
      <w:sz w:val="18"/>
      <w:szCs w:val="18"/>
    </w:rPr>
  </w:style>
  <w:style w:type="paragraph" w:customStyle="1" w:styleId="MarginEdition">
    <w:name w:val="Margin Edition"/>
    <w:basedOn w:val="MarginNote"/>
    <w:rsid w:val="008C7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4CB"/>
    <w:rPr>
      <w:sz w:val="2"/>
      <w:szCs w:val="2"/>
    </w:rPr>
  </w:style>
  <w:style w:type="character" w:customStyle="1" w:styleId="Small">
    <w:name w:val="Small"/>
    <w:basedOn w:val="DefaultParagraphFont"/>
    <w:rsid w:val="008C74CB"/>
    <w:rPr>
      <w:sz w:val="16"/>
    </w:rPr>
  </w:style>
  <w:style w:type="paragraph" w:customStyle="1" w:styleId="WideTable">
    <w:name w:val="Wide Table"/>
    <w:basedOn w:val="Normal"/>
    <w:rsid w:val="008C7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4CB"/>
  </w:style>
  <w:style w:type="paragraph" w:styleId="Quote">
    <w:name w:val="Quote"/>
    <w:basedOn w:val="Heading1"/>
    <w:link w:val="QuoteChar"/>
    <w:qFormat/>
    <w:rsid w:val="008C7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4CB"/>
    <w:pPr>
      <w:pageBreakBefore/>
    </w:pPr>
  </w:style>
  <w:style w:type="paragraph" w:customStyle="1" w:styleId="Border">
    <w:name w:val="Border"/>
    <w:basedOn w:val="Normal"/>
    <w:qFormat/>
    <w:rsid w:val="008C7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4CB"/>
    <w:rPr>
      <w:u w:val="single"/>
    </w:rPr>
  </w:style>
  <w:style w:type="character" w:customStyle="1" w:styleId="BoldandItalics">
    <w:name w:val="Bold and Italics"/>
    <w:qFormat/>
    <w:rsid w:val="008C74CB"/>
    <w:rPr>
      <w:b/>
      <w:i/>
      <w:u w:val="none"/>
    </w:rPr>
  </w:style>
  <w:style w:type="paragraph" w:styleId="BalloonText">
    <w:name w:val="Balloon Text"/>
    <w:basedOn w:val="Normal"/>
    <w:link w:val="BalloonTextChar"/>
    <w:rsid w:val="008C7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4CB"/>
    <w:pPr>
      <w:spacing w:before="0" w:after="0"/>
    </w:pPr>
  </w:style>
  <w:style w:type="paragraph" w:customStyle="1" w:styleId="BodyTextBold">
    <w:name w:val="Body Text Bold"/>
    <w:basedOn w:val="BodyText"/>
    <w:qFormat/>
    <w:rsid w:val="008C74CB"/>
    <w:rPr>
      <w:b/>
    </w:rPr>
  </w:style>
  <w:style w:type="character" w:styleId="Hyperlink">
    <w:name w:val="Hyperlink"/>
    <w:basedOn w:val="DefaultParagraphFont"/>
    <w:uiPriority w:val="99"/>
    <w:unhideWhenUsed/>
    <w:rsid w:val="007F5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6012</Characters>
  <Application>Microsoft Office Word</Application>
  <DocSecurity>0</DocSecurity>
  <Lines>200</Lines>
  <Paragraphs>122</Paragraphs>
  <ScaleCrop>false</ScaleCrop>
  <Company>Author-it Software Corporation Ltd.</Company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NWPTRT046 Operate and control incineration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