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9F0" w:rsidP="00A14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NWPTRT044 Operate and control desalination processes</w:t>
      </w:r>
      <w:r>
        <w:fldChar w:fldCharType="end"/>
      </w:r>
    </w:p>
    <w:p w:rsidR="00A149F0" w:rsidP="00A149F0">
      <w:pPr>
        <w:pStyle w:val="Version"/>
        <w:sectPr w:rsidSect="00174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2BA" w:rsidP="001742BA">
      <w:pPr>
        <w:pStyle w:val="SuperHeading"/>
      </w:pPr>
      <w:r w:rsidRPr="001742BA">
        <w:t>Assessment Requirements for NWPTRT044 Operate and control desalination processes</w:t>
      </w:r>
    </w:p>
    <w:p w:rsidR="00000000" w:rsidRPr="001742BA" w:rsidP="001742BA">
      <w:pPr>
        <w:pStyle w:val="Heading1"/>
      </w:pPr>
      <w:bookmarkStart w:id="1" w:name="O_772659"/>
      <w:bookmarkEnd w:id="1"/>
      <w:r w:rsidRPr="001742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1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BA">
            <w:pPr>
              <w:pStyle w:val="TableHeading"/>
              <w:rPr>
                <w:lang w:val="en-NZ"/>
              </w:rPr>
            </w:pPr>
            <w:r w:rsidRPr="001742B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BA">
            <w:pPr>
              <w:pStyle w:val="TableHeading"/>
              <w:rPr>
                <w:lang w:val="en-NZ"/>
              </w:rPr>
            </w:pPr>
            <w:r w:rsidRPr="001742BA">
              <w:t>Comments</w:t>
            </w:r>
          </w:p>
        </w:tc>
      </w:tr>
      <w:tr w:rsidTr="00A1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2BA">
            <w:pPr>
              <w:pStyle w:val="BodyText"/>
              <w:rPr>
                <w:lang w:val="en-NZ"/>
              </w:rPr>
            </w:pPr>
            <w:r w:rsidRPr="001742B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2BA" w:rsidP="001742BA">
            <w:pPr>
              <w:pStyle w:val="BodyText"/>
            </w:pPr>
            <w:r w:rsidRPr="001742BA">
              <w:t>These Assessment Requirements were released in NWP Water Training Package release 1.0 and meet the St</w:t>
            </w:r>
            <w:r w:rsidRPr="001742BA">
              <w:t xml:space="preserve">andards for Training Packages. </w:t>
            </w:r>
          </w:p>
        </w:tc>
      </w:tr>
    </w:tbl>
    <w:p w:rsidR="00A149F0" w:rsidP="001742BA">
      <w:pPr>
        <w:pStyle w:val="BodyText"/>
      </w:pPr>
    </w:p>
    <w:p w:rsidR="00A149F0" w:rsidP="001742BA">
      <w:pPr>
        <w:pStyle w:val="BodyText"/>
      </w:pPr>
    </w:p>
    <w:p w:rsidR="00000000" w:rsidRPr="001742BA" w:rsidP="001742BA">
      <w:pPr>
        <w:pStyle w:val="Heading1"/>
      </w:pPr>
      <w:bookmarkStart w:id="2" w:name="O_772660"/>
      <w:bookmarkEnd w:id="2"/>
      <w:r w:rsidRPr="001742BA">
        <w:t>Performance Evidence</w:t>
      </w:r>
    </w:p>
    <w:p w:rsidR="00000000" w:rsidRPr="001742BA" w:rsidP="00A149F0">
      <w:pPr>
        <w:pStyle w:val="BodyText"/>
      </w:pPr>
      <w:r w:rsidRPr="001742BA">
        <w:t>Evidence required to demonstrate competence must satisfy all of the requirements of the elements and performance criteria.  The candidate must be assessed in at least one of the desal</w:t>
      </w:r>
      <w:r w:rsidRPr="001742BA">
        <w:t>ination processes listed in the Range of conditions. If not otherwise specified the candidate must demonstrate evidence of performance of the following on at least one occasion.</w:t>
      </w:r>
    </w:p>
    <w:p w:rsidR="00000000" w:rsidRPr="001742BA" w:rsidP="001742BA">
      <w:pPr>
        <w:pStyle w:val="ListBullet"/>
      </w:pPr>
      <w:r w:rsidRPr="001742BA">
        <w:t xml:space="preserve">determining chemical dosing requirements </w:t>
      </w:r>
    </w:p>
    <w:p w:rsidR="00000000" w:rsidRPr="001742BA" w:rsidP="001742BA">
      <w:pPr>
        <w:pStyle w:val="ListBullet"/>
      </w:pPr>
      <w:r w:rsidRPr="001742BA">
        <w:t>operating control equipment</w:t>
      </w:r>
    </w:p>
    <w:p w:rsidR="00000000" w:rsidRPr="001742BA" w:rsidP="001742BA">
      <w:pPr>
        <w:pStyle w:val="ListBullet"/>
      </w:pPr>
      <w:r w:rsidRPr="001742BA">
        <w:t xml:space="preserve">solving operational problems </w:t>
      </w:r>
    </w:p>
    <w:p w:rsidR="00000000" w:rsidRPr="001742BA" w:rsidP="001742BA">
      <w:pPr>
        <w:pStyle w:val="ListBullet"/>
      </w:pPr>
      <w:r w:rsidRPr="001742BA">
        <w:t xml:space="preserve">completing reports and logs </w:t>
      </w:r>
    </w:p>
    <w:p w:rsidR="00000000" w:rsidRPr="001742BA" w:rsidP="001742BA">
      <w:pPr>
        <w:pStyle w:val="ListBullet"/>
      </w:pPr>
      <w:r w:rsidRPr="001742BA">
        <w:t xml:space="preserve">using safety and personal protective equipment </w:t>
      </w:r>
    </w:p>
    <w:p w:rsidR="00000000" w:rsidRPr="001742BA" w:rsidP="001742BA">
      <w:pPr>
        <w:pStyle w:val="ListBullet"/>
      </w:pPr>
      <w:r w:rsidRPr="001742BA">
        <w:t xml:space="preserve">operating computerised equipment </w:t>
      </w:r>
    </w:p>
    <w:p w:rsidR="00000000" w:rsidRPr="001742BA" w:rsidP="001742BA">
      <w:pPr>
        <w:pStyle w:val="ListBullet"/>
      </w:pPr>
      <w:r w:rsidRPr="001742BA">
        <w:t xml:space="preserve">performing system calculations </w:t>
      </w:r>
    </w:p>
    <w:p w:rsidR="00000000" w:rsidRPr="001742BA" w:rsidP="001742BA">
      <w:pPr>
        <w:pStyle w:val="ListBullet"/>
      </w:pPr>
      <w:r w:rsidRPr="001742BA">
        <w:t xml:space="preserve">monitoring test results and processes </w:t>
      </w:r>
    </w:p>
    <w:p w:rsidR="00000000" w:rsidRPr="001742BA" w:rsidP="001742BA">
      <w:pPr>
        <w:pStyle w:val="ListBullet"/>
      </w:pPr>
      <w:r w:rsidRPr="001742BA">
        <w:t xml:space="preserve">identifying and reporting faults </w:t>
      </w:r>
    </w:p>
    <w:p w:rsidR="00000000" w:rsidRPr="001742BA" w:rsidP="001742BA">
      <w:pPr>
        <w:pStyle w:val="ListBullet"/>
      </w:pPr>
      <w:r w:rsidRPr="001742BA">
        <w:t>conducting</w:t>
      </w:r>
      <w:r w:rsidRPr="001742BA">
        <w:t xml:space="preserve"> routine plant inspections</w:t>
      </w:r>
    </w:p>
    <w:p w:rsidR="00000000" w:rsidRPr="001742BA" w:rsidP="001742BA">
      <w:pPr>
        <w:pStyle w:val="ListBullet"/>
      </w:pPr>
      <w:r w:rsidRPr="001742BA">
        <w:t xml:space="preserve">taking samples and performing basic tests </w:t>
      </w:r>
    </w:p>
    <w:p w:rsidR="00000000" w:rsidRPr="001742BA" w:rsidP="001742BA">
      <w:pPr>
        <w:pStyle w:val="ListBullet"/>
      </w:pPr>
      <w:r w:rsidRPr="001742BA">
        <w:t>making basic process adjustments according to instructions including the pre-treatment processes:</w:t>
      </w:r>
    </w:p>
    <w:p w:rsidR="00000000" w:rsidRPr="001742BA" w:rsidP="001742BA">
      <w:pPr>
        <w:pStyle w:val="ListBullet2"/>
      </w:pPr>
      <w:r w:rsidRPr="001742BA">
        <w:t>chemical cleaning</w:t>
      </w:r>
    </w:p>
    <w:p w:rsidR="00000000" w:rsidRPr="001742BA" w:rsidP="001742BA">
      <w:pPr>
        <w:pStyle w:val="ListBullet2"/>
      </w:pPr>
      <w:r w:rsidRPr="001742BA">
        <w:t>pre-treatment optimisation</w:t>
      </w:r>
    </w:p>
    <w:p w:rsidR="00000000" w:rsidRPr="001742BA" w:rsidP="001742BA">
      <w:pPr>
        <w:pStyle w:val="ListBullet2"/>
      </w:pPr>
      <w:r w:rsidRPr="001742BA">
        <w:t>flow control</w:t>
      </w:r>
    </w:p>
    <w:p w:rsidR="00000000" w:rsidRPr="001742BA" w:rsidP="001742BA">
      <w:pPr>
        <w:pStyle w:val="ListBullet2"/>
      </w:pPr>
      <w:r w:rsidRPr="001742BA">
        <w:t>waste disposal</w:t>
      </w:r>
    </w:p>
    <w:p w:rsidR="00000000" w:rsidRPr="001742BA" w:rsidP="001742BA">
      <w:pPr>
        <w:pStyle w:val="ListBullet"/>
      </w:pPr>
      <w:r w:rsidRPr="001742BA">
        <w:t xml:space="preserve">collecting data and completing required documentation </w:t>
      </w:r>
    </w:p>
    <w:p w:rsidR="00000000" w:rsidRPr="001742BA" w:rsidP="001742BA">
      <w:pPr>
        <w:pStyle w:val="AllowPageBreak"/>
      </w:pPr>
    </w:p>
    <w:p w:rsidR="00000000" w:rsidRPr="001742BA" w:rsidP="001742BA">
      <w:pPr>
        <w:pStyle w:val="Heading1"/>
      </w:pPr>
      <w:bookmarkStart w:id="3" w:name="O_772661"/>
      <w:bookmarkEnd w:id="3"/>
      <w:r w:rsidRPr="001742BA">
        <w:t>Knowledge Evidence</w:t>
      </w:r>
    </w:p>
    <w:p w:rsidR="00000000" w:rsidRPr="001742BA" w:rsidP="00A149F0">
      <w:pPr>
        <w:pStyle w:val="BodyText"/>
      </w:pPr>
      <w:r w:rsidRPr="001742BA">
        <w:t>Evidence required to demonstrate competence must satisfy all of the requirements of the elements and performance criteria. If not otherwise specified the depth of kn</w:t>
      </w:r>
      <w:r w:rsidRPr="001742BA">
        <w:t>owledge demonstrated must be appropriate to the job context of the candidate.</w:t>
      </w:r>
    </w:p>
    <w:p w:rsidR="00000000" w:rsidRPr="001742BA" w:rsidP="001742BA">
      <w:pPr>
        <w:pStyle w:val="ListBullet"/>
      </w:pPr>
      <w:r w:rsidRPr="001742BA">
        <w:t>system layout</w:t>
      </w:r>
    </w:p>
    <w:p w:rsidR="00000000" w:rsidRPr="001742BA" w:rsidP="001742BA">
      <w:pPr>
        <w:pStyle w:val="ListBullet"/>
      </w:pPr>
      <w:r w:rsidRPr="001742BA">
        <w:t xml:space="preserve">system processes </w:t>
      </w:r>
    </w:p>
    <w:p w:rsidR="00000000" w:rsidRPr="001742BA" w:rsidP="001742BA">
      <w:pPr>
        <w:pStyle w:val="ListBullet"/>
      </w:pPr>
      <w:r w:rsidRPr="001742BA">
        <w:t xml:space="preserve">lockout procedures for mechanical and electrical installations </w:t>
      </w:r>
    </w:p>
    <w:p w:rsidR="00000000" w:rsidRPr="001742BA" w:rsidP="001742BA">
      <w:pPr>
        <w:pStyle w:val="ListBullet"/>
      </w:pPr>
      <w:r w:rsidRPr="001742BA">
        <w:t xml:space="preserve">communication systems </w:t>
      </w:r>
    </w:p>
    <w:p w:rsidR="00000000" w:rsidRPr="001742BA" w:rsidP="001742BA">
      <w:pPr>
        <w:pStyle w:val="ListBullet"/>
      </w:pPr>
      <w:r w:rsidRPr="001742BA">
        <w:t>pre-treatment processes</w:t>
      </w:r>
    </w:p>
    <w:p w:rsidR="00000000" w:rsidRPr="001742BA" w:rsidP="001742BA">
      <w:pPr>
        <w:pStyle w:val="ListBullet"/>
      </w:pPr>
      <w:r w:rsidRPr="001742BA">
        <w:t>hazardous materials handling</w:t>
      </w:r>
    </w:p>
    <w:p w:rsidR="00000000" w:rsidRPr="001742BA" w:rsidP="001742BA">
      <w:pPr>
        <w:pStyle w:val="ListBullet"/>
      </w:pPr>
      <w:r w:rsidRPr="001742BA">
        <w:t>inter</w:t>
      </w:r>
      <w:r w:rsidRPr="001742BA">
        <w:t xml:space="preserve">pretation of material safety data sheets </w:t>
      </w:r>
    </w:p>
    <w:p w:rsidR="00000000" w:rsidRPr="001742BA" w:rsidP="001742BA">
      <w:pPr>
        <w:pStyle w:val="ListBullet"/>
      </w:pPr>
      <w:r w:rsidRPr="001742BA">
        <w:t xml:space="preserve">principles that form the basis of reverse osmosis and nanofiltration processes </w:t>
      </w:r>
    </w:p>
    <w:p w:rsidR="00000000" w:rsidRPr="001742BA" w:rsidP="001742BA">
      <w:pPr>
        <w:pStyle w:val="ListBullet"/>
      </w:pPr>
      <w:r w:rsidRPr="001742BA">
        <w:t xml:space="preserve">risk factors and potential hazards </w:t>
      </w:r>
    </w:p>
    <w:p w:rsidR="00000000" w:rsidRPr="001742BA" w:rsidP="001742BA">
      <w:pPr>
        <w:pStyle w:val="ListBullet"/>
      </w:pPr>
      <w:r w:rsidRPr="001742BA">
        <w:t xml:space="preserve">equipment operation, capacity and limitations </w:t>
      </w:r>
    </w:p>
    <w:p w:rsidR="00000000" w:rsidRPr="001742BA" w:rsidP="001742BA">
      <w:pPr>
        <w:pStyle w:val="ListBullet"/>
      </w:pPr>
      <w:r w:rsidRPr="001742BA">
        <w:t xml:space="preserve">pipes and fittings </w:t>
      </w:r>
    </w:p>
    <w:p w:rsidR="00000000" w:rsidRPr="001742BA" w:rsidP="001742BA">
      <w:pPr>
        <w:pStyle w:val="ListBullet"/>
      </w:pPr>
      <w:r w:rsidRPr="001742BA">
        <w:t xml:space="preserve">pumping and valving systems </w:t>
      </w:r>
    </w:p>
    <w:p w:rsidR="00000000" w:rsidRPr="001742BA" w:rsidP="001742BA">
      <w:pPr>
        <w:pStyle w:val="ListBullet"/>
      </w:pPr>
      <w:r w:rsidRPr="001742BA">
        <w:t>mechanical and electrical control systems</w:t>
      </w:r>
    </w:p>
    <w:p w:rsidR="00000000" w:rsidRPr="001742BA" w:rsidP="001742BA">
      <w:pPr>
        <w:pStyle w:val="AllowPageBreak"/>
      </w:pPr>
    </w:p>
    <w:p w:rsidR="00000000" w:rsidRPr="001742BA" w:rsidP="001742BA">
      <w:pPr>
        <w:pStyle w:val="Heading1"/>
      </w:pPr>
      <w:bookmarkStart w:id="4" w:name="O_772662"/>
      <w:bookmarkEnd w:id="4"/>
      <w:r w:rsidRPr="001742BA">
        <w:t>Assessment Conditions</w:t>
      </w:r>
    </w:p>
    <w:p w:rsidR="00A149F0" w:rsidP="00A149F0">
      <w:pPr>
        <w:pStyle w:val="BodyText"/>
      </w:pPr>
      <w:r w:rsidRPr="001742BA">
        <w:t>Competency should be assessed in an actual workplace or in a simulated environment, with access to equipment and infrastructure appropriate to the outcome. Competency should b</w:t>
      </w:r>
      <w:r w:rsidRPr="001742BA">
        <w:t>e demonstrated over time to ensure the candidate is assessed across a variety of situations.</w:t>
      </w:r>
    </w:p>
    <w:p w:rsidR="00000000" w:rsidRPr="001742BA" w:rsidP="00A149F0">
      <w:pPr>
        <w:pStyle w:val="BodyText"/>
      </w:pPr>
      <w:r w:rsidRPr="001742BA">
        <w:t>Assessors must satisfy the NVR/AQTF mandatory competency requirements for assessors.</w:t>
      </w:r>
    </w:p>
    <w:p w:rsidR="00000000" w:rsidRPr="001742BA" w:rsidP="001742BA">
      <w:pPr>
        <w:pStyle w:val="Heading1"/>
      </w:pPr>
      <w:bookmarkStart w:id="5" w:name="O_772665"/>
      <w:bookmarkEnd w:id="5"/>
      <w:r w:rsidRPr="001742BA">
        <w:t>Links</w:t>
      </w:r>
    </w:p>
    <w:p w:rsidR="00000000" w:rsidRPr="001742BA" w:rsidP="00A149F0">
      <w:pPr>
        <w:pStyle w:val="BodyText"/>
      </w:pPr>
      <w:r w:rsidRPr="001742BA">
        <w:t>Companion Volume implementation guides are found in V</w:t>
      </w:r>
      <w:r w:rsidRPr="001742BA">
        <w:t xml:space="preserve">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39244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742BA" w:rsidP="00A149F0">
      <w:pPr>
        <w:pStyle w:val="BodyText"/>
      </w:pPr>
      <w:r w:rsidRPr="001742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39244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742BA" w:rsidP="00A149F0">
      <w:pPr>
        <w:pStyle w:val="BodyText"/>
      </w:pPr>
      <w:r w:rsidRPr="001742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39244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742BA" w:rsidP="00A149F0">
      <w:pPr>
        <w:pStyle w:val="BodyText"/>
      </w:pPr>
      <w:r w:rsidRPr="001742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392440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1742BA" w:rsidP="001742BA"/>
    <w:sectPr w:rsidSect="001742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BA" w:rsidRPr="00A149F0" w:rsidP="00A14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9F0" w:rsidP="00174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49F0" w:rsidP="00174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49F0" w:rsidP="00174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2BA" w:rsidRPr="00A149F0" w:rsidP="00A14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9F0" w:rsidRPr="002D2AF8" w:rsidP="00174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NWPTRT044 Operate and control desalination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A149F0" w:rsidP="00174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C82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3CC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E42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2BA"/>
  </w:style>
  <w:style w:type="character" w:customStyle="1" w:styleId="Heading1Char">
    <w:name w:val="Heading 1 Char"/>
    <w:basedOn w:val="DefaultParagraphFont"/>
    <w:link w:val="Heading1"/>
    <w:rsid w:val="00174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2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42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4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42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4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42BA"/>
    <w:rPr>
      <w:b/>
      <w:spacing w:val="0"/>
    </w:rPr>
  </w:style>
  <w:style w:type="paragraph" w:customStyle="1" w:styleId="SuperTitle">
    <w:name w:val="SuperTitle"/>
    <w:basedOn w:val="Title"/>
    <w:rsid w:val="00174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2BA"/>
    <w:rPr>
      <w:i/>
    </w:rPr>
  </w:style>
  <w:style w:type="paragraph" w:styleId="Caption">
    <w:name w:val="caption"/>
    <w:basedOn w:val="BodyText"/>
    <w:next w:val="Normal"/>
    <w:qFormat/>
    <w:rsid w:val="00174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2BA"/>
  </w:style>
  <w:style w:type="paragraph" w:styleId="TableofFigures">
    <w:name w:val="table of figures"/>
    <w:basedOn w:val="Normal"/>
    <w:next w:val="Normal"/>
    <w:semiHidden/>
    <w:rsid w:val="00174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2BA"/>
    <w:pPr>
      <w:numPr>
        <w:numId w:val="11"/>
      </w:numPr>
    </w:pPr>
  </w:style>
  <w:style w:type="character" w:customStyle="1" w:styleId="WingdingSymbols">
    <w:name w:val="Wingding Symbols"/>
    <w:rsid w:val="001742BA"/>
    <w:rPr>
      <w:rFonts w:ascii="Wingdings" w:hAnsi="Wingdings"/>
    </w:rPr>
  </w:style>
  <w:style w:type="character" w:customStyle="1" w:styleId="HotSpot">
    <w:name w:val="HotSpot"/>
    <w:rsid w:val="001742BA"/>
    <w:rPr>
      <w:color w:val="0033CC"/>
      <w:u w:val="none"/>
    </w:rPr>
  </w:style>
  <w:style w:type="paragraph" w:customStyle="1" w:styleId="BodyTextRight">
    <w:name w:val="Body Text Right"/>
    <w:basedOn w:val="BodyText"/>
    <w:rsid w:val="00174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2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2BA"/>
    <w:rPr>
      <w:sz w:val="32"/>
    </w:rPr>
  </w:style>
  <w:style w:type="paragraph" w:customStyle="1" w:styleId="HeadingProcedure">
    <w:name w:val="Heading Procedure"/>
    <w:basedOn w:val="HeadingBase"/>
    <w:next w:val="Normal"/>
    <w:rsid w:val="00174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2BA"/>
    <w:pPr>
      <w:spacing w:before="60" w:after="60"/>
    </w:pPr>
  </w:style>
  <w:style w:type="paragraph" w:styleId="ListContinue">
    <w:name w:val="List Continue"/>
    <w:basedOn w:val="List"/>
    <w:rsid w:val="001742BA"/>
    <w:pPr>
      <w:ind w:firstLine="0"/>
    </w:pPr>
  </w:style>
  <w:style w:type="paragraph" w:customStyle="1" w:styleId="ListNote">
    <w:name w:val="List Note"/>
    <w:basedOn w:val="List"/>
    <w:rsid w:val="00174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2BA"/>
    <w:rPr>
      <w:rFonts w:ascii="Courier New" w:hAnsi="Courier New"/>
    </w:rPr>
  </w:style>
  <w:style w:type="paragraph" w:customStyle="1" w:styleId="NoteBullet">
    <w:name w:val="Note Bullet"/>
    <w:basedOn w:val="Note"/>
    <w:rsid w:val="00174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2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4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2BA"/>
    <w:rPr>
      <w:b/>
      <w:smallCaps/>
    </w:rPr>
  </w:style>
  <w:style w:type="paragraph" w:customStyle="1" w:styleId="TableListNumber">
    <w:name w:val="Table List Number"/>
    <w:basedOn w:val="ListNumber"/>
    <w:rsid w:val="00174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2BA"/>
    <w:pPr>
      <w:numPr>
        <w:numId w:val="9"/>
      </w:numPr>
    </w:pPr>
  </w:style>
  <w:style w:type="paragraph" w:customStyle="1" w:styleId="ListAlpha2">
    <w:name w:val="List Alpha 2"/>
    <w:basedOn w:val="List2"/>
    <w:rsid w:val="001742BA"/>
    <w:pPr>
      <w:numPr>
        <w:numId w:val="8"/>
      </w:numPr>
    </w:pPr>
  </w:style>
  <w:style w:type="paragraph" w:styleId="List2">
    <w:name w:val="List 2"/>
    <w:basedOn w:val="BodyText"/>
    <w:rsid w:val="00174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2B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2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42BA"/>
    <w:pPr>
      <w:numPr>
        <w:numId w:val="4"/>
      </w:numPr>
    </w:pPr>
  </w:style>
  <w:style w:type="paragraph" w:styleId="ListContinue2">
    <w:name w:val="List Continue 2"/>
    <w:basedOn w:val="List2"/>
    <w:rsid w:val="001742BA"/>
    <w:pPr>
      <w:ind w:firstLine="0"/>
    </w:pPr>
  </w:style>
  <w:style w:type="paragraph" w:styleId="ListContinue3">
    <w:name w:val="List Continue 3"/>
    <w:basedOn w:val="List3"/>
    <w:rsid w:val="001742BA"/>
    <w:pPr>
      <w:ind w:left="1021" w:firstLine="0"/>
    </w:pPr>
  </w:style>
  <w:style w:type="paragraph" w:styleId="ListContinue4">
    <w:name w:val="List Continue 4"/>
    <w:basedOn w:val="List4"/>
    <w:rsid w:val="001742BA"/>
    <w:pPr>
      <w:ind w:firstLine="0"/>
    </w:pPr>
  </w:style>
  <w:style w:type="paragraph" w:styleId="ListContinue5">
    <w:name w:val="List Continue 5"/>
    <w:basedOn w:val="List5"/>
    <w:rsid w:val="001742BA"/>
    <w:pPr>
      <w:ind w:firstLine="0"/>
    </w:pPr>
  </w:style>
  <w:style w:type="paragraph" w:styleId="ListNumber3">
    <w:name w:val="List Number 3"/>
    <w:basedOn w:val="List3"/>
    <w:rsid w:val="001742BA"/>
    <w:pPr>
      <w:numPr>
        <w:numId w:val="5"/>
      </w:numPr>
    </w:pPr>
  </w:style>
  <w:style w:type="paragraph" w:styleId="ListNumber4">
    <w:name w:val="List Number 4"/>
    <w:basedOn w:val="List4"/>
    <w:rsid w:val="001742BA"/>
    <w:pPr>
      <w:numPr>
        <w:numId w:val="6"/>
      </w:numPr>
    </w:pPr>
  </w:style>
  <w:style w:type="paragraph" w:styleId="ListNumber5">
    <w:name w:val="List Number 5"/>
    <w:basedOn w:val="List5"/>
    <w:rsid w:val="001742BA"/>
    <w:pPr>
      <w:numPr>
        <w:numId w:val="7"/>
      </w:numPr>
    </w:pPr>
  </w:style>
  <w:style w:type="paragraph" w:styleId="BlockText">
    <w:name w:val="Block Text"/>
    <w:basedOn w:val="Normal"/>
    <w:rsid w:val="00174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2BA"/>
    <w:rPr>
      <w:sz w:val="16"/>
      <w:vertAlign w:val="superscript"/>
    </w:rPr>
  </w:style>
  <w:style w:type="character" w:customStyle="1" w:styleId="Symbols">
    <w:name w:val="Symbols"/>
    <w:basedOn w:val="DefaultParagraphFont"/>
    <w:rsid w:val="001742BA"/>
    <w:rPr>
      <w:rFonts w:ascii="Symbol" w:hAnsi="Symbol"/>
    </w:rPr>
  </w:style>
  <w:style w:type="character" w:customStyle="1" w:styleId="MenuOptions">
    <w:name w:val="Menu Options"/>
    <w:basedOn w:val="DefaultParagraphFont"/>
    <w:rsid w:val="00174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2BA"/>
    <w:rPr>
      <w:b/>
    </w:rPr>
  </w:style>
  <w:style w:type="character" w:customStyle="1" w:styleId="Underlined">
    <w:name w:val="Underlined"/>
    <w:basedOn w:val="DefaultParagraphFont"/>
    <w:rsid w:val="001742BA"/>
    <w:rPr>
      <w:u w:val="single"/>
    </w:rPr>
  </w:style>
  <w:style w:type="paragraph" w:customStyle="1" w:styleId="TableBodyTextRight">
    <w:name w:val="Table Body Text Right"/>
    <w:basedOn w:val="TableBodyText"/>
    <w:rsid w:val="00174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2BA"/>
    <w:rPr>
      <w:sz w:val="18"/>
    </w:rPr>
  </w:style>
  <w:style w:type="paragraph" w:customStyle="1" w:styleId="BodySmallRight">
    <w:name w:val="Body Small Right"/>
    <w:basedOn w:val="BodyTextRight"/>
    <w:rsid w:val="001742BA"/>
    <w:rPr>
      <w:sz w:val="18"/>
      <w:szCs w:val="18"/>
    </w:rPr>
  </w:style>
  <w:style w:type="paragraph" w:customStyle="1" w:styleId="MarginEdition">
    <w:name w:val="Margin Edition"/>
    <w:basedOn w:val="MarginNote"/>
    <w:rsid w:val="00174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2BA"/>
    <w:rPr>
      <w:sz w:val="2"/>
      <w:szCs w:val="2"/>
    </w:rPr>
  </w:style>
  <w:style w:type="character" w:customStyle="1" w:styleId="Small">
    <w:name w:val="Small"/>
    <w:basedOn w:val="DefaultParagraphFont"/>
    <w:rsid w:val="001742BA"/>
    <w:rPr>
      <w:sz w:val="16"/>
    </w:rPr>
  </w:style>
  <w:style w:type="paragraph" w:customStyle="1" w:styleId="WideTable">
    <w:name w:val="Wide Table"/>
    <w:basedOn w:val="Normal"/>
    <w:rsid w:val="00174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2BA"/>
  </w:style>
  <w:style w:type="paragraph" w:styleId="Quote">
    <w:name w:val="Quote"/>
    <w:basedOn w:val="Heading1"/>
    <w:link w:val="QuoteChar"/>
    <w:qFormat/>
    <w:rsid w:val="00174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2BA"/>
    <w:pPr>
      <w:pageBreakBefore/>
    </w:pPr>
  </w:style>
  <w:style w:type="paragraph" w:customStyle="1" w:styleId="Border">
    <w:name w:val="Border"/>
    <w:basedOn w:val="Normal"/>
    <w:qFormat/>
    <w:rsid w:val="00174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2BA"/>
    <w:rPr>
      <w:u w:val="single"/>
    </w:rPr>
  </w:style>
  <w:style w:type="character" w:customStyle="1" w:styleId="BoldandItalics">
    <w:name w:val="Bold and Italics"/>
    <w:qFormat/>
    <w:rsid w:val="001742BA"/>
    <w:rPr>
      <w:b/>
      <w:i/>
      <w:u w:val="none"/>
    </w:rPr>
  </w:style>
  <w:style w:type="paragraph" w:styleId="BalloonText">
    <w:name w:val="Balloon Text"/>
    <w:basedOn w:val="Normal"/>
    <w:link w:val="BalloonTextChar"/>
    <w:rsid w:val="00174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2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4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3192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NWPTRT044 Operate and control desalination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2018-12-21T02:29:00Z</dcterms:created>
  <dcterms:modified xsi:type="dcterms:W3CDTF">2018-12-21T02:29:00Z</dcterms:modified>
</cp:coreProperties>
</file>