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421" w:rsidP="004C24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NWPTRT021 Operate and control desalination processes</w:t>
      </w:r>
      <w:r>
        <w:fldChar w:fldCharType="end"/>
      </w:r>
    </w:p>
    <w:p w:rsidR="004C2421" w:rsidP="004C2421">
      <w:pPr>
        <w:pStyle w:val="Version"/>
        <w:sectPr w:rsidSect="00CA2D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2DAD" w:rsidP="00CA2DAD">
      <w:pPr>
        <w:pStyle w:val="SuperHeading"/>
      </w:pPr>
      <w:r w:rsidRPr="00CA2DAD">
        <w:t>NWPTRT021 Operate and control desalination processes</w:t>
      </w:r>
    </w:p>
    <w:p w:rsidR="00000000" w:rsidRPr="00CA2DAD" w:rsidP="00CA2DAD">
      <w:pPr>
        <w:pStyle w:val="Heading1"/>
      </w:pPr>
      <w:bookmarkStart w:id="1" w:name="O_1123009"/>
      <w:bookmarkEnd w:id="1"/>
      <w:r w:rsidRPr="00CA2D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 w:rsidP="00CA2DAD">
            <w:pPr>
              <w:pStyle w:val="BodyText"/>
            </w:pPr>
            <w:r w:rsidRPr="00CA2DAD">
              <w:t>Release 2. Added 1 item to Knowledge Evidence.</w:t>
            </w:r>
          </w:p>
          <w:p w:rsidR="00000000" w:rsidRPr="00CA2DAD" w:rsidP="00CA2DAD">
            <w:pPr>
              <w:pStyle w:val="BodyText"/>
            </w:pPr>
            <w:r w:rsidRPr="00CA2DAD">
              <w:t>Release 1. This is the first release of this unit of competency in the NWP National Water Training Package.</w:t>
            </w:r>
          </w:p>
          <w:p w:rsidR="00000000" w:rsidRPr="00CA2DAD" w:rsidP="00CA2DAD">
            <w:pPr>
              <w:pStyle w:val="BodyText"/>
            </w:pPr>
          </w:p>
        </w:tc>
      </w:tr>
    </w:tbl>
    <w:p w:rsidR="00000000" w:rsidRPr="00CA2DAD" w:rsidP="00CA2DAD">
      <w:pPr>
        <w:pStyle w:val="NoPaddingFontSize1"/>
      </w:pPr>
    </w:p>
    <w:p w:rsidR="00000000" w:rsidRPr="00CA2DAD" w:rsidP="00CA2DAD">
      <w:pPr>
        <w:pStyle w:val="AllowPageBreak"/>
      </w:pPr>
    </w:p>
    <w:p w:rsidR="00000000" w:rsidRPr="00CA2DAD" w:rsidP="00CA2DAD">
      <w:pPr>
        <w:pStyle w:val="Heading1"/>
      </w:pPr>
      <w:bookmarkStart w:id="2" w:name="O_1123008"/>
      <w:bookmarkEnd w:id="2"/>
      <w:r w:rsidRPr="00CA2DA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 w:rsidP="00CA2DAD">
            <w:pPr>
              <w:pStyle w:val="BodyText"/>
            </w:pPr>
            <w:r w:rsidRPr="00CA2DAD">
              <w:t>This unit involves the skill</w:t>
            </w:r>
            <w:r w:rsidRPr="00CA2DAD">
              <w:t>s and knowledge required to operate and control desalination processes.</w:t>
            </w:r>
          </w:p>
          <w:p w:rsidR="00000000" w:rsidRPr="00CA2DAD" w:rsidP="00CA2DAD">
            <w:pPr>
              <w:pStyle w:val="BodyText"/>
            </w:pPr>
            <w:r w:rsidRPr="00CA2DAD">
              <w:t>It includes monitoring a desalination plant and measuring and reporting on system performance and processing quality control.  It also includes identifying faults, determining and appl</w:t>
            </w:r>
            <w:r w:rsidRPr="00CA2DAD">
              <w:t>ying technical adjustments.</w:t>
            </w:r>
          </w:p>
          <w:p w:rsidR="00000000" w:rsidRPr="00CA2DAD" w:rsidP="00CA2DAD">
            <w:pPr>
              <w:pStyle w:val="BodyText"/>
            </w:pPr>
            <w:r w:rsidRPr="00CA2DAD">
              <w:t xml:space="preserve">This unit applies to operational staff with a specific responsibility for desalination processes in treatment plants.  Those undertaking this unit would work under appropriate supervision, while performing routine tasks, within </w:t>
            </w:r>
            <w:r w:rsidRPr="00CA2DAD">
              <w:t>a familiar context.</w:t>
            </w:r>
          </w:p>
          <w:p w:rsidR="00000000" w:rsidRPr="00CA2DAD" w:rsidP="00CA2DAD">
            <w:pPr>
              <w:pStyle w:val="BodyText"/>
            </w:pPr>
            <w:r w:rsidRPr="00CA2DAD">
              <w:t>No licensing, legislative or certification requirements apply to this unit at the time of publication.</w:t>
            </w:r>
          </w:p>
        </w:tc>
      </w:tr>
    </w:tbl>
    <w:p w:rsidR="00000000" w:rsidRPr="00CA2DAD" w:rsidP="00CA2DAD">
      <w:pPr>
        <w:pStyle w:val="NoPaddingFontSize1"/>
      </w:pPr>
    </w:p>
    <w:p w:rsidR="00000000" w:rsidRPr="00CA2DAD" w:rsidP="00CA2DAD">
      <w:pPr>
        <w:pStyle w:val="AllowPageBreak"/>
      </w:pPr>
    </w:p>
    <w:p w:rsidR="00000000" w:rsidRPr="00CA2DAD" w:rsidP="00CA2DAD">
      <w:pPr>
        <w:pStyle w:val="Heading1"/>
      </w:pPr>
      <w:bookmarkStart w:id="3" w:name="O_1123007"/>
      <w:bookmarkEnd w:id="3"/>
      <w:r w:rsidRPr="00CA2DA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 w:rsidP="00CA2DAD">
            <w:pPr>
              <w:pStyle w:val="BodyText"/>
            </w:pPr>
            <w:r w:rsidRPr="00CA2DAD">
              <w:t>Not applicable.</w:t>
            </w:r>
          </w:p>
        </w:tc>
      </w:tr>
    </w:tbl>
    <w:p w:rsidR="00000000" w:rsidRPr="00CA2DAD" w:rsidP="00CA2DAD">
      <w:pPr>
        <w:pStyle w:val="NoPaddingFontSize1"/>
      </w:pPr>
    </w:p>
    <w:p w:rsidR="00000000" w:rsidRPr="00CA2DAD" w:rsidP="00CA2DAD">
      <w:pPr>
        <w:pStyle w:val="AllowPageBreak"/>
      </w:pPr>
    </w:p>
    <w:p w:rsidR="00000000" w:rsidRPr="00CA2DAD" w:rsidP="00CA2DAD">
      <w:pPr>
        <w:pStyle w:val="Heading1"/>
      </w:pPr>
      <w:bookmarkStart w:id="4" w:name="O_1123006"/>
      <w:bookmarkEnd w:id="4"/>
      <w:r w:rsidRPr="00CA2DA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 w:rsidP="00CA2DAD">
            <w:pPr>
              <w:pStyle w:val="BodyText"/>
            </w:pPr>
            <w:r w:rsidRPr="00CA2DAD">
              <w:t>Treatment</w:t>
            </w:r>
          </w:p>
        </w:tc>
      </w:tr>
    </w:tbl>
    <w:p w:rsidR="00000000" w:rsidRPr="00CA2DAD" w:rsidP="00CA2DAD">
      <w:pPr>
        <w:pStyle w:val="NoPaddingFontSize1"/>
      </w:pPr>
    </w:p>
    <w:p w:rsidR="00000000" w:rsidRPr="00CA2DAD" w:rsidP="00CA2DAD">
      <w:pPr>
        <w:pStyle w:val="AllowPageBreak"/>
      </w:pPr>
    </w:p>
    <w:p w:rsidR="00000000" w:rsidRPr="00CA2DAD" w:rsidP="00CA2DAD">
      <w:pPr>
        <w:pStyle w:val="Heading1"/>
      </w:pPr>
      <w:bookmarkStart w:id="5" w:name="O_1123005"/>
      <w:bookmarkEnd w:id="5"/>
      <w:r w:rsidRPr="00CA2DA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 w:rsidP="00CA2DAD">
            <w:pPr>
              <w:pStyle w:val="BodyText"/>
            </w:pPr>
            <w:r w:rsidRPr="00CA2DAD">
              <w:t>Not applicable.</w:t>
            </w:r>
          </w:p>
        </w:tc>
      </w:tr>
    </w:tbl>
    <w:p w:rsidR="00000000" w:rsidRPr="00CA2DAD" w:rsidP="00CA2DAD">
      <w:pPr>
        <w:pStyle w:val="NoPaddingFontSize1"/>
      </w:pPr>
    </w:p>
    <w:p w:rsidR="00000000" w:rsidRPr="00CA2DAD" w:rsidP="00CA2DAD">
      <w:pPr>
        <w:pStyle w:val="AllowPageBreak"/>
      </w:pPr>
    </w:p>
    <w:p w:rsidR="00000000" w:rsidRPr="00CA2DAD" w:rsidP="00CA2DAD">
      <w:pPr>
        <w:pStyle w:val="Heading1"/>
      </w:pPr>
      <w:bookmarkStart w:id="6" w:name="O_1123004"/>
      <w:bookmarkEnd w:id="6"/>
      <w:r w:rsidRPr="00CA2DA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 w:rsidP="00CA2DAD">
            <w:pPr>
              <w:pStyle w:val="BodyText"/>
            </w:pPr>
            <w:r w:rsidRPr="00CA2DA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rPr>
                <w:rStyle w:val="SpecialBold"/>
              </w:rPr>
              <w:t>PERFORMANCE CRITERIA</w:t>
            </w:r>
          </w:p>
        </w:tc>
      </w:tr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t>Performance criteria describe the performance needed to demonstrate achievement of the element.</w:t>
            </w:r>
          </w:p>
        </w:tc>
      </w:tr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 w:rsidP="00CA2DAD">
            <w:pPr>
              <w:pStyle w:val="BodyText"/>
            </w:pPr>
            <w:r w:rsidRPr="00CA2DA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 w:rsidP="00CA2DAD">
            <w:pPr>
              <w:pStyle w:val="BodyText"/>
            </w:pPr>
            <w:r w:rsidRPr="00CA2DAD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t>Determine work requirements from job specifications and plans</w:t>
            </w:r>
          </w:p>
        </w:tc>
      </w:tr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t>Select and check equipment required to meet safety requirements of task and worksite</w:t>
            </w:r>
          </w:p>
        </w:tc>
      </w:tr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t>Select, fit and use required safety equipment, including personal protective equipment (PPE)</w:t>
            </w:r>
          </w:p>
        </w:tc>
      </w:tr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 w:rsidP="00CA2DAD">
            <w:pPr>
              <w:pStyle w:val="BodyText"/>
            </w:pPr>
            <w:r w:rsidRPr="00CA2DA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 w:rsidP="00CA2DAD">
            <w:pPr>
              <w:pStyle w:val="BodyText"/>
            </w:pPr>
            <w:r w:rsidRPr="00CA2DAD">
              <w:rPr>
                <w:rStyle w:val="SpecialBold"/>
              </w:rPr>
              <w:t>Operate and control desalination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t>Conduct routine inspections according to workplace procedures</w:t>
            </w:r>
          </w:p>
        </w:tc>
      </w:tr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t>Identify and report process faults according</w:t>
            </w:r>
            <w:r w:rsidRPr="00CA2DAD">
              <w:t xml:space="preserve"> to workplace procedures</w:t>
            </w:r>
          </w:p>
        </w:tc>
      </w:tr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t>Collect process samples and conduct standard tests according to workplace procedures</w:t>
            </w:r>
          </w:p>
        </w:tc>
      </w:tr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t>Interpret data and make process adjustments and conduct pre-treatment to maintain operational parameters</w:t>
            </w:r>
          </w:p>
        </w:tc>
      </w:tr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 w:rsidP="00CA2DAD">
            <w:pPr>
              <w:pStyle w:val="BodyText"/>
            </w:pPr>
            <w:r w:rsidRPr="00CA2DA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 w:rsidP="00CA2DAD">
            <w:pPr>
              <w:pStyle w:val="BodyText"/>
            </w:pPr>
            <w:r w:rsidRPr="00CA2DAD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t>Collect, interpret and record process data according to workplace and process requirements</w:t>
            </w:r>
          </w:p>
        </w:tc>
      </w:tr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AD">
            <w:pPr>
              <w:pStyle w:val="BodyText"/>
              <w:rPr>
                <w:lang w:val="en-NZ"/>
              </w:rPr>
            </w:pPr>
            <w:r w:rsidRPr="00CA2DA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 w:rsidP="00CA2DAD">
            <w:pPr>
              <w:pStyle w:val="BodyText"/>
            </w:pPr>
            <w:r w:rsidRPr="00CA2DAD">
              <w:t>Identify data outside of normal operational parameters to relevant personnel for further action</w:t>
            </w:r>
          </w:p>
        </w:tc>
      </w:tr>
    </w:tbl>
    <w:p w:rsidR="00000000" w:rsidRPr="00CA2DAD" w:rsidP="00CA2DAD">
      <w:pPr>
        <w:pStyle w:val="NoPaddingFontSize1"/>
      </w:pPr>
    </w:p>
    <w:p w:rsidR="00000000" w:rsidRPr="00CA2DAD" w:rsidP="00CA2DAD">
      <w:pPr>
        <w:pStyle w:val="AllowPageBreak"/>
      </w:pPr>
    </w:p>
    <w:p w:rsidR="00000000" w:rsidRPr="00CA2DAD" w:rsidP="00CA2DAD">
      <w:pPr>
        <w:pStyle w:val="Heading1"/>
      </w:pPr>
      <w:bookmarkStart w:id="7" w:name="O_1123003"/>
      <w:bookmarkEnd w:id="7"/>
      <w:r w:rsidRPr="00CA2DA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 w:rsidP="00CA2DAD">
            <w:pPr>
              <w:pStyle w:val="BodyText"/>
            </w:pPr>
            <w:r w:rsidRPr="00CA2DAD">
              <w:t>Foundation skills essential to performance are explicit in the performance criteria of this unit of competency.</w:t>
            </w:r>
          </w:p>
        </w:tc>
      </w:tr>
    </w:tbl>
    <w:p w:rsidR="00000000" w:rsidRPr="00CA2DAD" w:rsidP="00CA2DAD">
      <w:pPr>
        <w:pStyle w:val="NoPaddingFontSize1"/>
      </w:pPr>
    </w:p>
    <w:p w:rsidR="00000000" w:rsidRPr="00CA2DAD" w:rsidP="00CA2DAD">
      <w:pPr>
        <w:pStyle w:val="AllowPageBreak"/>
      </w:pPr>
    </w:p>
    <w:p w:rsidR="00000000" w:rsidRPr="00CA2DAD" w:rsidP="00CA2DAD">
      <w:pPr>
        <w:pStyle w:val="Heading1"/>
      </w:pPr>
      <w:bookmarkStart w:id="8" w:name="O_1123002"/>
      <w:bookmarkEnd w:id="8"/>
      <w:r w:rsidRPr="00CA2DA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 w:rsidP="00CA2DAD">
            <w:pPr>
              <w:pStyle w:val="BodyText"/>
            </w:pPr>
            <w:r w:rsidRPr="00CA2DAD">
              <w:t>Range is restricted to essential operating conditions and any other variables essential to the work environment.</w:t>
            </w:r>
          </w:p>
          <w:p w:rsidR="00000000" w:rsidRPr="00CA2DAD" w:rsidP="00CA2DAD">
            <w:pPr>
              <w:pStyle w:val="BodyText"/>
            </w:pPr>
            <w:r w:rsidRPr="00CA2DAD">
              <w:t>Non-essential conditions may be found in the Companion Volume Implementation Guide.</w:t>
            </w:r>
          </w:p>
        </w:tc>
      </w:tr>
    </w:tbl>
    <w:p w:rsidR="00000000" w:rsidRPr="00CA2DAD" w:rsidP="00CA2DAD">
      <w:pPr>
        <w:pStyle w:val="NoPaddingFontSize1"/>
      </w:pPr>
    </w:p>
    <w:p w:rsidR="00000000" w:rsidRPr="00CA2DAD" w:rsidP="00CA2DAD">
      <w:pPr>
        <w:pStyle w:val="AllowPageBreak"/>
      </w:pPr>
    </w:p>
    <w:p w:rsidR="00000000" w:rsidRPr="00CA2DAD" w:rsidP="00CA2DAD">
      <w:pPr>
        <w:pStyle w:val="Heading1"/>
      </w:pPr>
      <w:bookmarkStart w:id="9" w:name="O_1123001"/>
      <w:bookmarkEnd w:id="9"/>
      <w:r w:rsidRPr="00CA2DA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AD" w:rsidP="00CA2DAD">
            <w:pPr>
              <w:pStyle w:val="BodyText"/>
            </w:pPr>
            <w:r w:rsidRPr="00CA2DAD">
              <w:t>This unit rep</w:t>
            </w:r>
            <w:r w:rsidRPr="00CA2DAD">
              <w:t>laces and is equivalent to NWPTRT044 Operate and control desalination processes.</w:t>
            </w:r>
          </w:p>
        </w:tc>
      </w:tr>
    </w:tbl>
    <w:p w:rsidR="004C2421" w:rsidP="00CA2DAD">
      <w:pPr>
        <w:pStyle w:val="NoPaddingFontSize1"/>
      </w:pPr>
    </w:p>
    <w:p w:rsidR="004C2421" w:rsidP="00CA2DAD">
      <w:pPr>
        <w:pStyle w:val="NoPaddingFontSize1"/>
      </w:pPr>
    </w:p>
    <w:p w:rsidR="00000000" w:rsidRPr="00CA2DAD" w:rsidP="00CA2DAD">
      <w:pPr>
        <w:pStyle w:val="Heading1"/>
      </w:pPr>
      <w:bookmarkStart w:id="10" w:name="O_1123010"/>
      <w:bookmarkEnd w:id="10"/>
      <w:r w:rsidRPr="00CA2DAD">
        <w:t>Links</w:t>
      </w:r>
    </w:p>
    <w:p w:rsidR="00000000" w:rsidRPr="00CA2DAD" w:rsidP="004C2421">
      <w:pPr>
        <w:pStyle w:val="BodyText"/>
      </w:pPr>
      <w:r w:rsidRPr="00CA2D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F565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A2DAD" w:rsidP="00CA2DAD"/>
    <w:sectPr w:rsidSect="00CA2D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AD" w:rsidRPr="004C2421" w:rsidP="004C24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421" w:rsidP="00CA2D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2421" w:rsidP="00CA2D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2421" w:rsidP="00CA2D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4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DAD" w:rsidRPr="004C2421" w:rsidP="004C24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421" w:rsidRPr="002D2AF8" w:rsidP="00CA2D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NWPTRT021 Operate and control desalination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4C2421" w:rsidP="00CA2D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D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D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D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D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D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D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D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D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D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D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D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DAD"/>
  </w:style>
  <w:style w:type="character" w:customStyle="1" w:styleId="Heading1Char">
    <w:name w:val="Heading 1 Char"/>
    <w:basedOn w:val="DefaultParagraphFont"/>
    <w:link w:val="Heading1"/>
    <w:rsid w:val="00CA2D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D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DA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2DAD"/>
    <w:rPr>
      <w:b/>
      <w:spacing w:val="0"/>
    </w:rPr>
  </w:style>
  <w:style w:type="paragraph" w:customStyle="1" w:styleId="SuperHeading">
    <w:name w:val="SuperHeading"/>
    <w:basedOn w:val="Normal"/>
    <w:rsid w:val="00CA2D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D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2D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D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D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D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D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D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D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D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D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D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D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D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D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D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D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2D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2D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2D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D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D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2D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2D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D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D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D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D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D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D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D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D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2DAD"/>
    <w:rPr>
      <w:i/>
    </w:rPr>
  </w:style>
  <w:style w:type="paragraph" w:styleId="Caption">
    <w:name w:val="caption"/>
    <w:basedOn w:val="BodyText"/>
    <w:next w:val="Normal"/>
    <w:qFormat/>
    <w:rsid w:val="00CA2D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D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D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DAD"/>
  </w:style>
  <w:style w:type="paragraph" w:styleId="TableofFigures">
    <w:name w:val="table of figures"/>
    <w:basedOn w:val="Normal"/>
    <w:next w:val="Normal"/>
    <w:semiHidden/>
    <w:rsid w:val="00CA2D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D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2DAD"/>
    <w:rPr>
      <w:rFonts w:ascii="Wingdings" w:hAnsi="Wingdings"/>
    </w:rPr>
  </w:style>
  <w:style w:type="paragraph" w:customStyle="1" w:styleId="TableHeading">
    <w:name w:val="Table Heading"/>
    <w:basedOn w:val="HeadingBase"/>
    <w:rsid w:val="00CA2D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DAD"/>
    <w:rPr>
      <w:color w:val="0033CC"/>
      <w:u w:val="none"/>
    </w:rPr>
  </w:style>
  <w:style w:type="paragraph" w:customStyle="1" w:styleId="BodyTextRight">
    <w:name w:val="Body Text Right"/>
    <w:basedOn w:val="BodyText"/>
    <w:rsid w:val="00CA2D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D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D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D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D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D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DAD"/>
    <w:rPr>
      <w:sz w:val="32"/>
    </w:rPr>
  </w:style>
  <w:style w:type="paragraph" w:customStyle="1" w:styleId="HeadingProcedure">
    <w:name w:val="Heading Procedure"/>
    <w:basedOn w:val="HeadingBase"/>
    <w:next w:val="Normal"/>
    <w:rsid w:val="00CA2D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DAD"/>
    <w:pPr>
      <w:spacing w:before="60" w:after="60"/>
    </w:pPr>
  </w:style>
  <w:style w:type="paragraph" w:styleId="ListContinue">
    <w:name w:val="List Continue"/>
    <w:basedOn w:val="List"/>
    <w:rsid w:val="00CA2DAD"/>
    <w:pPr>
      <w:ind w:firstLine="0"/>
    </w:pPr>
  </w:style>
  <w:style w:type="paragraph" w:customStyle="1" w:styleId="ListNote">
    <w:name w:val="List Note"/>
    <w:basedOn w:val="List"/>
    <w:rsid w:val="00CA2D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D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D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DAD"/>
    <w:rPr>
      <w:rFonts w:ascii="Courier New" w:hAnsi="Courier New"/>
    </w:rPr>
  </w:style>
  <w:style w:type="paragraph" w:customStyle="1" w:styleId="NoteBullet">
    <w:name w:val="Note Bullet"/>
    <w:basedOn w:val="Note"/>
    <w:rsid w:val="00CA2D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D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D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D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D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2D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D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DAD"/>
    <w:rPr>
      <w:b/>
      <w:smallCaps/>
    </w:rPr>
  </w:style>
  <w:style w:type="paragraph" w:customStyle="1" w:styleId="TableListNumber">
    <w:name w:val="Table List Number"/>
    <w:basedOn w:val="ListNumber"/>
    <w:rsid w:val="00CA2D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D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DAD"/>
    <w:pPr>
      <w:numPr>
        <w:numId w:val="7"/>
      </w:numPr>
    </w:pPr>
  </w:style>
  <w:style w:type="paragraph" w:customStyle="1" w:styleId="ListAlpha2">
    <w:name w:val="List Alpha 2"/>
    <w:basedOn w:val="List2"/>
    <w:rsid w:val="00CA2DAD"/>
    <w:pPr>
      <w:numPr>
        <w:numId w:val="6"/>
      </w:numPr>
    </w:pPr>
  </w:style>
  <w:style w:type="paragraph" w:styleId="List2">
    <w:name w:val="List 2"/>
    <w:basedOn w:val="BodyText"/>
    <w:rsid w:val="00CA2D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D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D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D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D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D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2DAD"/>
    <w:pPr>
      <w:numPr>
        <w:numId w:val="2"/>
      </w:numPr>
    </w:pPr>
  </w:style>
  <w:style w:type="paragraph" w:styleId="ListContinue2">
    <w:name w:val="List Continue 2"/>
    <w:basedOn w:val="List2"/>
    <w:rsid w:val="00CA2DAD"/>
    <w:pPr>
      <w:ind w:firstLine="0"/>
    </w:pPr>
  </w:style>
  <w:style w:type="paragraph" w:styleId="ListContinue3">
    <w:name w:val="List Continue 3"/>
    <w:basedOn w:val="List3"/>
    <w:rsid w:val="00CA2DAD"/>
    <w:pPr>
      <w:ind w:left="1021" w:firstLine="0"/>
    </w:pPr>
  </w:style>
  <w:style w:type="paragraph" w:styleId="ListContinue4">
    <w:name w:val="List Continue 4"/>
    <w:basedOn w:val="List4"/>
    <w:rsid w:val="00CA2DAD"/>
    <w:pPr>
      <w:ind w:firstLine="0"/>
    </w:pPr>
  </w:style>
  <w:style w:type="paragraph" w:styleId="ListContinue5">
    <w:name w:val="List Continue 5"/>
    <w:basedOn w:val="List5"/>
    <w:rsid w:val="00CA2DAD"/>
    <w:pPr>
      <w:ind w:firstLine="0"/>
    </w:pPr>
  </w:style>
  <w:style w:type="paragraph" w:styleId="ListNumber3">
    <w:name w:val="List Number 3"/>
    <w:basedOn w:val="List3"/>
    <w:rsid w:val="00CA2DAD"/>
    <w:pPr>
      <w:numPr>
        <w:numId w:val="3"/>
      </w:numPr>
    </w:pPr>
  </w:style>
  <w:style w:type="paragraph" w:styleId="ListNumber4">
    <w:name w:val="List Number 4"/>
    <w:basedOn w:val="List4"/>
    <w:rsid w:val="00CA2DAD"/>
    <w:pPr>
      <w:numPr>
        <w:numId w:val="4"/>
      </w:numPr>
    </w:pPr>
  </w:style>
  <w:style w:type="paragraph" w:styleId="ListNumber5">
    <w:name w:val="List Number 5"/>
    <w:basedOn w:val="List5"/>
    <w:rsid w:val="00CA2DAD"/>
    <w:pPr>
      <w:numPr>
        <w:numId w:val="5"/>
      </w:numPr>
    </w:pPr>
  </w:style>
  <w:style w:type="paragraph" w:styleId="BlockText">
    <w:name w:val="Block Text"/>
    <w:basedOn w:val="Normal"/>
    <w:rsid w:val="00CA2D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D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DAD"/>
    <w:rPr>
      <w:sz w:val="16"/>
      <w:vertAlign w:val="superscript"/>
    </w:rPr>
  </w:style>
  <w:style w:type="character" w:customStyle="1" w:styleId="Symbols">
    <w:name w:val="Symbols"/>
    <w:basedOn w:val="DefaultParagraphFont"/>
    <w:rsid w:val="00CA2DAD"/>
    <w:rPr>
      <w:rFonts w:ascii="Symbol" w:hAnsi="Symbol"/>
    </w:rPr>
  </w:style>
  <w:style w:type="character" w:customStyle="1" w:styleId="MenuOptions">
    <w:name w:val="Menu Options"/>
    <w:basedOn w:val="DefaultParagraphFont"/>
    <w:rsid w:val="00CA2D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DAD"/>
    <w:rPr>
      <w:b/>
    </w:rPr>
  </w:style>
  <w:style w:type="character" w:customStyle="1" w:styleId="Underlined">
    <w:name w:val="Underlined"/>
    <w:basedOn w:val="DefaultParagraphFont"/>
    <w:rsid w:val="00CA2DAD"/>
    <w:rPr>
      <w:u w:val="single"/>
    </w:rPr>
  </w:style>
  <w:style w:type="paragraph" w:customStyle="1" w:styleId="TableBodyTextRight">
    <w:name w:val="Table Body Text Right"/>
    <w:basedOn w:val="TableBodyText"/>
    <w:rsid w:val="00CA2D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DAD"/>
    <w:rPr>
      <w:sz w:val="18"/>
    </w:rPr>
  </w:style>
  <w:style w:type="paragraph" w:customStyle="1" w:styleId="BodySmallRight">
    <w:name w:val="Body Small Right"/>
    <w:basedOn w:val="BodyTextRight"/>
    <w:rsid w:val="00CA2DAD"/>
    <w:rPr>
      <w:sz w:val="18"/>
      <w:szCs w:val="18"/>
    </w:rPr>
  </w:style>
  <w:style w:type="paragraph" w:customStyle="1" w:styleId="MarginEdition">
    <w:name w:val="Margin Edition"/>
    <w:basedOn w:val="MarginNote"/>
    <w:rsid w:val="00CA2D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DAD"/>
    <w:rPr>
      <w:sz w:val="2"/>
      <w:szCs w:val="2"/>
    </w:rPr>
  </w:style>
  <w:style w:type="character" w:customStyle="1" w:styleId="Small">
    <w:name w:val="Small"/>
    <w:basedOn w:val="DefaultParagraphFont"/>
    <w:rsid w:val="00CA2DAD"/>
    <w:rPr>
      <w:sz w:val="16"/>
    </w:rPr>
  </w:style>
  <w:style w:type="paragraph" w:customStyle="1" w:styleId="WideTable">
    <w:name w:val="Wide Table"/>
    <w:basedOn w:val="Normal"/>
    <w:rsid w:val="00CA2D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DAD"/>
  </w:style>
  <w:style w:type="paragraph" w:styleId="Quote">
    <w:name w:val="Quote"/>
    <w:basedOn w:val="Heading1"/>
    <w:link w:val="QuoteChar"/>
    <w:qFormat/>
    <w:rsid w:val="00CA2D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D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DAD"/>
    <w:pPr>
      <w:pageBreakBefore/>
    </w:pPr>
  </w:style>
  <w:style w:type="paragraph" w:customStyle="1" w:styleId="Border">
    <w:name w:val="Border"/>
    <w:basedOn w:val="Normal"/>
    <w:qFormat/>
    <w:rsid w:val="00CA2D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D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D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D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D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D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D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D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D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DAD"/>
    <w:rPr>
      <w:u w:val="single"/>
    </w:rPr>
  </w:style>
  <w:style w:type="character" w:customStyle="1" w:styleId="BoldandItalics">
    <w:name w:val="Bold and Italics"/>
    <w:qFormat/>
    <w:rsid w:val="00CA2DAD"/>
    <w:rPr>
      <w:b/>
      <w:i/>
      <w:u w:val="none"/>
    </w:rPr>
  </w:style>
  <w:style w:type="paragraph" w:styleId="BalloonText">
    <w:name w:val="Balloon Text"/>
    <w:basedOn w:val="Normal"/>
    <w:link w:val="BalloonTextChar"/>
    <w:rsid w:val="00CA2D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D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D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D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D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D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DAD"/>
    <w:pPr>
      <w:spacing w:before="0" w:after="0"/>
    </w:pPr>
  </w:style>
  <w:style w:type="paragraph" w:customStyle="1" w:styleId="BodyTextBold">
    <w:name w:val="Body Text Bold"/>
    <w:basedOn w:val="BodyText"/>
    <w:qFormat/>
    <w:rsid w:val="00CA2DAD"/>
    <w:rPr>
      <w:b/>
    </w:rPr>
  </w:style>
  <w:style w:type="character" w:styleId="Hyperlink">
    <w:name w:val="Hyperlink"/>
    <w:basedOn w:val="DefaultParagraphFont"/>
    <w:uiPriority w:val="99"/>
    <w:unhideWhenUsed/>
    <w:rsid w:val="004C24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392</Words>
  <Characters>2581</Characters>
  <Application>Microsoft Office Word</Application>
  <DocSecurity>0</DocSecurity>
  <Lines>122</Lines>
  <Paragraphs>67</Paragraphs>
  <ScaleCrop>false</ScaleCrop>
  <Company>Author-it Software Corporation Ltd.</Company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NWPTRT021 Operate and control desalination processes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