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F0CED" w:rsidP="005F0CE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NWPTRT009 Operate and control coagulation and flocculation processes</w:t>
      </w:r>
      <w:r>
        <w:fldChar w:fldCharType="end"/>
      </w:r>
    </w:p>
    <w:p w:rsidR="005F0CED" w:rsidP="005F0CED">
      <w:pPr>
        <w:pStyle w:val="Version"/>
        <w:sectPr w:rsidSect="00285A1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85A1E" w:rsidP="00285A1E">
      <w:pPr>
        <w:pStyle w:val="SuperHeading"/>
      </w:pPr>
      <w:r w:rsidRPr="00285A1E">
        <w:t>Assessment Requirements for NWPTRT009 Operate and control coagulation and flocculation processes</w:t>
      </w:r>
    </w:p>
    <w:p w:rsidR="00000000" w:rsidRPr="00285A1E" w:rsidP="00285A1E">
      <w:pPr>
        <w:pStyle w:val="Heading1"/>
      </w:pPr>
      <w:bookmarkStart w:id="1" w:name="O_1062454"/>
      <w:bookmarkEnd w:id="1"/>
      <w:r w:rsidRPr="00285A1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85A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5A1E" w:rsidP="00285A1E">
            <w:pPr>
              <w:pStyle w:val="BodyText"/>
            </w:pPr>
            <w:r w:rsidRPr="00285A1E">
              <w:t>Release 1. This is the first release of this unit of competency in the NWP National Water Training Package.</w:t>
            </w:r>
          </w:p>
        </w:tc>
      </w:tr>
    </w:tbl>
    <w:p w:rsidR="00000000" w:rsidRPr="00285A1E" w:rsidP="00285A1E">
      <w:pPr>
        <w:pStyle w:val="NoPaddingFontSize1"/>
      </w:pPr>
    </w:p>
    <w:p w:rsidR="00000000" w:rsidRPr="00285A1E" w:rsidP="00285A1E">
      <w:pPr>
        <w:pStyle w:val="AllowPageBreak"/>
      </w:pPr>
    </w:p>
    <w:p w:rsidR="00000000" w:rsidRPr="00285A1E" w:rsidP="00285A1E">
      <w:pPr>
        <w:pStyle w:val="Heading1"/>
      </w:pPr>
      <w:bookmarkStart w:id="2" w:name="O_1062455"/>
      <w:bookmarkEnd w:id="2"/>
      <w:r w:rsidRPr="00285A1E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85A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A1E">
            <w:pPr>
              <w:pStyle w:val="BodyText"/>
              <w:rPr>
                <w:lang w:val="en-NZ"/>
              </w:rPr>
            </w:pPr>
            <w:r w:rsidRPr="00285A1E">
              <w:t>Evidence required to demonstrate competence in this unit must be relevant to and satisfy all the requirements of the elements and performance criteria on at least one occasion and includes:</w:t>
            </w:r>
          </w:p>
        </w:tc>
      </w:tr>
      <w:tr w:rsidTr="00285A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5A1E" w:rsidP="00285A1E">
            <w:pPr>
              <w:pStyle w:val="ListBullet"/>
            </w:pPr>
            <w:r w:rsidRPr="00285A1E">
              <w:t>applying optimised jar te</w:t>
            </w:r>
            <w:r w:rsidRPr="00285A1E">
              <w:t>st results to the process</w:t>
            </w:r>
          </w:p>
          <w:p w:rsidR="00000000" w:rsidRPr="00285A1E" w:rsidP="00285A1E">
            <w:pPr>
              <w:pStyle w:val="ListBullet"/>
            </w:pPr>
            <w:r w:rsidRPr="00285A1E">
              <w:t>completing required documentation including at least one of the following:</w:t>
            </w:r>
          </w:p>
          <w:p w:rsidR="00000000" w:rsidRPr="00285A1E" w:rsidP="00285A1E">
            <w:pPr>
              <w:pStyle w:val="ListBullet2"/>
            </w:pPr>
            <w:r w:rsidRPr="00285A1E">
              <w:t>process set point changes</w:t>
            </w:r>
          </w:p>
          <w:p w:rsidR="00000000" w:rsidRPr="00285A1E" w:rsidP="00285A1E">
            <w:pPr>
              <w:pStyle w:val="ListBullet2"/>
            </w:pPr>
            <w:r w:rsidRPr="00285A1E">
              <w:t>routine maintenance reports</w:t>
            </w:r>
          </w:p>
          <w:p w:rsidR="00000000" w:rsidRPr="00285A1E" w:rsidP="00285A1E">
            <w:pPr>
              <w:pStyle w:val="ListBullet2"/>
            </w:pPr>
            <w:r w:rsidRPr="00285A1E">
              <w:t>routine plant inspection and safety checks</w:t>
            </w:r>
          </w:p>
          <w:p w:rsidR="00000000" w:rsidRPr="00285A1E" w:rsidP="00285A1E">
            <w:pPr>
              <w:pStyle w:val="ListBullet2"/>
            </w:pPr>
            <w:r w:rsidRPr="00285A1E">
              <w:t>water quality and safety incident reports</w:t>
            </w:r>
          </w:p>
          <w:p w:rsidR="00000000" w:rsidRPr="00285A1E" w:rsidP="00285A1E">
            <w:pPr>
              <w:pStyle w:val="ListBullet2"/>
            </w:pPr>
            <w:r w:rsidRPr="00285A1E">
              <w:t>water quality sampling and test results</w:t>
            </w:r>
          </w:p>
          <w:p w:rsidR="00000000" w:rsidRPr="00285A1E" w:rsidP="00285A1E">
            <w:pPr>
              <w:pStyle w:val="ListBullet"/>
            </w:pPr>
            <w:r w:rsidRPr="00285A1E">
              <w:t>conducting routine plant inspections</w:t>
            </w:r>
          </w:p>
          <w:p w:rsidR="00000000" w:rsidRPr="00285A1E" w:rsidP="00285A1E">
            <w:pPr>
              <w:pStyle w:val="ListBullet"/>
            </w:pPr>
            <w:r w:rsidRPr="00285A1E">
              <w:t>identifying and reporting system faults</w:t>
            </w:r>
          </w:p>
          <w:p w:rsidR="00000000" w:rsidRPr="00285A1E" w:rsidP="00285A1E">
            <w:pPr>
              <w:pStyle w:val="ListBullet"/>
            </w:pPr>
            <w:r w:rsidRPr="00285A1E">
              <w:t>making system adjustments including at least one of  the following:</w:t>
            </w:r>
          </w:p>
          <w:p w:rsidR="00000000" w:rsidRPr="00285A1E" w:rsidP="00285A1E">
            <w:pPr>
              <w:pStyle w:val="ListBullet2"/>
            </w:pPr>
            <w:r w:rsidRPr="00285A1E">
              <w:t>coagulant or flocculant dosing</w:t>
            </w:r>
          </w:p>
          <w:p w:rsidR="00000000" w:rsidRPr="00285A1E" w:rsidP="00285A1E">
            <w:pPr>
              <w:pStyle w:val="ListBullet2"/>
            </w:pPr>
            <w:r w:rsidRPr="00285A1E">
              <w:t>pH correction</w:t>
            </w:r>
          </w:p>
          <w:p w:rsidR="00000000" w:rsidRPr="00285A1E" w:rsidP="00285A1E">
            <w:pPr>
              <w:pStyle w:val="ListBullet"/>
            </w:pPr>
            <w:r w:rsidRPr="00285A1E">
              <w:t xml:space="preserve">preparing and applying </w:t>
            </w:r>
            <w:r w:rsidRPr="00285A1E">
              <w:t>chemical dosing</w:t>
            </w:r>
          </w:p>
          <w:p w:rsidR="00000000" w:rsidRPr="00285A1E" w:rsidP="00285A1E">
            <w:pPr>
              <w:pStyle w:val="ListBullet"/>
            </w:pPr>
            <w:r w:rsidRPr="00285A1E">
              <w:t>preparing jar test solutions and solutions strengths</w:t>
            </w:r>
          </w:p>
          <w:p w:rsidR="00000000" w:rsidRPr="00285A1E" w:rsidP="00285A1E">
            <w:pPr>
              <w:pStyle w:val="ListBullet"/>
            </w:pPr>
            <w:r w:rsidRPr="00285A1E">
              <w:t>producing reports</w:t>
            </w:r>
          </w:p>
          <w:p w:rsidR="00000000" w:rsidRPr="00285A1E" w:rsidP="00285A1E">
            <w:pPr>
              <w:pStyle w:val="ListBullet"/>
            </w:pPr>
            <w:r w:rsidRPr="00285A1E">
              <w:t>performing process calculations for at least one of the following:</w:t>
            </w:r>
          </w:p>
          <w:p w:rsidR="00000000" w:rsidRPr="00285A1E" w:rsidP="00285A1E">
            <w:pPr>
              <w:pStyle w:val="ListBullet2"/>
            </w:pPr>
            <w:r w:rsidRPr="00285A1E">
              <w:t>dry and liquid chemical feed rates</w:t>
            </w:r>
          </w:p>
          <w:p w:rsidR="00000000" w:rsidRPr="00285A1E" w:rsidP="00285A1E">
            <w:pPr>
              <w:pStyle w:val="ListBullet2"/>
            </w:pPr>
            <w:r w:rsidRPr="00285A1E">
              <w:t>jar test dosages</w:t>
            </w:r>
          </w:p>
          <w:p w:rsidR="00000000" w:rsidRPr="00285A1E" w:rsidP="00285A1E">
            <w:pPr>
              <w:pStyle w:val="ListBullet2"/>
            </w:pPr>
            <w:r w:rsidRPr="00285A1E">
              <w:t>mixing intensity</w:t>
            </w:r>
          </w:p>
          <w:p w:rsidR="00000000" w:rsidRPr="00285A1E" w:rsidP="00285A1E">
            <w:pPr>
              <w:pStyle w:val="ListBullet2"/>
            </w:pPr>
            <w:r w:rsidRPr="00285A1E">
              <w:t>preparation of dosing solutions</w:t>
            </w:r>
          </w:p>
          <w:p w:rsidR="00000000" w:rsidRPr="00285A1E" w:rsidP="00285A1E">
            <w:pPr>
              <w:pStyle w:val="ListBullet"/>
            </w:pPr>
            <w:r w:rsidRPr="00285A1E">
              <w:t>taking samples, performing a jar test and at least two of the following:</w:t>
            </w:r>
          </w:p>
          <w:p w:rsidR="00000000" w:rsidRPr="00285A1E" w:rsidP="00285A1E">
            <w:pPr>
              <w:pStyle w:val="ListBullet2"/>
            </w:pPr>
            <w:r w:rsidRPr="00285A1E">
              <w:t>alkalinity</w:t>
            </w:r>
          </w:p>
          <w:p w:rsidR="00000000" w:rsidRPr="00285A1E" w:rsidP="00285A1E">
            <w:pPr>
              <w:pStyle w:val="ListBullet2"/>
            </w:pPr>
            <w:r w:rsidRPr="00285A1E">
              <w:t>true colour</w:t>
            </w:r>
          </w:p>
          <w:p w:rsidR="00000000" w:rsidRPr="00285A1E" w:rsidP="00285A1E">
            <w:pPr>
              <w:pStyle w:val="ListBullet2"/>
            </w:pPr>
            <w:r w:rsidRPr="00285A1E">
              <w:t>dosage feed rate review and checks</w:t>
            </w:r>
          </w:p>
          <w:p w:rsidR="00000000" w:rsidRPr="00285A1E" w:rsidP="00285A1E">
            <w:pPr>
              <w:pStyle w:val="ListBullet2"/>
            </w:pPr>
            <w:r w:rsidRPr="00285A1E">
              <w:t>drop tests</w:t>
            </w:r>
          </w:p>
          <w:p w:rsidR="00000000" w:rsidRPr="00285A1E" w:rsidP="00285A1E">
            <w:pPr>
              <w:pStyle w:val="ListBullet2"/>
            </w:pPr>
            <w:r w:rsidRPr="00285A1E">
              <w:t>flocculation growth and size</w:t>
            </w:r>
          </w:p>
          <w:p w:rsidR="00000000" w:rsidRPr="00285A1E" w:rsidP="00285A1E">
            <w:pPr>
              <w:pStyle w:val="ListBullet2"/>
            </w:pPr>
            <w:r w:rsidRPr="00285A1E">
              <w:t>flocculation time</w:t>
            </w:r>
          </w:p>
          <w:p w:rsidR="00000000" w:rsidRPr="00285A1E" w:rsidP="00285A1E">
            <w:pPr>
              <w:pStyle w:val="ListBullet2"/>
            </w:pPr>
            <w:r w:rsidRPr="00285A1E">
              <w:t>mixing energy</w:t>
            </w:r>
          </w:p>
          <w:p w:rsidR="00000000" w:rsidRPr="00285A1E" w:rsidP="00285A1E">
            <w:pPr>
              <w:pStyle w:val="ListBullet2"/>
            </w:pPr>
            <w:r w:rsidRPr="00285A1E">
              <w:t>mixing time</w:t>
            </w:r>
          </w:p>
          <w:p w:rsidR="00000000" w:rsidRPr="00285A1E" w:rsidP="00285A1E">
            <w:pPr>
              <w:pStyle w:val="ListBullet2"/>
            </w:pPr>
            <w:r w:rsidRPr="00285A1E">
              <w:t>pH</w:t>
            </w:r>
          </w:p>
          <w:p w:rsidR="00000000" w:rsidRPr="00285A1E" w:rsidP="00285A1E">
            <w:pPr>
              <w:pStyle w:val="ListBullet2"/>
            </w:pPr>
            <w:r w:rsidRPr="00285A1E">
              <w:t>residual aluminium or iron</w:t>
            </w:r>
          </w:p>
          <w:p w:rsidR="00000000" w:rsidRPr="00285A1E" w:rsidP="00285A1E">
            <w:pPr>
              <w:pStyle w:val="ListBullet2"/>
            </w:pPr>
            <w:r w:rsidRPr="00285A1E">
              <w:t>turbidity</w:t>
            </w:r>
          </w:p>
        </w:tc>
      </w:tr>
    </w:tbl>
    <w:p w:rsidR="00000000" w:rsidRPr="00285A1E" w:rsidP="00285A1E">
      <w:pPr>
        <w:pStyle w:val="NoPaddingFontSize1"/>
      </w:pPr>
    </w:p>
    <w:p w:rsidR="00000000" w:rsidRPr="00285A1E" w:rsidP="00285A1E">
      <w:pPr>
        <w:pStyle w:val="AllowPageBreak"/>
      </w:pPr>
    </w:p>
    <w:p w:rsidR="00000000" w:rsidRPr="00285A1E" w:rsidP="00285A1E">
      <w:pPr>
        <w:pStyle w:val="Heading1"/>
      </w:pPr>
      <w:bookmarkStart w:id="3" w:name="O_1062456"/>
      <w:bookmarkEnd w:id="3"/>
      <w:r w:rsidRPr="00285A1E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85A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A1E">
            <w:pPr>
              <w:pStyle w:val="BodyText"/>
              <w:rPr>
                <w:lang w:val="en-NZ"/>
              </w:rPr>
            </w:pPr>
            <w:r w:rsidRPr="00285A1E">
              <w:t>Evidence required to demonstrate competence in this unit must be relevant to and satisfy all the requirements of the elements and performance criteria and includes knowledge of:</w:t>
            </w:r>
          </w:p>
        </w:tc>
      </w:tr>
      <w:tr w:rsidTr="00285A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5A1E" w:rsidP="00285A1E">
            <w:pPr>
              <w:pStyle w:val="ListBullet"/>
            </w:pPr>
            <w:r w:rsidRPr="00285A1E">
              <w:t>chemical dosing procedures</w:t>
            </w:r>
          </w:p>
          <w:p w:rsidR="00000000" w:rsidRPr="00285A1E" w:rsidP="00285A1E">
            <w:pPr>
              <w:pStyle w:val="ListBullet"/>
            </w:pPr>
            <w:r w:rsidRPr="00285A1E">
              <w:t>chemical handling and storage procedures</w:t>
            </w:r>
          </w:p>
          <w:p w:rsidR="00000000" w:rsidRPr="00285A1E" w:rsidP="00285A1E">
            <w:pPr>
              <w:pStyle w:val="ListBullet"/>
            </w:pPr>
            <w:r w:rsidRPr="00285A1E">
              <w:t>chemicals including:</w:t>
            </w:r>
          </w:p>
          <w:p w:rsidR="00000000" w:rsidRPr="00285A1E" w:rsidP="00285A1E">
            <w:pPr>
              <w:pStyle w:val="ListBullet2"/>
            </w:pPr>
            <w:r w:rsidRPr="00285A1E">
              <w:t>coagulants</w:t>
            </w:r>
          </w:p>
          <w:p w:rsidR="00000000" w:rsidRPr="00285A1E" w:rsidP="00285A1E">
            <w:pPr>
              <w:pStyle w:val="ListBullet2"/>
            </w:pPr>
            <w:r w:rsidRPr="00285A1E">
              <w:t>flocculants</w:t>
            </w:r>
          </w:p>
          <w:p w:rsidR="00000000" w:rsidRPr="00285A1E" w:rsidP="00285A1E">
            <w:pPr>
              <w:pStyle w:val="ListBullet2"/>
            </w:pPr>
            <w:r w:rsidRPr="00285A1E">
              <w:t>pH correction</w:t>
            </w:r>
          </w:p>
          <w:p w:rsidR="00000000" w:rsidRPr="00285A1E" w:rsidP="00285A1E">
            <w:pPr>
              <w:pStyle w:val="ListBullet"/>
            </w:pPr>
            <w:r w:rsidRPr="00285A1E">
              <w:t>coagulation and flocculation control systems</w:t>
            </w:r>
          </w:p>
          <w:p w:rsidR="00000000" w:rsidRPr="00285A1E" w:rsidP="00285A1E">
            <w:pPr>
              <w:pStyle w:val="ListBullet"/>
            </w:pPr>
            <w:r w:rsidRPr="00285A1E">
              <w:t>effects of weather and conditions on operation of site or plant</w:t>
            </w:r>
          </w:p>
          <w:p w:rsidR="00000000" w:rsidRPr="00285A1E" w:rsidP="00285A1E">
            <w:pPr>
              <w:pStyle w:val="ListBullet"/>
            </w:pPr>
            <w:r w:rsidRPr="00285A1E">
              <w:t>features and components of coagulation and flo</w:t>
            </w:r>
            <w:r w:rsidRPr="00285A1E">
              <w:t>cculation systems including mixing</w:t>
            </w:r>
          </w:p>
          <w:p w:rsidR="00000000" w:rsidRPr="00285A1E" w:rsidP="00285A1E">
            <w:pPr>
              <w:pStyle w:val="ListBullet"/>
            </w:pPr>
            <w:r w:rsidRPr="00285A1E">
              <w:t>jar testing principles</w:t>
            </w:r>
          </w:p>
          <w:p w:rsidR="00000000" w:rsidRPr="00285A1E" w:rsidP="00285A1E">
            <w:pPr>
              <w:pStyle w:val="ListBullet"/>
            </w:pPr>
            <w:r w:rsidRPr="00285A1E">
              <w:t>plant layout</w:t>
            </w:r>
          </w:p>
          <w:p w:rsidR="00000000" w:rsidRPr="00285A1E" w:rsidP="00285A1E">
            <w:pPr>
              <w:pStyle w:val="ListBullet"/>
            </w:pPr>
            <w:r w:rsidRPr="00285A1E">
              <w:t>principles of coagulation and flocculation processes</w:t>
            </w:r>
          </w:p>
          <w:p w:rsidR="00000000" w:rsidRPr="00285A1E" w:rsidP="00285A1E">
            <w:pPr>
              <w:pStyle w:val="ListBullet"/>
            </w:pPr>
            <w:r w:rsidRPr="00285A1E">
              <w:t xml:space="preserve">safety data sheets </w:t>
            </w:r>
          </w:p>
          <w:p w:rsidR="00000000" w:rsidRPr="00285A1E" w:rsidP="00285A1E">
            <w:pPr>
              <w:pStyle w:val="ListBullet"/>
            </w:pPr>
            <w:r w:rsidRPr="00285A1E">
              <w:t>relevant legislation, regulations and workplace procedures</w:t>
            </w:r>
          </w:p>
          <w:p w:rsidR="00000000" w:rsidRPr="00285A1E" w:rsidP="00285A1E">
            <w:pPr>
              <w:pStyle w:val="ListBullet"/>
            </w:pPr>
            <w:r w:rsidRPr="00285A1E">
              <w:t>risk factors and controls for potential hazards relat</w:t>
            </w:r>
            <w:r w:rsidRPr="00285A1E">
              <w:t xml:space="preserve">ed to coagulation and flocculation systems </w:t>
            </w:r>
          </w:p>
        </w:tc>
      </w:tr>
    </w:tbl>
    <w:p w:rsidR="00000000" w:rsidRPr="00285A1E" w:rsidP="00285A1E">
      <w:pPr>
        <w:pStyle w:val="NoPaddingFontSize1"/>
      </w:pPr>
    </w:p>
    <w:p w:rsidR="00000000" w:rsidRPr="00285A1E" w:rsidP="00285A1E">
      <w:pPr>
        <w:pStyle w:val="AllowPageBreak"/>
      </w:pPr>
    </w:p>
    <w:p w:rsidR="00000000" w:rsidRPr="00285A1E" w:rsidP="00285A1E">
      <w:pPr>
        <w:pStyle w:val="Heading1"/>
      </w:pPr>
      <w:bookmarkStart w:id="4" w:name="O_1062457"/>
      <w:bookmarkEnd w:id="4"/>
      <w:r w:rsidRPr="00285A1E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85A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5A1E" w:rsidP="00285A1E">
            <w:pPr>
              <w:pStyle w:val="BodyText"/>
            </w:pPr>
            <w:r w:rsidRPr="00285A1E">
              <w:t xml:space="preserve">Assessors must hold credentials specified within the Standards for Registered Training Organisations current at the time of assessment. </w:t>
            </w:r>
          </w:p>
          <w:p w:rsidR="00000000" w:rsidRPr="00285A1E" w:rsidP="00285A1E">
            <w:pPr>
              <w:pStyle w:val="BodyText"/>
            </w:pPr>
            <w:r w:rsidRPr="00285A1E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285A1E" w:rsidP="00285A1E">
            <w:pPr>
              <w:pStyle w:val="BodyText"/>
            </w:pPr>
            <w:r w:rsidRPr="00285A1E">
              <w:t>Assessment must occur in workplace operational</w:t>
            </w:r>
            <w:r w:rsidRPr="00285A1E">
              <w:t xml:space="preserve"> situations where it is appropriate to do so; where this is not appropriate, assessment must occur in simulated workplace operational situations that replicate workplace conditions.</w:t>
            </w:r>
          </w:p>
          <w:p w:rsidR="00000000" w:rsidRPr="00285A1E" w:rsidP="00285A1E">
            <w:pPr>
              <w:pStyle w:val="BodyText"/>
            </w:pPr>
            <w:r w:rsidRPr="00285A1E">
              <w:t>Assessment processes and techniques must be appropriate to the language, l</w:t>
            </w:r>
            <w:r w:rsidRPr="00285A1E">
              <w:t>iteracy and numeracy requirements of the work being performed and the needs of the candidate.</w:t>
            </w:r>
          </w:p>
          <w:p w:rsidR="00000000" w:rsidRPr="00285A1E" w:rsidP="00285A1E">
            <w:pPr>
              <w:pStyle w:val="BodyText"/>
            </w:pPr>
            <w:r w:rsidRPr="00285A1E">
              <w:t>Resources for assessment must include access to:</w:t>
            </w:r>
          </w:p>
          <w:p w:rsidR="00000000" w:rsidRPr="00285A1E" w:rsidP="00285A1E">
            <w:pPr>
              <w:pStyle w:val="ListBullet"/>
            </w:pPr>
            <w:r w:rsidRPr="00285A1E">
              <w:t>relevant and appropriate materials, tools, equipment and personal protective equipment currently used in industr</w:t>
            </w:r>
            <w:r w:rsidRPr="00285A1E">
              <w:t>y</w:t>
            </w:r>
          </w:p>
          <w:p w:rsidR="00000000" w:rsidRPr="00285A1E" w:rsidP="00285A1E">
            <w:pPr>
              <w:pStyle w:val="ListBullet"/>
            </w:pPr>
            <w:r w:rsidRPr="00285A1E">
              <w:t>applicable documentation including legislation, regulations, codes of practice, workplace procedures and operation manuals.</w:t>
            </w:r>
          </w:p>
        </w:tc>
      </w:tr>
    </w:tbl>
    <w:p w:rsidR="00000000" w:rsidRPr="00285A1E" w:rsidP="00285A1E">
      <w:pPr>
        <w:pStyle w:val="NoPaddingFontSize1"/>
      </w:pPr>
    </w:p>
    <w:p w:rsidR="00000000" w:rsidRPr="00285A1E" w:rsidP="00285A1E">
      <w:pPr>
        <w:pStyle w:val="AllowPageBreak"/>
      </w:pPr>
    </w:p>
    <w:p w:rsidR="00000000" w:rsidRPr="00285A1E" w:rsidP="00285A1E">
      <w:pPr>
        <w:pStyle w:val="Heading1"/>
      </w:pPr>
      <w:bookmarkStart w:id="5" w:name="O_1062460"/>
      <w:bookmarkEnd w:id="5"/>
      <w:r w:rsidRPr="00285A1E">
        <w:t>Links</w:t>
      </w:r>
    </w:p>
    <w:p w:rsidR="00000000" w:rsidRPr="00285A1E" w:rsidP="005F0CED">
      <w:pPr>
        <w:pStyle w:val="BodyText"/>
      </w:pPr>
      <w:r w:rsidRPr="00285A1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7D52B5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285A1E" w:rsidP="005F0CED">
      <w:pPr>
        <w:pStyle w:val="BodyText"/>
      </w:pPr>
      <w:r w:rsidRPr="00285A1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7D52B5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285A1E" w:rsidP="005F0CED">
      <w:pPr>
        <w:pStyle w:val="BodyText"/>
      </w:pPr>
      <w:r w:rsidRPr="00285A1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7D52B5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285A1E" w:rsidP="00285A1E"/>
    <w:sectPr w:rsidSect="00285A1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A1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A1E" w:rsidRPr="005F0CED" w:rsidP="005F0CE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A1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CED" w:rsidP="00285A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F0CED" w:rsidP="00285A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5F0CED" w:rsidP="00285A1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A1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CE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85A1E" w:rsidRPr="005F0CED" w:rsidP="005F0CE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A1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CED" w:rsidRPr="002D2AF8" w:rsidP="00285A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NWPTRT009 Operate and control coagulation and flocculation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5F0CED" w:rsidP="00285A1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A7C3C9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3D2E1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13686B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5A1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85A1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85A1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85A1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85A1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85A1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85A1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85A1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85A1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85A1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85A1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85A1E"/>
  </w:style>
  <w:style w:type="character" w:customStyle="1" w:styleId="Heading1Char">
    <w:name w:val="Heading 1 Char"/>
    <w:basedOn w:val="DefaultParagraphFont"/>
    <w:link w:val="Heading1"/>
    <w:rsid w:val="00285A1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85A1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85A1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85A1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85A1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85A1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85A1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85A1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85A1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85A1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85A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85A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85A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85A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85A1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85A1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85A1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85A1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85A1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85A1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85A1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85A1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85A1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85A1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85A1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85A1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85A1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85A1E"/>
    <w:rPr>
      <w:b/>
      <w:spacing w:val="0"/>
    </w:rPr>
  </w:style>
  <w:style w:type="paragraph" w:customStyle="1" w:styleId="SuperTitle">
    <w:name w:val="SuperTitle"/>
    <w:basedOn w:val="Title"/>
    <w:rsid w:val="00285A1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85A1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85A1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85A1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85A1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85A1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85A1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85A1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85A1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85A1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85A1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85A1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85A1E"/>
    <w:rPr>
      <w:i/>
    </w:rPr>
  </w:style>
  <w:style w:type="paragraph" w:styleId="Caption">
    <w:name w:val="caption"/>
    <w:basedOn w:val="BodyText"/>
    <w:next w:val="Normal"/>
    <w:qFormat/>
    <w:rsid w:val="00285A1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85A1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85A1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85A1E"/>
  </w:style>
  <w:style w:type="paragraph" w:styleId="TableofFigures">
    <w:name w:val="table of figures"/>
    <w:basedOn w:val="Normal"/>
    <w:next w:val="Normal"/>
    <w:semiHidden/>
    <w:rsid w:val="00285A1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85A1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85A1E"/>
    <w:rPr>
      <w:rFonts w:ascii="Wingdings" w:hAnsi="Wingdings"/>
    </w:rPr>
  </w:style>
  <w:style w:type="paragraph" w:customStyle="1" w:styleId="TableHeading">
    <w:name w:val="Table Heading"/>
    <w:basedOn w:val="HeadingBase"/>
    <w:rsid w:val="00285A1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85A1E"/>
    <w:rPr>
      <w:color w:val="0033CC"/>
      <w:u w:val="none"/>
    </w:rPr>
  </w:style>
  <w:style w:type="paragraph" w:customStyle="1" w:styleId="BodyTextRight">
    <w:name w:val="Body Text Right"/>
    <w:basedOn w:val="BodyText"/>
    <w:rsid w:val="00285A1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85A1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85A1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85A1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85A1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85A1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85A1E"/>
    <w:rPr>
      <w:sz w:val="32"/>
    </w:rPr>
  </w:style>
  <w:style w:type="paragraph" w:customStyle="1" w:styleId="HeadingProcedure">
    <w:name w:val="Heading Procedure"/>
    <w:basedOn w:val="HeadingBase"/>
    <w:next w:val="Normal"/>
    <w:rsid w:val="00285A1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85A1E"/>
    <w:pPr>
      <w:spacing w:before="60" w:after="60"/>
    </w:pPr>
  </w:style>
  <w:style w:type="paragraph" w:styleId="ListContinue">
    <w:name w:val="List Continue"/>
    <w:basedOn w:val="List"/>
    <w:rsid w:val="00285A1E"/>
    <w:pPr>
      <w:ind w:firstLine="0"/>
    </w:pPr>
  </w:style>
  <w:style w:type="paragraph" w:customStyle="1" w:styleId="ListNote">
    <w:name w:val="List Note"/>
    <w:basedOn w:val="List"/>
    <w:rsid w:val="00285A1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85A1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85A1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85A1E"/>
    <w:rPr>
      <w:rFonts w:ascii="Courier New" w:hAnsi="Courier New"/>
    </w:rPr>
  </w:style>
  <w:style w:type="paragraph" w:customStyle="1" w:styleId="NoteBullet">
    <w:name w:val="Note Bullet"/>
    <w:basedOn w:val="Note"/>
    <w:rsid w:val="00285A1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85A1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85A1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85A1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85A1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85A1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85A1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85A1E"/>
    <w:rPr>
      <w:b/>
      <w:smallCaps/>
    </w:rPr>
  </w:style>
  <w:style w:type="paragraph" w:customStyle="1" w:styleId="TableListNumber">
    <w:name w:val="Table List Number"/>
    <w:basedOn w:val="ListNumber"/>
    <w:rsid w:val="00285A1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85A1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85A1E"/>
    <w:pPr>
      <w:numPr>
        <w:numId w:val="9"/>
      </w:numPr>
    </w:pPr>
  </w:style>
  <w:style w:type="paragraph" w:customStyle="1" w:styleId="ListAlpha2">
    <w:name w:val="List Alpha 2"/>
    <w:basedOn w:val="List2"/>
    <w:rsid w:val="00285A1E"/>
    <w:pPr>
      <w:numPr>
        <w:numId w:val="8"/>
      </w:numPr>
    </w:pPr>
  </w:style>
  <w:style w:type="paragraph" w:styleId="List2">
    <w:name w:val="List 2"/>
    <w:basedOn w:val="BodyText"/>
    <w:rsid w:val="00285A1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85A1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85A1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85A1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85A1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85A1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85A1E"/>
    <w:pPr>
      <w:numPr>
        <w:numId w:val="4"/>
      </w:numPr>
    </w:pPr>
  </w:style>
  <w:style w:type="paragraph" w:styleId="ListContinue2">
    <w:name w:val="List Continue 2"/>
    <w:basedOn w:val="List2"/>
    <w:rsid w:val="00285A1E"/>
    <w:pPr>
      <w:ind w:firstLine="0"/>
    </w:pPr>
  </w:style>
  <w:style w:type="paragraph" w:styleId="ListContinue3">
    <w:name w:val="List Continue 3"/>
    <w:basedOn w:val="List3"/>
    <w:rsid w:val="00285A1E"/>
    <w:pPr>
      <w:ind w:left="1021" w:firstLine="0"/>
    </w:pPr>
  </w:style>
  <w:style w:type="paragraph" w:styleId="ListContinue4">
    <w:name w:val="List Continue 4"/>
    <w:basedOn w:val="List4"/>
    <w:rsid w:val="00285A1E"/>
    <w:pPr>
      <w:ind w:firstLine="0"/>
    </w:pPr>
  </w:style>
  <w:style w:type="paragraph" w:styleId="ListContinue5">
    <w:name w:val="List Continue 5"/>
    <w:basedOn w:val="List5"/>
    <w:rsid w:val="00285A1E"/>
    <w:pPr>
      <w:ind w:firstLine="0"/>
    </w:pPr>
  </w:style>
  <w:style w:type="paragraph" w:styleId="ListNumber3">
    <w:name w:val="List Number 3"/>
    <w:basedOn w:val="List3"/>
    <w:rsid w:val="00285A1E"/>
    <w:pPr>
      <w:numPr>
        <w:numId w:val="5"/>
      </w:numPr>
    </w:pPr>
  </w:style>
  <w:style w:type="paragraph" w:styleId="ListNumber4">
    <w:name w:val="List Number 4"/>
    <w:basedOn w:val="List4"/>
    <w:rsid w:val="00285A1E"/>
    <w:pPr>
      <w:numPr>
        <w:numId w:val="6"/>
      </w:numPr>
    </w:pPr>
  </w:style>
  <w:style w:type="paragraph" w:styleId="ListNumber5">
    <w:name w:val="List Number 5"/>
    <w:basedOn w:val="List5"/>
    <w:rsid w:val="00285A1E"/>
    <w:pPr>
      <w:numPr>
        <w:numId w:val="7"/>
      </w:numPr>
    </w:pPr>
  </w:style>
  <w:style w:type="paragraph" w:styleId="BlockText">
    <w:name w:val="Block Text"/>
    <w:basedOn w:val="Normal"/>
    <w:rsid w:val="00285A1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85A1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85A1E"/>
    <w:rPr>
      <w:sz w:val="16"/>
      <w:vertAlign w:val="superscript"/>
    </w:rPr>
  </w:style>
  <w:style w:type="character" w:customStyle="1" w:styleId="Symbols">
    <w:name w:val="Symbols"/>
    <w:basedOn w:val="DefaultParagraphFont"/>
    <w:rsid w:val="00285A1E"/>
    <w:rPr>
      <w:rFonts w:ascii="Symbol" w:hAnsi="Symbol"/>
    </w:rPr>
  </w:style>
  <w:style w:type="character" w:customStyle="1" w:styleId="MenuOptions">
    <w:name w:val="Menu Options"/>
    <w:basedOn w:val="DefaultParagraphFont"/>
    <w:rsid w:val="00285A1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85A1E"/>
    <w:rPr>
      <w:b/>
    </w:rPr>
  </w:style>
  <w:style w:type="character" w:customStyle="1" w:styleId="Underlined">
    <w:name w:val="Underlined"/>
    <w:basedOn w:val="DefaultParagraphFont"/>
    <w:rsid w:val="00285A1E"/>
    <w:rPr>
      <w:u w:val="single"/>
    </w:rPr>
  </w:style>
  <w:style w:type="paragraph" w:customStyle="1" w:styleId="TableBodyTextRight">
    <w:name w:val="Table Body Text Right"/>
    <w:basedOn w:val="TableBodyText"/>
    <w:rsid w:val="00285A1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85A1E"/>
    <w:rPr>
      <w:sz w:val="18"/>
    </w:rPr>
  </w:style>
  <w:style w:type="paragraph" w:customStyle="1" w:styleId="BodySmallRight">
    <w:name w:val="Body Small Right"/>
    <w:basedOn w:val="BodyTextRight"/>
    <w:rsid w:val="00285A1E"/>
    <w:rPr>
      <w:sz w:val="18"/>
      <w:szCs w:val="18"/>
    </w:rPr>
  </w:style>
  <w:style w:type="paragraph" w:customStyle="1" w:styleId="MarginEdition">
    <w:name w:val="Margin Edition"/>
    <w:basedOn w:val="MarginNote"/>
    <w:rsid w:val="00285A1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85A1E"/>
    <w:rPr>
      <w:sz w:val="2"/>
      <w:szCs w:val="2"/>
    </w:rPr>
  </w:style>
  <w:style w:type="character" w:customStyle="1" w:styleId="Small">
    <w:name w:val="Small"/>
    <w:basedOn w:val="DefaultParagraphFont"/>
    <w:rsid w:val="00285A1E"/>
    <w:rPr>
      <w:sz w:val="16"/>
    </w:rPr>
  </w:style>
  <w:style w:type="paragraph" w:customStyle="1" w:styleId="WideTable">
    <w:name w:val="Wide Table"/>
    <w:basedOn w:val="Normal"/>
    <w:rsid w:val="00285A1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85A1E"/>
  </w:style>
  <w:style w:type="paragraph" w:styleId="Quote">
    <w:name w:val="Quote"/>
    <w:basedOn w:val="Heading1"/>
    <w:link w:val="QuoteChar"/>
    <w:qFormat/>
    <w:rsid w:val="00285A1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85A1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85A1E"/>
    <w:pPr>
      <w:pageBreakBefore/>
    </w:pPr>
  </w:style>
  <w:style w:type="paragraph" w:customStyle="1" w:styleId="Border">
    <w:name w:val="Border"/>
    <w:basedOn w:val="Normal"/>
    <w:qFormat/>
    <w:rsid w:val="00285A1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85A1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5A1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5A1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85A1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85A1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85A1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85A1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85A1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85A1E"/>
    <w:rPr>
      <w:u w:val="single"/>
    </w:rPr>
  </w:style>
  <w:style w:type="character" w:customStyle="1" w:styleId="BoldandItalics">
    <w:name w:val="Bold and Italics"/>
    <w:qFormat/>
    <w:rsid w:val="00285A1E"/>
    <w:rPr>
      <w:b/>
      <w:i/>
      <w:u w:val="none"/>
    </w:rPr>
  </w:style>
  <w:style w:type="paragraph" w:styleId="BalloonText">
    <w:name w:val="Balloon Text"/>
    <w:basedOn w:val="Normal"/>
    <w:link w:val="BalloonTextChar"/>
    <w:rsid w:val="00285A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85A1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85A1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85A1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85A1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85A1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85A1E"/>
    <w:pPr>
      <w:spacing w:before="0" w:after="0"/>
    </w:pPr>
  </w:style>
  <w:style w:type="paragraph" w:customStyle="1" w:styleId="BodyTextBold">
    <w:name w:val="Body Text Bold"/>
    <w:basedOn w:val="BodyText"/>
    <w:qFormat/>
    <w:rsid w:val="00285A1E"/>
    <w:rPr>
      <w:b/>
    </w:rPr>
  </w:style>
  <w:style w:type="character" w:styleId="Hyperlink">
    <w:name w:val="Hyperlink"/>
    <w:basedOn w:val="DefaultParagraphFont"/>
    <w:uiPriority w:val="99"/>
    <w:unhideWhenUsed/>
    <w:rsid w:val="005F0CE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540</Words>
  <Characters>3694</Characters>
  <Application>Microsoft Office Word</Application>
  <DocSecurity>0</DocSecurity>
  <Lines>102</Lines>
  <Paragraphs>84</Paragraphs>
  <ScaleCrop>false</ScaleCrop>
  <Company>Author-it Software Corporation Ltd.</Company>
  <LinksUpToDate>false</LinksUpToDate>
  <CharactersWithSpaces>4150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NWPTRT009 Operate and control coagulation and flocculation processes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2022-12-07T02:05:00Z</dcterms:created>
  <dcterms:modified xsi:type="dcterms:W3CDTF">2022-12-07T02:05:00Z</dcterms:modified>
</cp:coreProperties>
</file>